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A94" w:rsidRPr="00F10CFE" w:rsidRDefault="00BB3A94" w:rsidP="00BB3A94">
      <w:pPr>
        <w:spacing w:after="0" w:line="360" w:lineRule="auto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F10CFE">
        <w:rPr>
          <w:rFonts w:ascii="Times New Roman" w:hAnsi="Times New Roman"/>
          <w:b/>
          <w:bCs/>
          <w:sz w:val="24"/>
          <w:szCs w:val="24"/>
        </w:rPr>
        <w:t>Supplementary Material</w:t>
      </w:r>
    </w:p>
    <w:p w:rsidR="00BB3A94" w:rsidRPr="00F10CFE" w:rsidRDefault="00BB3A94" w:rsidP="00BB3A94">
      <w:p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10CFE">
        <w:rPr>
          <w:rFonts w:ascii="Times New Roman" w:hAnsi="Times New Roman"/>
          <w:b/>
          <w:bCs/>
          <w:sz w:val="26"/>
          <w:szCs w:val="26"/>
        </w:rPr>
        <w:t>Appendix 1</w:t>
      </w:r>
      <w:r w:rsidRPr="00F10CFE">
        <w:rPr>
          <w:rFonts w:ascii="Times New Roman" w:hAnsi="Times New Roman"/>
          <w:b/>
          <w:bCs/>
          <w:sz w:val="24"/>
          <w:szCs w:val="24"/>
        </w:rPr>
        <w:t xml:space="preserve"> – </w:t>
      </w:r>
      <w:r w:rsidRPr="00F10CFE">
        <w:rPr>
          <w:rFonts w:ascii="Times New Roman" w:hAnsi="Times New Roman"/>
          <w:sz w:val="24"/>
          <w:szCs w:val="24"/>
        </w:rPr>
        <w:t>List of reviewed papers including general information: authors, year of publication, location, biome, population, and key factors by article.</w:t>
      </w:r>
    </w:p>
    <w:tbl>
      <w:tblPr>
        <w:tblStyle w:val="TableGrid"/>
        <w:tblW w:w="15168" w:type="dxa"/>
        <w:tblBorders>
          <w:top w:val="double" w:sz="6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3"/>
        <w:gridCol w:w="1630"/>
        <w:gridCol w:w="1564"/>
        <w:gridCol w:w="1843"/>
        <w:gridCol w:w="7938"/>
      </w:tblGrid>
      <w:tr w:rsidR="00BB3A94" w:rsidRPr="009E4768" w:rsidTr="00C674FE">
        <w:trPr>
          <w:trHeight w:val="276"/>
        </w:trPr>
        <w:tc>
          <w:tcPr>
            <w:tcW w:w="2193" w:type="dxa"/>
            <w:tcBorders>
              <w:top w:val="double" w:sz="12" w:space="0" w:color="auto"/>
              <w:bottom w:val="single" w:sz="8" w:space="0" w:color="auto"/>
            </w:tcBorders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4768">
              <w:rPr>
                <w:rFonts w:ascii="Times New Roman" w:hAnsi="Times New Roman"/>
                <w:b/>
                <w:bCs/>
                <w:sz w:val="20"/>
                <w:szCs w:val="20"/>
              </w:rPr>
              <w:t>Authors/year</w:t>
            </w:r>
          </w:p>
        </w:tc>
        <w:tc>
          <w:tcPr>
            <w:tcW w:w="1630" w:type="dxa"/>
            <w:tcBorders>
              <w:top w:val="double" w:sz="12" w:space="0" w:color="auto"/>
              <w:bottom w:val="single" w:sz="8" w:space="0" w:color="auto"/>
            </w:tcBorders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4768">
              <w:rPr>
                <w:rFonts w:ascii="Times New Roman" w:hAnsi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1564" w:type="dxa"/>
            <w:tcBorders>
              <w:top w:val="double" w:sz="12" w:space="0" w:color="auto"/>
              <w:bottom w:val="single" w:sz="8" w:space="0" w:color="auto"/>
            </w:tcBorders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4768">
              <w:rPr>
                <w:rFonts w:ascii="Times New Roman" w:hAnsi="Times New Roman"/>
                <w:b/>
                <w:bCs/>
                <w:sz w:val="20"/>
                <w:szCs w:val="20"/>
              </w:rPr>
              <w:t>Biome</w:t>
            </w:r>
          </w:p>
        </w:tc>
        <w:tc>
          <w:tcPr>
            <w:tcW w:w="1843" w:type="dxa"/>
            <w:tcBorders>
              <w:top w:val="double" w:sz="12" w:space="0" w:color="auto"/>
              <w:bottom w:val="single" w:sz="8" w:space="0" w:color="auto"/>
            </w:tcBorders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4768">
              <w:rPr>
                <w:rFonts w:ascii="Times New Roman" w:hAnsi="Times New Roman"/>
                <w:b/>
                <w:bCs/>
                <w:sz w:val="20"/>
                <w:szCs w:val="20"/>
              </w:rPr>
              <w:t>Population</w:t>
            </w:r>
          </w:p>
        </w:tc>
        <w:tc>
          <w:tcPr>
            <w:tcW w:w="7938" w:type="dxa"/>
            <w:tcBorders>
              <w:top w:val="double" w:sz="12" w:space="0" w:color="auto"/>
              <w:bottom w:val="single" w:sz="8" w:space="0" w:color="auto"/>
            </w:tcBorders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4768">
              <w:rPr>
                <w:rFonts w:ascii="Times New Roman" w:hAnsi="Times New Roman"/>
                <w:b/>
                <w:bCs/>
                <w:sz w:val="20"/>
                <w:szCs w:val="20"/>
              </w:rPr>
              <w:t>Main key factors</w:t>
            </w:r>
          </w:p>
        </w:tc>
      </w:tr>
      <w:tr w:rsidR="00BB3A94" w:rsidRPr="009E4768" w:rsidTr="00C674FE">
        <w:trPr>
          <w:trHeight w:val="276"/>
        </w:trPr>
        <w:tc>
          <w:tcPr>
            <w:tcW w:w="2193" w:type="dxa"/>
            <w:tcBorders>
              <w:top w:val="single" w:sz="8" w:space="0" w:color="auto"/>
            </w:tcBorders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hyperlink r:id="rId4" w:history="1">
              <w:r w:rsidRPr="009E4768">
                <w:rPr>
                  <w:rStyle w:val="Hyperlink"/>
                  <w:rFonts w:ascii="Times New Roman" w:eastAsia="Times New Roman" w:hAnsi="Times New Roman"/>
                  <w:sz w:val="20"/>
                  <w:szCs w:val="20"/>
                </w:rPr>
                <w:t>Ritenbaugh et al. 1996</w:t>
              </w:r>
            </w:hyperlink>
          </w:p>
        </w:tc>
        <w:tc>
          <w:tcPr>
            <w:tcW w:w="1630" w:type="dxa"/>
            <w:tcBorders>
              <w:top w:val="single" w:sz="8" w:space="0" w:color="auto"/>
            </w:tcBorders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Canada</w:t>
            </w:r>
          </w:p>
        </w:tc>
        <w:tc>
          <w:tcPr>
            <w:tcW w:w="1564" w:type="dxa"/>
            <w:tcBorders>
              <w:top w:val="single" w:sz="8" w:space="0" w:color="auto"/>
            </w:tcBorders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Boreal forest/Taiga</w:t>
            </w:r>
          </w:p>
        </w:tc>
        <w:tc>
          <w:tcPr>
            <w:tcW w:w="1843" w:type="dxa"/>
            <w:tcBorders>
              <w:top w:val="single" w:sz="8" w:space="0" w:color="auto"/>
            </w:tcBorders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Dogrib</w:t>
            </w:r>
          </w:p>
        </w:tc>
        <w:tc>
          <w:tcPr>
            <w:tcW w:w="7938" w:type="dxa"/>
            <w:tcBorders>
              <w:top w:val="single" w:sz="8" w:space="0" w:color="auto"/>
            </w:tcBorders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Age, accessibility, Welfare</w:t>
            </w:r>
          </w:p>
        </w:tc>
      </w:tr>
      <w:tr w:rsidR="00BB3A94" w:rsidRPr="009E4768" w:rsidTr="00C674FE">
        <w:trPr>
          <w:trHeight w:val="276"/>
        </w:trPr>
        <w:tc>
          <w:tcPr>
            <w:tcW w:w="2193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hyperlink r:id="rId5" w:history="1">
              <w:r w:rsidRPr="009E4768">
                <w:rPr>
                  <w:rStyle w:val="Hyperlink"/>
                  <w:rFonts w:ascii="Times New Roman" w:eastAsia="Times New Roman" w:hAnsi="Times New Roman"/>
                  <w:sz w:val="20"/>
                  <w:szCs w:val="20"/>
                </w:rPr>
                <w:t>Receveur</w:t>
              </w:r>
              <w:r w:rsidRPr="009E4768">
                <w:rPr>
                  <w:rStyle w:val="Hyperlink"/>
                  <w:rFonts w:ascii="Times New Roman" w:hAnsi="Times New Roman"/>
                  <w:sz w:val="20"/>
                  <w:szCs w:val="20"/>
                </w:rPr>
                <w:t xml:space="preserve"> et al. 1997</w:t>
              </w:r>
            </w:hyperlink>
          </w:p>
        </w:tc>
        <w:tc>
          <w:tcPr>
            <w:tcW w:w="1630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Canada</w:t>
            </w:r>
          </w:p>
        </w:tc>
        <w:tc>
          <w:tcPr>
            <w:tcW w:w="1564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Boreal forest/Taiga</w:t>
            </w:r>
          </w:p>
        </w:tc>
        <w:tc>
          <w:tcPr>
            <w:tcW w:w="1843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Dene/Métis</w:t>
            </w:r>
          </w:p>
        </w:tc>
        <w:tc>
          <w:tcPr>
            <w:tcW w:w="7938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Age, gender, accessibility</w:t>
            </w:r>
          </w:p>
        </w:tc>
      </w:tr>
      <w:tr w:rsidR="00BB3A94" w:rsidRPr="009E4768" w:rsidTr="00C674FE">
        <w:trPr>
          <w:trHeight w:val="276"/>
        </w:trPr>
        <w:tc>
          <w:tcPr>
            <w:tcW w:w="2193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hyperlink r:id="rId6" w:history="1">
              <w:r w:rsidRPr="009E4768">
                <w:rPr>
                  <w:rStyle w:val="Hyperlink"/>
                  <w:rFonts w:ascii="Times New Roman" w:eastAsia="Times New Roman" w:hAnsi="Times New Roman"/>
                  <w:sz w:val="20"/>
                  <w:szCs w:val="20"/>
                </w:rPr>
                <w:t>MacIntyre</w:t>
              </w:r>
              <w:r w:rsidRPr="009E4768">
                <w:rPr>
                  <w:rStyle w:val="Hyperlink"/>
                  <w:rFonts w:ascii="Times New Roman" w:hAnsi="Times New Roman"/>
                  <w:sz w:val="20"/>
                  <w:szCs w:val="20"/>
                </w:rPr>
                <w:t xml:space="preserve"> et al. 2022</w:t>
              </w:r>
            </w:hyperlink>
          </w:p>
        </w:tc>
        <w:tc>
          <w:tcPr>
            <w:tcW w:w="1630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South Africa</w:t>
            </w:r>
          </w:p>
        </w:tc>
        <w:tc>
          <w:tcPr>
            <w:tcW w:w="1564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Savanna</w:t>
            </w:r>
          </w:p>
        </w:tc>
        <w:tc>
          <w:tcPr>
            <w:tcW w:w="1843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Rural / urban</w:t>
            </w:r>
          </w:p>
        </w:tc>
        <w:tc>
          <w:tcPr>
            <w:tcW w:w="7938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Urbanization level, increased income, gender</w:t>
            </w:r>
          </w:p>
        </w:tc>
      </w:tr>
      <w:tr w:rsidR="00BB3A94" w:rsidRPr="009E4768" w:rsidTr="00C674FE">
        <w:trPr>
          <w:trHeight w:val="276"/>
        </w:trPr>
        <w:tc>
          <w:tcPr>
            <w:tcW w:w="2193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hyperlink r:id="rId7" w:history="1">
              <w:r w:rsidRPr="009E4768">
                <w:rPr>
                  <w:rStyle w:val="Hyperlink"/>
                  <w:rFonts w:ascii="Times New Roman" w:eastAsia="Times New Roman" w:hAnsi="Times New Roman"/>
                  <w:sz w:val="20"/>
                  <w:szCs w:val="20"/>
                </w:rPr>
                <w:t>Leite et al. 2006</w:t>
              </w:r>
            </w:hyperlink>
          </w:p>
        </w:tc>
        <w:tc>
          <w:tcPr>
            <w:tcW w:w="1630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Brazil</w:t>
            </w:r>
          </w:p>
        </w:tc>
        <w:tc>
          <w:tcPr>
            <w:tcW w:w="1564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Savanna</w:t>
            </w:r>
          </w:p>
        </w:tc>
        <w:tc>
          <w:tcPr>
            <w:tcW w:w="1843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Xavantes</w:t>
            </w:r>
          </w:p>
        </w:tc>
        <w:tc>
          <w:tcPr>
            <w:tcW w:w="7938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Contact with non-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Pr="009E4768">
              <w:rPr>
                <w:rFonts w:ascii="Times New Roman" w:hAnsi="Times New Roman"/>
                <w:sz w:val="20"/>
                <w:szCs w:val="20"/>
              </w:rPr>
              <w:t xml:space="preserve">ndigenous, land use changes, benefits </w:t>
            </w:r>
          </w:p>
        </w:tc>
      </w:tr>
      <w:tr w:rsidR="00BB3A94" w:rsidRPr="009E4768" w:rsidTr="00C674FE">
        <w:trPr>
          <w:trHeight w:val="276"/>
        </w:trPr>
        <w:tc>
          <w:tcPr>
            <w:tcW w:w="2193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hyperlink r:id="rId8" w:history="1">
              <w:r w:rsidRPr="009E4768">
                <w:rPr>
                  <w:rStyle w:val="Hyperlink"/>
                  <w:rFonts w:ascii="Times New Roman" w:eastAsia="Times New Roman" w:hAnsi="Times New Roman"/>
                  <w:sz w:val="20"/>
                  <w:szCs w:val="20"/>
                </w:rPr>
                <w:t>Lourenço et al. 2008</w:t>
              </w:r>
            </w:hyperlink>
          </w:p>
        </w:tc>
        <w:tc>
          <w:tcPr>
            <w:tcW w:w="1630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Brazil</w:t>
            </w:r>
          </w:p>
        </w:tc>
        <w:tc>
          <w:tcPr>
            <w:tcW w:w="1564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Tropical forest</w:t>
            </w:r>
          </w:p>
        </w:tc>
        <w:tc>
          <w:tcPr>
            <w:tcW w:w="1843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Suruí</w:t>
            </w:r>
          </w:p>
        </w:tc>
        <w:tc>
          <w:tcPr>
            <w:tcW w:w="7938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Changes in traditional practices, market integration, increased incomes, mobility</w:t>
            </w:r>
          </w:p>
        </w:tc>
      </w:tr>
      <w:tr w:rsidR="00BB3A94" w:rsidRPr="009E4768" w:rsidTr="00C674FE">
        <w:trPr>
          <w:trHeight w:val="276"/>
        </w:trPr>
        <w:tc>
          <w:tcPr>
            <w:tcW w:w="2193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hyperlink r:id="rId9" w:history="1">
              <w:r w:rsidRPr="009E4768">
                <w:rPr>
                  <w:rStyle w:val="Hyperlink"/>
                  <w:rFonts w:ascii="Times New Roman" w:eastAsia="Times New Roman" w:hAnsi="Times New Roman"/>
                  <w:sz w:val="20"/>
                  <w:szCs w:val="20"/>
                </w:rPr>
                <w:t>Damman et al. 2008</w:t>
              </w:r>
            </w:hyperlink>
          </w:p>
        </w:tc>
        <w:tc>
          <w:tcPr>
            <w:tcW w:w="1630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Argentina and Canada</w:t>
            </w:r>
          </w:p>
        </w:tc>
        <w:tc>
          <w:tcPr>
            <w:tcW w:w="1564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Multiple</w:t>
            </w:r>
          </w:p>
        </w:tc>
        <w:tc>
          <w:tcPr>
            <w:tcW w:w="1843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Kolla / Inuit</w:t>
            </w:r>
          </w:p>
        </w:tc>
        <w:tc>
          <w:tcPr>
            <w:tcW w:w="7938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Food aid, age, urbanization, increased incomes, low status of traditional food</w:t>
            </w:r>
          </w:p>
        </w:tc>
      </w:tr>
      <w:tr w:rsidR="00BB3A94" w:rsidRPr="009E4768" w:rsidTr="00C674FE">
        <w:trPr>
          <w:trHeight w:val="276"/>
        </w:trPr>
        <w:tc>
          <w:tcPr>
            <w:tcW w:w="2193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hyperlink r:id="rId10" w:history="1">
              <w:r w:rsidRPr="009E4768">
                <w:rPr>
                  <w:rStyle w:val="Hyperlink"/>
                  <w:rFonts w:ascii="Times New Roman" w:eastAsia="Times New Roman" w:hAnsi="Times New Roman"/>
                  <w:sz w:val="20"/>
                  <w:szCs w:val="20"/>
                </w:rPr>
                <w:t>Murrieta et al. 2008</w:t>
              </w:r>
            </w:hyperlink>
          </w:p>
        </w:tc>
        <w:tc>
          <w:tcPr>
            <w:tcW w:w="1630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Brazil</w:t>
            </w:r>
          </w:p>
        </w:tc>
        <w:tc>
          <w:tcPr>
            <w:tcW w:w="1564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Tropical forest</w:t>
            </w:r>
          </w:p>
        </w:tc>
        <w:tc>
          <w:tcPr>
            <w:tcW w:w="1843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Riverine</w:t>
            </w:r>
          </w:p>
        </w:tc>
        <w:tc>
          <w:tcPr>
            <w:tcW w:w="7938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Seasonality, environmental law restrictions</w:t>
            </w:r>
          </w:p>
        </w:tc>
      </w:tr>
      <w:tr w:rsidR="00BB3A94" w:rsidRPr="009E4768" w:rsidTr="00C674FE">
        <w:trPr>
          <w:trHeight w:val="276"/>
        </w:trPr>
        <w:tc>
          <w:tcPr>
            <w:tcW w:w="2193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hyperlink r:id="rId11" w:history="1">
              <w:r w:rsidRPr="009E4768">
                <w:rPr>
                  <w:rStyle w:val="Hyperlink"/>
                  <w:rFonts w:ascii="Times New Roman" w:eastAsia="Times New Roman" w:hAnsi="Times New Roman"/>
                  <w:sz w:val="20"/>
                  <w:szCs w:val="20"/>
                </w:rPr>
                <w:t>Welch et al. 2009</w:t>
              </w:r>
            </w:hyperlink>
          </w:p>
        </w:tc>
        <w:tc>
          <w:tcPr>
            <w:tcW w:w="1630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Brazil</w:t>
            </w:r>
          </w:p>
        </w:tc>
        <w:tc>
          <w:tcPr>
            <w:tcW w:w="1564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Savanna</w:t>
            </w:r>
          </w:p>
        </w:tc>
        <w:tc>
          <w:tcPr>
            <w:tcW w:w="1843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Xavantes</w:t>
            </w:r>
          </w:p>
        </w:tc>
        <w:tc>
          <w:tcPr>
            <w:tcW w:w="7938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Increased market involvement, income status, wealth status</w:t>
            </w:r>
          </w:p>
        </w:tc>
      </w:tr>
      <w:tr w:rsidR="00BB3A94" w:rsidRPr="009E4768" w:rsidTr="00C674FE">
        <w:trPr>
          <w:trHeight w:val="276"/>
        </w:trPr>
        <w:tc>
          <w:tcPr>
            <w:tcW w:w="2193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hyperlink r:id="rId12" w:history="1">
              <w:r w:rsidRPr="009E4768">
                <w:rPr>
                  <w:rStyle w:val="Hyperlink"/>
                  <w:rFonts w:ascii="Times New Roman" w:eastAsia="Times New Roman" w:hAnsi="Times New Roman"/>
                  <w:sz w:val="20"/>
                  <w:szCs w:val="20"/>
                </w:rPr>
                <w:t>Valeggia et al. 2010</w:t>
              </w:r>
            </w:hyperlink>
          </w:p>
        </w:tc>
        <w:tc>
          <w:tcPr>
            <w:tcW w:w="1630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Argentina</w:t>
            </w:r>
          </w:p>
        </w:tc>
        <w:tc>
          <w:tcPr>
            <w:tcW w:w="1564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Mixed forest</w:t>
            </w:r>
          </w:p>
        </w:tc>
        <w:tc>
          <w:tcPr>
            <w:tcW w:w="1843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Toba / Wichi</w:t>
            </w:r>
          </w:p>
        </w:tc>
        <w:tc>
          <w:tcPr>
            <w:tcW w:w="7938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Gender, political status, wealth, contact with non-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Pr="009E4768">
              <w:rPr>
                <w:rFonts w:ascii="Times New Roman" w:hAnsi="Times New Roman"/>
                <w:sz w:val="20"/>
                <w:szCs w:val="20"/>
              </w:rPr>
              <w:t xml:space="preserve">ndigenous </w:t>
            </w: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Pr="009E4768">
              <w:rPr>
                <w:rFonts w:ascii="Times New Roman" w:hAnsi="Times New Roman"/>
                <w:sz w:val="20"/>
                <w:szCs w:val="20"/>
              </w:rPr>
              <w:t>eople</w:t>
            </w:r>
            <w:r>
              <w:rPr>
                <w:rFonts w:ascii="Times New Roman" w:hAnsi="Times New Roman"/>
                <w:sz w:val="20"/>
                <w:szCs w:val="20"/>
              </w:rPr>
              <w:t>s</w:t>
            </w:r>
            <w:r w:rsidRPr="009E4768">
              <w:rPr>
                <w:rFonts w:ascii="Times New Roman" w:hAnsi="Times New Roman"/>
                <w:sz w:val="20"/>
                <w:szCs w:val="20"/>
              </w:rPr>
              <w:t>, seasonality, cash economy</w:t>
            </w:r>
          </w:p>
        </w:tc>
      </w:tr>
      <w:tr w:rsidR="00BB3A94" w:rsidRPr="009E4768" w:rsidTr="00C674FE">
        <w:trPr>
          <w:trHeight w:val="276"/>
        </w:trPr>
        <w:tc>
          <w:tcPr>
            <w:tcW w:w="2193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hyperlink r:id="rId13" w:history="1">
              <w:r w:rsidRPr="009E4768">
                <w:rPr>
                  <w:rStyle w:val="Hyperlink"/>
                  <w:rFonts w:ascii="Times New Roman" w:eastAsia="Times New Roman" w:hAnsi="Times New Roman"/>
                  <w:sz w:val="20"/>
                  <w:szCs w:val="20"/>
                </w:rPr>
                <w:t>Piperata et al. 2011b</w:t>
              </w:r>
            </w:hyperlink>
          </w:p>
        </w:tc>
        <w:tc>
          <w:tcPr>
            <w:tcW w:w="1630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Brazil</w:t>
            </w:r>
          </w:p>
        </w:tc>
        <w:tc>
          <w:tcPr>
            <w:tcW w:w="1564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Tropical forest</w:t>
            </w:r>
          </w:p>
        </w:tc>
        <w:tc>
          <w:tcPr>
            <w:tcW w:w="1843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Riverine</w:t>
            </w:r>
          </w:p>
        </w:tc>
        <w:tc>
          <w:tcPr>
            <w:tcW w:w="7938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Cash transfer programs, sale of extractivism products, availability of motorized transport, access to electricity</w:t>
            </w:r>
          </w:p>
        </w:tc>
      </w:tr>
      <w:tr w:rsidR="00BB3A94" w:rsidRPr="009E4768" w:rsidTr="00C674FE">
        <w:trPr>
          <w:trHeight w:val="276"/>
        </w:trPr>
        <w:tc>
          <w:tcPr>
            <w:tcW w:w="2193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hyperlink r:id="rId14" w:history="1">
              <w:r w:rsidRPr="009E4768">
                <w:rPr>
                  <w:rStyle w:val="Hyperlink"/>
                  <w:rFonts w:ascii="Times New Roman" w:eastAsia="Times New Roman" w:hAnsi="Times New Roman"/>
                  <w:sz w:val="20"/>
                  <w:szCs w:val="20"/>
                </w:rPr>
                <w:t>Izquierdo et al. 2012</w:t>
              </w:r>
            </w:hyperlink>
          </w:p>
        </w:tc>
        <w:tc>
          <w:tcPr>
            <w:tcW w:w="1630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Mexico</w:t>
            </w:r>
          </w:p>
        </w:tc>
        <w:tc>
          <w:tcPr>
            <w:tcW w:w="1564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Tropical forest</w:t>
            </w:r>
          </w:p>
        </w:tc>
        <w:tc>
          <w:tcPr>
            <w:tcW w:w="1843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Mayas</w:t>
            </w:r>
          </w:p>
        </w:tc>
        <w:tc>
          <w:tcPr>
            <w:tcW w:w="7938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Wage labour, processed food availability, governmental subsides, TV food marketing, agricultural trade policies, status and prestige, taste</w:t>
            </w:r>
          </w:p>
        </w:tc>
      </w:tr>
      <w:tr w:rsidR="00BB3A94" w:rsidRPr="009E4768" w:rsidTr="00C674FE">
        <w:trPr>
          <w:trHeight w:val="276"/>
        </w:trPr>
        <w:tc>
          <w:tcPr>
            <w:tcW w:w="2193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hyperlink r:id="rId15" w:history="1">
              <w:r w:rsidRPr="009E4768">
                <w:rPr>
                  <w:rStyle w:val="Hyperlink"/>
                  <w:rFonts w:ascii="Times New Roman" w:eastAsia="Times New Roman" w:hAnsi="Times New Roman"/>
                  <w:sz w:val="20"/>
                  <w:szCs w:val="20"/>
                </w:rPr>
                <w:t>Houck et al. 2013</w:t>
              </w:r>
            </w:hyperlink>
          </w:p>
        </w:tc>
        <w:tc>
          <w:tcPr>
            <w:tcW w:w="1630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Ecuador</w:t>
            </w:r>
          </w:p>
        </w:tc>
        <w:tc>
          <w:tcPr>
            <w:tcW w:w="1564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Tropical forest</w:t>
            </w:r>
          </w:p>
        </w:tc>
        <w:tc>
          <w:tcPr>
            <w:tcW w:w="1843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 xml:space="preserve">Kichwa / Shuar / Huaorani / Cofán </w:t>
            </w:r>
          </w:p>
        </w:tc>
        <w:tc>
          <w:tcPr>
            <w:tcW w:w="7938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Market integration, wage labour, accessibility</w:t>
            </w:r>
          </w:p>
        </w:tc>
      </w:tr>
      <w:tr w:rsidR="00BB3A94" w:rsidRPr="009E4768" w:rsidTr="00C674FE">
        <w:trPr>
          <w:trHeight w:val="276"/>
        </w:trPr>
        <w:tc>
          <w:tcPr>
            <w:tcW w:w="2193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hyperlink r:id="rId16" w:history="1">
              <w:r w:rsidRPr="009E4768">
                <w:rPr>
                  <w:rStyle w:val="Hyperlink"/>
                  <w:rFonts w:ascii="Times New Roman" w:eastAsia="Times New Roman" w:hAnsi="Times New Roman"/>
                  <w:sz w:val="20"/>
                  <w:szCs w:val="20"/>
                </w:rPr>
                <w:t>Scalco and Rodrigues 2013</w:t>
              </w:r>
            </w:hyperlink>
          </w:p>
        </w:tc>
        <w:tc>
          <w:tcPr>
            <w:tcW w:w="1630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Brazil</w:t>
            </w:r>
          </w:p>
        </w:tc>
        <w:tc>
          <w:tcPr>
            <w:tcW w:w="1564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Tropical forest</w:t>
            </w:r>
          </w:p>
        </w:tc>
        <w:tc>
          <w:tcPr>
            <w:tcW w:w="1843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Guarani</w:t>
            </w:r>
          </w:p>
        </w:tc>
        <w:tc>
          <w:tcPr>
            <w:tcW w:w="7938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Proximity to the city, environmental law restrictions, social benefits</w:t>
            </w:r>
          </w:p>
        </w:tc>
      </w:tr>
      <w:tr w:rsidR="00BB3A94" w:rsidRPr="009E4768" w:rsidTr="00C674FE">
        <w:trPr>
          <w:trHeight w:val="276"/>
        </w:trPr>
        <w:tc>
          <w:tcPr>
            <w:tcW w:w="2193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hyperlink r:id="rId17" w:history="1">
              <w:r w:rsidRPr="009E4768">
                <w:rPr>
                  <w:rStyle w:val="Hyperlink"/>
                  <w:rFonts w:ascii="Times New Roman" w:eastAsia="Times New Roman" w:hAnsi="Times New Roman"/>
                  <w:sz w:val="20"/>
                  <w:szCs w:val="20"/>
                </w:rPr>
                <w:t>Sarti et al. 2015</w:t>
              </w:r>
            </w:hyperlink>
          </w:p>
        </w:tc>
        <w:tc>
          <w:tcPr>
            <w:tcW w:w="1630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Colombia and Brazil</w:t>
            </w:r>
          </w:p>
        </w:tc>
        <w:tc>
          <w:tcPr>
            <w:tcW w:w="1564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Tropical forest</w:t>
            </w:r>
          </w:p>
        </w:tc>
        <w:tc>
          <w:tcPr>
            <w:tcW w:w="1843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Riverine</w:t>
            </w:r>
          </w:p>
        </w:tc>
        <w:tc>
          <w:tcPr>
            <w:tcW w:w="7938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Urbanization level, availability, and affordability of bushmeat</w:t>
            </w:r>
          </w:p>
        </w:tc>
      </w:tr>
      <w:tr w:rsidR="00BB3A94" w:rsidRPr="009E4768" w:rsidTr="00C674FE">
        <w:trPr>
          <w:trHeight w:val="276"/>
        </w:trPr>
        <w:tc>
          <w:tcPr>
            <w:tcW w:w="2193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hyperlink r:id="rId18" w:history="1">
              <w:r w:rsidRPr="009E4768">
                <w:rPr>
                  <w:rStyle w:val="Hyperlink"/>
                  <w:rFonts w:ascii="Times New Roman" w:eastAsia="Times New Roman" w:hAnsi="Times New Roman"/>
                  <w:sz w:val="20"/>
                  <w:szCs w:val="20"/>
                </w:rPr>
                <w:t>Fávaro</w:t>
              </w:r>
              <w:r w:rsidRPr="009E4768">
                <w:rPr>
                  <w:rStyle w:val="Hyperlink"/>
                  <w:rFonts w:ascii="Times New Roman" w:hAnsi="Times New Roman"/>
                  <w:sz w:val="20"/>
                  <w:szCs w:val="20"/>
                </w:rPr>
                <w:t xml:space="preserve"> et al. 2015</w:t>
              </w:r>
            </w:hyperlink>
          </w:p>
        </w:tc>
        <w:tc>
          <w:tcPr>
            <w:tcW w:w="1630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Brazil</w:t>
            </w:r>
          </w:p>
        </w:tc>
        <w:tc>
          <w:tcPr>
            <w:tcW w:w="1564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Savanna</w:t>
            </w:r>
          </w:p>
        </w:tc>
        <w:tc>
          <w:tcPr>
            <w:tcW w:w="1843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Xukuru of Ororubá</w:t>
            </w:r>
          </w:p>
        </w:tc>
        <w:tc>
          <w:tcPr>
            <w:tcW w:w="7938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Increased income</w:t>
            </w:r>
          </w:p>
        </w:tc>
      </w:tr>
      <w:tr w:rsidR="00BB3A94" w:rsidRPr="009E4768" w:rsidTr="00C674FE">
        <w:trPr>
          <w:trHeight w:val="276"/>
        </w:trPr>
        <w:tc>
          <w:tcPr>
            <w:tcW w:w="2193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hyperlink r:id="rId19" w:history="1">
              <w:r w:rsidRPr="009E4768">
                <w:rPr>
                  <w:rStyle w:val="Hyperlink"/>
                  <w:rFonts w:ascii="Times New Roman" w:eastAsia="Times New Roman" w:hAnsi="Times New Roman"/>
                  <w:sz w:val="20"/>
                  <w:szCs w:val="20"/>
                </w:rPr>
                <w:t>Ezeomah and Farag</w:t>
              </w:r>
              <w:r w:rsidRPr="009E4768">
                <w:rPr>
                  <w:rStyle w:val="Hyperlink"/>
                  <w:rFonts w:ascii="Times New Roman" w:hAnsi="Times New Roman"/>
                  <w:sz w:val="20"/>
                  <w:szCs w:val="20"/>
                </w:rPr>
                <w:t xml:space="preserve"> 2016</w:t>
              </w:r>
            </w:hyperlink>
          </w:p>
        </w:tc>
        <w:tc>
          <w:tcPr>
            <w:tcW w:w="1630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Nigeria</w:t>
            </w:r>
          </w:p>
        </w:tc>
        <w:tc>
          <w:tcPr>
            <w:tcW w:w="1564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Savanna</w:t>
            </w:r>
          </w:p>
        </w:tc>
        <w:tc>
          <w:tcPr>
            <w:tcW w:w="1843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Gbagyi's</w:t>
            </w:r>
          </w:p>
        </w:tc>
        <w:tc>
          <w:tcPr>
            <w:tcW w:w="7938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Formal education, new forms of employment, interaction with other ethnic groups, immigration, religion, creation of new roads, land tenure</w:t>
            </w:r>
          </w:p>
        </w:tc>
      </w:tr>
      <w:tr w:rsidR="00BB3A94" w:rsidRPr="009E4768" w:rsidTr="00C674FE">
        <w:trPr>
          <w:trHeight w:val="276"/>
        </w:trPr>
        <w:tc>
          <w:tcPr>
            <w:tcW w:w="2193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hyperlink r:id="rId20" w:history="1">
              <w:r w:rsidRPr="009E4768">
                <w:rPr>
                  <w:rStyle w:val="Hyperlink"/>
                  <w:rFonts w:ascii="Times New Roman" w:eastAsia="Times New Roman" w:hAnsi="Times New Roman"/>
                  <w:sz w:val="20"/>
                  <w:szCs w:val="20"/>
                </w:rPr>
                <w:t>Zavaleta et al. 2017</w:t>
              </w:r>
            </w:hyperlink>
          </w:p>
        </w:tc>
        <w:tc>
          <w:tcPr>
            <w:tcW w:w="1630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Peru</w:t>
            </w:r>
          </w:p>
        </w:tc>
        <w:tc>
          <w:tcPr>
            <w:tcW w:w="1564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Tropical forest</w:t>
            </w:r>
          </w:p>
        </w:tc>
        <w:tc>
          <w:tcPr>
            <w:tcW w:w="1843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Shawi</w:t>
            </w:r>
          </w:p>
        </w:tc>
        <w:tc>
          <w:tcPr>
            <w:tcW w:w="7938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Loss of biodiversity, seasonality, national food program</w:t>
            </w:r>
          </w:p>
        </w:tc>
      </w:tr>
      <w:tr w:rsidR="00BB3A94" w:rsidRPr="009E4768" w:rsidTr="00C674FE">
        <w:trPr>
          <w:trHeight w:val="276"/>
        </w:trPr>
        <w:tc>
          <w:tcPr>
            <w:tcW w:w="2193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hyperlink r:id="rId21" w:history="1">
              <w:r w:rsidRPr="009E4768">
                <w:rPr>
                  <w:rStyle w:val="Hyperlink"/>
                  <w:rFonts w:ascii="Times New Roman" w:eastAsia="Times New Roman" w:hAnsi="Times New Roman"/>
                  <w:sz w:val="20"/>
                  <w:szCs w:val="20"/>
                </w:rPr>
                <w:t>Silva et al. 2017</w:t>
              </w:r>
            </w:hyperlink>
          </w:p>
        </w:tc>
        <w:tc>
          <w:tcPr>
            <w:tcW w:w="1630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Brazil</w:t>
            </w:r>
          </w:p>
        </w:tc>
        <w:tc>
          <w:tcPr>
            <w:tcW w:w="1564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Tropical forest</w:t>
            </w:r>
          </w:p>
        </w:tc>
        <w:tc>
          <w:tcPr>
            <w:tcW w:w="1843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Riverine</w:t>
            </w:r>
          </w:p>
        </w:tc>
        <w:tc>
          <w:tcPr>
            <w:tcW w:w="7938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Market participation, environmental context, cash transfer programs, social prestige, proximity to urban centre, access to wage labour</w:t>
            </w:r>
          </w:p>
        </w:tc>
      </w:tr>
      <w:tr w:rsidR="00BB3A94" w:rsidRPr="009E4768" w:rsidTr="00C674FE">
        <w:trPr>
          <w:trHeight w:val="276"/>
        </w:trPr>
        <w:tc>
          <w:tcPr>
            <w:tcW w:w="2193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hyperlink r:id="rId22" w:history="1">
              <w:r w:rsidRPr="009E4768">
                <w:rPr>
                  <w:rStyle w:val="Hyperlink"/>
                  <w:rFonts w:ascii="Times New Roman" w:eastAsia="Times New Roman" w:hAnsi="Times New Roman"/>
                  <w:sz w:val="20"/>
                  <w:szCs w:val="20"/>
                </w:rPr>
                <w:t>Reyes-García et al. 2018</w:t>
              </w:r>
            </w:hyperlink>
          </w:p>
        </w:tc>
        <w:tc>
          <w:tcPr>
            <w:tcW w:w="1630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Cameroon, Bolivia e Indonesia</w:t>
            </w:r>
          </w:p>
        </w:tc>
        <w:tc>
          <w:tcPr>
            <w:tcW w:w="1564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Tropical forest</w:t>
            </w:r>
          </w:p>
        </w:tc>
        <w:tc>
          <w:tcPr>
            <w:tcW w:w="1843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Tsiname / Baka / Punan Tubu</w:t>
            </w:r>
          </w:p>
        </w:tc>
        <w:tc>
          <w:tcPr>
            <w:tcW w:w="7938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Schooling</w:t>
            </w:r>
          </w:p>
        </w:tc>
      </w:tr>
      <w:tr w:rsidR="00BB3A94" w:rsidRPr="009E4768" w:rsidTr="00C674FE">
        <w:trPr>
          <w:trHeight w:val="276"/>
        </w:trPr>
        <w:tc>
          <w:tcPr>
            <w:tcW w:w="2193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hyperlink r:id="rId23" w:history="1">
              <w:r w:rsidRPr="009E4768">
                <w:rPr>
                  <w:rStyle w:val="Hyperlink"/>
                  <w:rFonts w:ascii="Times New Roman" w:eastAsia="Times New Roman" w:hAnsi="Times New Roman"/>
                  <w:sz w:val="20"/>
                  <w:szCs w:val="20"/>
                </w:rPr>
                <w:t>Chee et al. 2019</w:t>
              </w:r>
            </w:hyperlink>
          </w:p>
        </w:tc>
        <w:tc>
          <w:tcPr>
            <w:tcW w:w="1630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Ecuador</w:t>
            </w:r>
          </w:p>
        </w:tc>
        <w:tc>
          <w:tcPr>
            <w:tcW w:w="1564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Mixed forest</w:t>
            </w:r>
          </w:p>
        </w:tc>
        <w:tc>
          <w:tcPr>
            <w:tcW w:w="1843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Kichwas</w:t>
            </w:r>
          </w:p>
        </w:tc>
        <w:tc>
          <w:tcPr>
            <w:tcW w:w="7938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Urbanization, dual household income, woman working outside, market integration</w:t>
            </w:r>
          </w:p>
        </w:tc>
      </w:tr>
      <w:tr w:rsidR="00BB3A94" w:rsidRPr="009E4768" w:rsidTr="00C674FE">
        <w:trPr>
          <w:trHeight w:val="276"/>
        </w:trPr>
        <w:tc>
          <w:tcPr>
            <w:tcW w:w="2193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hyperlink r:id="rId24" w:history="1">
              <w:r w:rsidRPr="009E4768">
                <w:rPr>
                  <w:rStyle w:val="Hyperlink"/>
                  <w:rFonts w:ascii="Times New Roman" w:eastAsia="Times New Roman" w:hAnsi="Times New Roman"/>
                  <w:sz w:val="20"/>
                  <w:szCs w:val="20"/>
                </w:rPr>
                <w:t>Barreau et al. 2019</w:t>
              </w:r>
            </w:hyperlink>
          </w:p>
        </w:tc>
        <w:tc>
          <w:tcPr>
            <w:tcW w:w="1630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Chile</w:t>
            </w:r>
          </w:p>
        </w:tc>
        <w:tc>
          <w:tcPr>
            <w:tcW w:w="1564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Temperate forest</w:t>
            </w:r>
          </w:p>
        </w:tc>
        <w:tc>
          <w:tcPr>
            <w:tcW w:w="1843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Mapuche</w:t>
            </w:r>
          </w:p>
        </w:tc>
        <w:tc>
          <w:tcPr>
            <w:tcW w:w="7938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Seasonality, schooling, temporary youth migration to cities, historical land grabbing, governmental programs-polices, woman marrying non Mapuche</w:t>
            </w:r>
          </w:p>
        </w:tc>
      </w:tr>
      <w:tr w:rsidR="00BB3A94" w:rsidRPr="009E4768" w:rsidTr="00C674FE">
        <w:trPr>
          <w:trHeight w:val="276"/>
        </w:trPr>
        <w:tc>
          <w:tcPr>
            <w:tcW w:w="2193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hyperlink r:id="rId25" w:history="1">
              <w:r w:rsidRPr="009E4768">
                <w:rPr>
                  <w:rStyle w:val="Hyperlink"/>
                  <w:rFonts w:ascii="Times New Roman" w:eastAsia="Times New Roman" w:hAnsi="Times New Roman"/>
                  <w:sz w:val="20"/>
                  <w:szCs w:val="20"/>
                </w:rPr>
                <w:t>Soares et al. 2019</w:t>
              </w:r>
            </w:hyperlink>
          </w:p>
        </w:tc>
        <w:tc>
          <w:tcPr>
            <w:tcW w:w="1630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Brazil</w:t>
            </w:r>
          </w:p>
        </w:tc>
        <w:tc>
          <w:tcPr>
            <w:tcW w:w="1564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Tropical forest</w:t>
            </w:r>
          </w:p>
        </w:tc>
        <w:tc>
          <w:tcPr>
            <w:tcW w:w="1843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Kaigang / Guarani</w:t>
            </w:r>
          </w:p>
        </w:tc>
        <w:tc>
          <w:tcPr>
            <w:tcW w:w="7938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Contact with non-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Pr="009E4768">
              <w:rPr>
                <w:rFonts w:ascii="Times New Roman" w:hAnsi="Times New Roman"/>
                <w:sz w:val="20"/>
                <w:szCs w:val="20"/>
              </w:rPr>
              <w:t xml:space="preserve">ndigenous, money, participation in formal market, interference of new technologies, exploitation of 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Pr="009E4768">
              <w:rPr>
                <w:rFonts w:ascii="Times New Roman" w:hAnsi="Times New Roman"/>
                <w:sz w:val="20"/>
                <w:szCs w:val="20"/>
              </w:rPr>
              <w:t>ndigenous territories, cultural domination, contemporary colonialism</w:t>
            </w:r>
          </w:p>
        </w:tc>
      </w:tr>
      <w:tr w:rsidR="00BB3A94" w:rsidRPr="009E4768" w:rsidTr="00C674FE">
        <w:trPr>
          <w:trHeight w:val="276"/>
        </w:trPr>
        <w:tc>
          <w:tcPr>
            <w:tcW w:w="2193" w:type="dxa"/>
            <w:tcBorders>
              <w:bottom w:val="nil"/>
            </w:tcBorders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hyperlink r:id="rId26" w:history="1">
              <w:r w:rsidRPr="009E4768">
                <w:rPr>
                  <w:rStyle w:val="Hyperlink"/>
                  <w:rFonts w:ascii="Times New Roman" w:eastAsia="Times New Roman" w:hAnsi="Times New Roman"/>
                  <w:sz w:val="20"/>
                  <w:szCs w:val="20"/>
                </w:rPr>
                <w:t>Pettigrew et al. 2019</w:t>
              </w:r>
            </w:hyperlink>
          </w:p>
        </w:tc>
        <w:tc>
          <w:tcPr>
            <w:tcW w:w="1630" w:type="dxa"/>
            <w:tcBorders>
              <w:bottom w:val="nil"/>
            </w:tcBorders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Peru</w:t>
            </w:r>
          </w:p>
        </w:tc>
        <w:tc>
          <w:tcPr>
            <w:tcW w:w="1564" w:type="dxa"/>
            <w:tcBorders>
              <w:bottom w:val="nil"/>
            </w:tcBorders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Tropical forest</w:t>
            </w:r>
          </w:p>
        </w:tc>
        <w:tc>
          <w:tcPr>
            <w:tcW w:w="1843" w:type="dxa"/>
            <w:tcBorders>
              <w:bottom w:val="nil"/>
            </w:tcBorders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Urban to Rural</w:t>
            </w:r>
          </w:p>
        </w:tc>
        <w:tc>
          <w:tcPr>
            <w:tcW w:w="7938" w:type="dxa"/>
            <w:tcBorders>
              <w:bottom w:val="nil"/>
            </w:tcBorders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Urbanization, geographic variation, age, mobility</w:t>
            </w:r>
          </w:p>
        </w:tc>
      </w:tr>
      <w:tr w:rsidR="00BB3A94" w:rsidRPr="009E4768" w:rsidTr="00C674FE">
        <w:trPr>
          <w:trHeight w:val="276"/>
        </w:trPr>
        <w:tc>
          <w:tcPr>
            <w:tcW w:w="2193" w:type="dxa"/>
            <w:tcBorders>
              <w:top w:val="nil"/>
              <w:bottom w:val="nil"/>
            </w:tcBorders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hyperlink r:id="rId27" w:history="1">
              <w:r w:rsidRPr="009E4768">
                <w:rPr>
                  <w:rStyle w:val="Hyperlink"/>
                  <w:rFonts w:ascii="Times New Roman" w:eastAsia="Times New Roman" w:hAnsi="Times New Roman"/>
                  <w:sz w:val="20"/>
                  <w:szCs w:val="20"/>
                </w:rPr>
                <w:t>Petrenya et al. 2019</w:t>
              </w:r>
            </w:hyperlink>
          </w:p>
        </w:tc>
        <w:tc>
          <w:tcPr>
            <w:tcW w:w="1630" w:type="dxa"/>
            <w:tcBorders>
              <w:top w:val="nil"/>
              <w:bottom w:val="nil"/>
            </w:tcBorders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Norway</w:t>
            </w:r>
          </w:p>
        </w:tc>
        <w:tc>
          <w:tcPr>
            <w:tcW w:w="1564" w:type="dxa"/>
            <w:tcBorders>
              <w:top w:val="nil"/>
              <w:bottom w:val="nil"/>
            </w:tcBorders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Boreal forest/Taiga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Mixed ethnicity</w:t>
            </w: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Age, low degree education, territory geography, gender, annual household income</w:t>
            </w:r>
          </w:p>
        </w:tc>
      </w:tr>
      <w:tr w:rsidR="00BB3A94" w:rsidRPr="009E4768" w:rsidTr="00C674FE">
        <w:trPr>
          <w:trHeight w:val="428"/>
        </w:trPr>
        <w:tc>
          <w:tcPr>
            <w:tcW w:w="2193" w:type="dxa"/>
            <w:tcBorders>
              <w:top w:val="nil"/>
            </w:tcBorders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hyperlink r:id="rId28" w:history="1">
              <w:r w:rsidRPr="009E4768">
                <w:rPr>
                  <w:rStyle w:val="Hyperlink"/>
                  <w:rFonts w:ascii="Times New Roman" w:eastAsia="Times New Roman" w:hAnsi="Times New Roman"/>
                  <w:sz w:val="20"/>
                  <w:szCs w:val="20"/>
                </w:rPr>
                <w:t>Reyes-García et al. 2019b</w:t>
              </w:r>
            </w:hyperlink>
          </w:p>
        </w:tc>
        <w:tc>
          <w:tcPr>
            <w:tcW w:w="1630" w:type="dxa"/>
            <w:tcBorders>
              <w:top w:val="nil"/>
            </w:tcBorders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Cameroon, Bolivia e Indonesia</w:t>
            </w:r>
          </w:p>
        </w:tc>
        <w:tc>
          <w:tcPr>
            <w:tcW w:w="1564" w:type="dxa"/>
            <w:tcBorders>
              <w:top w:val="nil"/>
            </w:tcBorders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Tropical forest</w:t>
            </w:r>
          </w:p>
        </w:tc>
        <w:tc>
          <w:tcPr>
            <w:tcW w:w="1843" w:type="dxa"/>
            <w:tcBorders>
              <w:top w:val="nil"/>
            </w:tcBorders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Tsiname / Baka / Punan Tubu</w:t>
            </w:r>
          </w:p>
        </w:tc>
        <w:tc>
          <w:tcPr>
            <w:tcW w:w="7938" w:type="dxa"/>
            <w:tcBorders>
              <w:top w:val="nil"/>
            </w:tcBorders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Market integration, food accessibility, seasonality</w:t>
            </w:r>
          </w:p>
        </w:tc>
      </w:tr>
      <w:tr w:rsidR="00BB3A94" w:rsidRPr="009E4768" w:rsidTr="00C674FE">
        <w:trPr>
          <w:trHeight w:val="276"/>
        </w:trPr>
        <w:tc>
          <w:tcPr>
            <w:tcW w:w="2193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hyperlink r:id="rId29" w:history="1">
              <w:r w:rsidRPr="009E4768">
                <w:rPr>
                  <w:rStyle w:val="Hyperlink"/>
                  <w:rFonts w:ascii="Times New Roman" w:eastAsia="Times New Roman" w:hAnsi="Times New Roman"/>
                  <w:sz w:val="20"/>
                  <w:szCs w:val="20"/>
                </w:rPr>
                <w:t>Jardim et al. 2020</w:t>
              </w:r>
            </w:hyperlink>
          </w:p>
        </w:tc>
        <w:tc>
          <w:tcPr>
            <w:tcW w:w="1630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Brazil</w:t>
            </w:r>
          </w:p>
        </w:tc>
        <w:tc>
          <w:tcPr>
            <w:tcW w:w="1564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Tropical forest</w:t>
            </w:r>
          </w:p>
        </w:tc>
        <w:tc>
          <w:tcPr>
            <w:tcW w:w="1843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Riverine</w:t>
            </w:r>
          </w:p>
        </w:tc>
        <w:tc>
          <w:tcPr>
            <w:tcW w:w="7938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Landscape variables, cash transfer programs, seasonal wild food availability, easier market food accessibility and affordability</w:t>
            </w:r>
          </w:p>
        </w:tc>
      </w:tr>
      <w:tr w:rsidR="00BB3A94" w:rsidRPr="009E4768" w:rsidTr="00C674FE">
        <w:trPr>
          <w:trHeight w:val="276"/>
        </w:trPr>
        <w:tc>
          <w:tcPr>
            <w:tcW w:w="2193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hyperlink r:id="rId30" w:history="1">
              <w:r w:rsidRPr="009E4768">
                <w:rPr>
                  <w:rStyle w:val="Hyperlink"/>
                  <w:rFonts w:ascii="Times New Roman" w:eastAsia="Times New Roman" w:hAnsi="Times New Roman"/>
                  <w:sz w:val="20"/>
                  <w:szCs w:val="20"/>
                </w:rPr>
                <w:t>Vogliano et al. 2020</w:t>
              </w:r>
            </w:hyperlink>
          </w:p>
        </w:tc>
        <w:tc>
          <w:tcPr>
            <w:tcW w:w="1630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Solomon Islands</w:t>
            </w:r>
          </w:p>
        </w:tc>
        <w:tc>
          <w:tcPr>
            <w:tcW w:w="1564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Tropical forest</w:t>
            </w:r>
          </w:p>
        </w:tc>
        <w:tc>
          <w:tcPr>
            <w:tcW w:w="1843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Mixed ethnicity</w:t>
            </w:r>
          </w:p>
        </w:tc>
        <w:tc>
          <w:tcPr>
            <w:tcW w:w="7938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Proximity to urban centres and external markets, intergenerational preferences, seasonal fluctuations of market produce prices, climate changes, loss of traditional knowledge and traditional food systems</w:t>
            </w:r>
          </w:p>
        </w:tc>
      </w:tr>
      <w:tr w:rsidR="00BB3A94" w:rsidRPr="009E4768" w:rsidTr="00C674FE">
        <w:trPr>
          <w:trHeight w:val="276"/>
        </w:trPr>
        <w:tc>
          <w:tcPr>
            <w:tcW w:w="2193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hyperlink r:id="rId31" w:history="1">
              <w:r w:rsidRPr="009E4768">
                <w:rPr>
                  <w:rStyle w:val="Hyperlink"/>
                  <w:rFonts w:ascii="Times New Roman" w:eastAsia="Times New Roman" w:hAnsi="Times New Roman"/>
                  <w:sz w:val="20"/>
                  <w:szCs w:val="20"/>
                </w:rPr>
                <w:t>Olmedo et al. 2020</w:t>
              </w:r>
            </w:hyperlink>
          </w:p>
        </w:tc>
        <w:tc>
          <w:tcPr>
            <w:tcW w:w="1630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Argentina</w:t>
            </w:r>
          </w:p>
        </w:tc>
        <w:tc>
          <w:tcPr>
            <w:tcW w:w="1564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Mixed forest</w:t>
            </w:r>
          </w:p>
        </w:tc>
        <w:tc>
          <w:tcPr>
            <w:tcW w:w="1843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Qom</w:t>
            </w:r>
          </w:p>
        </w:tc>
        <w:tc>
          <w:tcPr>
            <w:tcW w:w="7938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Low socioeconomic level, children eating habits at school</w:t>
            </w:r>
          </w:p>
        </w:tc>
      </w:tr>
      <w:tr w:rsidR="00BB3A94" w:rsidRPr="009E4768" w:rsidTr="00C674FE">
        <w:trPr>
          <w:trHeight w:val="276"/>
        </w:trPr>
        <w:tc>
          <w:tcPr>
            <w:tcW w:w="2193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hyperlink r:id="rId32" w:history="1">
              <w:r w:rsidRPr="009E4768">
                <w:rPr>
                  <w:rStyle w:val="Hyperlink"/>
                  <w:rFonts w:ascii="Times New Roman" w:eastAsia="Times New Roman" w:hAnsi="Times New Roman"/>
                  <w:sz w:val="20"/>
                  <w:szCs w:val="20"/>
                </w:rPr>
                <w:t>Fernández 2020</w:t>
              </w:r>
            </w:hyperlink>
          </w:p>
        </w:tc>
        <w:tc>
          <w:tcPr>
            <w:tcW w:w="1630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Chile</w:t>
            </w:r>
          </w:p>
        </w:tc>
        <w:tc>
          <w:tcPr>
            <w:tcW w:w="1564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Multiple</w:t>
            </w:r>
          </w:p>
        </w:tc>
        <w:tc>
          <w:tcPr>
            <w:tcW w:w="1843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Pehuenche / Atacameños</w:t>
            </w:r>
          </w:p>
        </w:tc>
        <w:tc>
          <w:tcPr>
            <w:tcW w:w="7938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Market integration, wage-labour integration, food preferences, stable income, access to market food, isolation degree, commoditization of food systems</w:t>
            </w:r>
          </w:p>
        </w:tc>
      </w:tr>
      <w:tr w:rsidR="00BB3A94" w:rsidRPr="009E4768" w:rsidTr="00C674FE">
        <w:trPr>
          <w:trHeight w:val="276"/>
        </w:trPr>
        <w:tc>
          <w:tcPr>
            <w:tcW w:w="2193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hyperlink r:id="rId33" w:history="1">
              <w:r w:rsidRPr="009E4768">
                <w:rPr>
                  <w:rStyle w:val="Hyperlink"/>
                  <w:rFonts w:ascii="Times New Roman" w:eastAsia="Times New Roman" w:hAnsi="Times New Roman"/>
                  <w:sz w:val="20"/>
                  <w:szCs w:val="20"/>
                </w:rPr>
                <w:t>Machado et al. 2021</w:t>
              </w:r>
            </w:hyperlink>
          </w:p>
        </w:tc>
        <w:tc>
          <w:tcPr>
            <w:tcW w:w="1630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Brazil</w:t>
            </w:r>
          </w:p>
        </w:tc>
        <w:tc>
          <w:tcPr>
            <w:tcW w:w="1564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Tropical forest</w:t>
            </w:r>
          </w:p>
        </w:tc>
        <w:tc>
          <w:tcPr>
            <w:tcW w:w="1843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Riverine</w:t>
            </w:r>
          </w:p>
        </w:tc>
        <w:tc>
          <w:tcPr>
            <w:tcW w:w="7938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Seasonality, environment variables, access to urban centres</w:t>
            </w:r>
          </w:p>
        </w:tc>
      </w:tr>
      <w:tr w:rsidR="00BB3A94" w:rsidRPr="009E4768" w:rsidTr="00C674FE">
        <w:trPr>
          <w:trHeight w:val="276"/>
        </w:trPr>
        <w:tc>
          <w:tcPr>
            <w:tcW w:w="2193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hyperlink r:id="rId34" w:history="1">
              <w:r w:rsidRPr="009E4768">
                <w:rPr>
                  <w:rStyle w:val="Hyperlink"/>
                  <w:rFonts w:ascii="Times New Roman" w:eastAsia="Times New Roman" w:hAnsi="Times New Roman"/>
                  <w:sz w:val="20"/>
                  <w:szCs w:val="20"/>
                </w:rPr>
                <w:t>Corrêa et al. 2021</w:t>
              </w:r>
            </w:hyperlink>
          </w:p>
        </w:tc>
        <w:tc>
          <w:tcPr>
            <w:tcW w:w="1630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Brazil</w:t>
            </w:r>
          </w:p>
        </w:tc>
        <w:tc>
          <w:tcPr>
            <w:tcW w:w="1564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Tropical forest</w:t>
            </w:r>
          </w:p>
        </w:tc>
        <w:tc>
          <w:tcPr>
            <w:tcW w:w="1843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Mixed ethnicity</w:t>
            </w:r>
          </w:p>
        </w:tc>
        <w:tc>
          <w:tcPr>
            <w:tcW w:w="7938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Commuting to urban areas, inter-ethnic contact, cash transfer programs</w:t>
            </w:r>
          </w:p>
        </w:tc>
      </w:tr>
      <w:tr w:rsidR="00BB3A94" w:rsidRPr="009E4768" w:rsidTr="00C674FE">
        <w:trPr>
          <w:trHeight w:val="276"/>
        </w:trPr>
        <w:tc>
          <w:tcPr>
            <w:tcW w:w="2193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hyperlink r:id="rId35" w:history="1">
              <w:r w:rsidRPr="009E4768">
                <w:rPr>
                  <w:rStyle w:val="Hyperlink"/>
                  <w:rFonts w:ascii="Times New Roman" w:eastAsia="Times New Roman" w:hAnsi="Times New Roman"/>
                  <w:sz w:val="20"/>
                  <w:szCs w:val="20"/>
                </w:rPr>
                <w:t>Savage et al. 2021</w:t>
              </w:r>
            </w:hyperlink>
          </w:p>
        </w:tc>
        <w:tc>
          <w:tcPr>
            <w:tcW w:w="1630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Vanuatu</w:t>
            </w:r>
          </w:p>
        </w:tc>
        <w:tc>
          <w:tcPr>
            <w:tcW w:w="1564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Tropical forest</w:t>
            </w:r>
          </w:p>
        </w:tc>
        <w:tc>
          <w:tcPr>
            <w:tcW w:w="1843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Remote / Peri-urban</w:t>
            </w:r>
          </w:p>
        </w:tc>
        <w:tc>
          <w:tcPr>
            <w:tcW w:w="7938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Climate extremes, socioeconomical shifts, food aid, local food prices, geographic proximity of food</w:t>
            </w:r>
          </w:p>
        </w:tc>
      </w:tr>
      <w:tr w:rsidR="00BB3A94" w:rsidRPr="009E4768" w:rsidTr="00C674FE">
        <w:trPr>
          <w:trHeight w:val="276"/>
        </w:trPr>
        <w:tc>
          <w:tcPr>
            <w:tcW w:w="2193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hyperlink r:id="rId36" w:history="1">
              <w:r w:rsidRPr="009E4768">
                <w:rPr>
                  <w:rStyle w:val="Hyperlink"/>
                  <w:rFonts w:ascii="Times New Roman" w:eastAsia="Times New Roman" w:hAnsi="Times New Roman"/>
                  <w:sz w:val="20"/>
                  <w:szCs w:val="20"/>
                </w:rPr>
                <w:t>Ripkey et al. 2021</w:t>
              </w:r>
            </w:hyperlink>
          </w:p>
        </w:tc>
        <w:tc>
          <w:tcPr>
            <w:tcW w:w="1630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Tanzania</w:t>
            </w:r>
          </w:p>
        </w:tc>
        <w:tc>
          <w:tcPr>
            <w:tcW w:w="1564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Savanna</w:t>
            </w:r>
          </w:p>
        </w:tc>
        <w:tc>
          <w:tcPr>
            <w:tcW w:w="1843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Agropastors</w:t>
            </w:r>
          </w:p>
        </w:tc>
        <w:tc>
          <w:tcPr>
            <w:tcW w:w="7938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Climate variability, large-scale farming, increasing scarcity of wild food, increasing expense of traditional foods, lack of access to public lands, increased availability and affordability of processed food, migration patterns</w:t>
            </w:r>
          </w:p>
        </w:tc>
      </w:tr>
      <w:tr w:rsidR="00BB3A94" w:rsidRPr="009E4768" w:rsidTr="00C674FE">
        <w:trPr>
          <w:trHeight w:val="276"/>
        </w:trPr>
        <w:tc>
          <w:tcPr>
            <w:tcW w:w="2193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hyperlink r:id="rId37" w:history="1">
              <w:r w:rsidRPr="009E4768">
                <w:rPr>
                  <w:rStyle w:val="Hyperlink"/>
                  <w:rFonts w:ascii="Times New Roman" w:eastAsia="Times New Roman" w:hAnsi="Times New Roman"/>
                  <w:sz w:val="20"/>
                  <w:szCs w:val="20"/>
                </w:rPr>
                <w:t>Malhotra et al. 2021</w:t>
              </w:r>
            </w:hyperlink>
          </w:p>
        </w:tc>
        <w:tc>
          <w:tcPr>
            <w:tcW w:w="1630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India</w:t>
            </w:r>
          </w:p>
        </w:tc>
        <w:tc>
          <w:tcPr>
            <w:tcW w:w="1564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Mixed forest</w:t>
            </w:r>
          </w:p>
        </w:tc>
        <w:tc>
          <w:tcPr>
            <w:tcW w:w="1843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Gaddis</w:t>
            </w:r>
          </w:p>
        </w:tc>
        <w:tc>
          <w:tcPr>
            <w:tcW w:w="7938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Declining of traditional livelihoods, changes in land use patterns, governmental development schemes and subsides, salaried jobs</w:t>
            </w:r>
          </w:p>
        </w:tc>
      </w:tr>
      <w:tr w:rsidR="00BB3A94" w:rsidRPr="009E4768" w:rsidTr="00C674FE">
        <w:trPr>
          <w:trHeight w:val="276"/>
        </w:trPr>
        <w:tc>
          <w:tcPr>
            <w:tcW w:w="2193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hyperlink r:id="rId38" w:history="1">
              <w:r w:rsidRPr="009E4768">
                <w:rPr>
                  <w:rStyle w:val="Hyperlink"/>
                  <w:rFonts w:ascii="Times New Roman" w:eastAsia="Times New Roman" w:hAnsi="Times New Roman"/>
                  <w:sz w:val="20"/>
                  <w:szCs w:val="20"/>
                </w:rPr>
                <w:t>Machado et al. 2021</w:t>
              </w:r>
            </w:hyperlink>
          </w:p>
        </w:tc>
        <w:tc>
          <w:tcPr>
            <w:tcW w:w="1630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Brazil</w:t>
            </w:r>
          </w:p>
        </w:tc>
        <w:tc>
          <w:tcPr>
            <w:tcW w:w="1564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Tropical forest</w:t>
            </w:r>
          </w:p>
        </w:tc>
        <w:tc>
          <w:tcPr>
            <w:tcW w:w="1843" w:type="dxa"/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Riverine</w:t>
            </w:r>
          </w:p>
        </w:tc>
        <w:tc>
          <w:tcPr>
            <w:tcW w:w="7938" w:type="dxa"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Increased purchase power, increasing access to industrialized food</w:t>
            </w:r>
          </w:p>
        </w:tc>
      </w:tr>
      <w:tr w:rsidR="00BB3A94" w:rsidRPr="009E4768" w:rsidTr="00C674FE">
        <w:trPr>
          <w:trHeight w:val="276"/>
        </w:trPr>
        <w:tc>
          <w:tcPr>
            <w:tcW w:w="2193" w:type="dxa"/>
            <w:tcBorders>
              <w:bottom w:val="single" w:sz="12" w:space="0" w:color="auto"/>
            </w:tcBorders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hyperlink r:id="rId39" w:history="1">
              <w:r w:rsidRPr="009E4768">
                <w:rPr>
                  <w:rStyle w:val="Hyperlink"/>
                  <w:rFonts w:ascii="Times New Roman" w:eastAsia="Times New Roman" w:hAnsi="Times New Roman"/>
                  <w:sz w:val="20"/>
                  <w:szCs w:val="20"/>
                </w:rPr>
                <w:t>Tallman et al. 2022</w:t>
              </w:r>
            </w:hyperlink>
          </w:p>
        </w:tc>
        <w:tc>
          <w:tcPr>
            <w:tcW w:w="1630" w:type="dxa"/>
            <w:tcBorders>
              <w:bottom w:val="single" w:sz="12" w:space="0" w:color="auto"/>
            </w:tcBorders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Peru</w:t>
            </w:r>
          </w:p>
        </w:tc>
        <w:tc>
          <w:tcPr>
            <w:tcW w:w="1564" w:type="dxa"/>
            <w:tcBorders>
              <w:bottom w:val="single" w:sz="12" w:space="0" w:color="auto"/>
            </w:tcBorders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Tropical forest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noWrap/>
            <w:hideMark/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Awajún</w:t>
            </w:r>
          </w:p>
        </w:tc>
        <w:tc>
          <w:tcPr>
            <w:tcW w:w="7938" w:type="dxa"/>
            <w:tcBorders>
              <w:bottom w:val="single" w:sz="12" w:space="0" w:color="auto"/>
            </w:tcBorders>
          </w:tcPr>
          <w:p w:rsidR="00BB3A94" w:rsidRPr="009E4768" w:rsidRDefault="00BB3A94" w:rsidP="00C674FE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4768">
              <w:rPr>
                <w:rFonts w:ascii="Times New Roman" w:hAnsi="Times New Roman"/>
                <w:sz w:val="20"/>
                <w:szCs w:val="20"/>
              </w:rPr>
              <w:t>Market integration, highway construction, implementing colonialist policies, demographic movements, new agricultural patterns, evangelical missionaries, loss of flora and fauna used for food, socioeconomic status</w:t>
            </w:r>
          </w:p>
        </w:tc>
      </w:tr>
    </w:tbl>
    <w:p w:rsidR="00BB3A94" w:rsidRPr="009E4768" w:rsidRDefault="00BB3A94" w:rsidP="00BB3A94">
      <w:p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FE6E91" w:rsidRDefault="00FE6E91">
      <w:bookmarkStart w:id="0" w:name="_GoBack"/>
      <w:bookmarkEnd w:id="0"/>
    </w:p>
    <w:sectPr w:rsidR="00FE6E91" w:rsidSect="00BA450C">
      <w:pgSz w:w="16838" w:h="11906" w:orient="landscape"/>
      <w:pgMar w:top="1418" w:right="993" w:bottom="1418" w:left="851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A94"/>
    <w:rsid w:val="00003311"/>
    <w:rsid w:val="0000439A"/>
    <w:rsid w:val="0016649E"/>
    <w:rsid w:val="001E2828"/>
    <w:rsid w:val="002618AE"/>
    <w:rsid w:val="002B20AD"/>
    <w:rsid w:val="002C0641"/>
    <w:rsid w:val="002D522C"/>
    <w:rsid w:val="003916B4"/>
    <w:rsid w:val="00394AA3"/>
    <w:rsid w:val="003D091D"/>
    <w:rsid w:val="003D3970"/>
    <w:rsid w:val="00405511"/>
    <w:rsid w:val="005D75D9"/>
    <w:rsid w:val="006214C0"/>
    <w:rsid w:val="006B7B7B"/>
    <w:rsid w:val="006C7B84"/>
    <w:rsid w:val="006E5F4D"/>
    <w:rsid w:val="00755F85"/>
    <w:rsid w:val="007857DC"/>
    <w:rsid w:val="008E401D"/>
    <w:rsid w:val="00950FB8"/>
    <w:rsid w:val="00974EDF"/>
    <w:rsid w:val="009F3E75"/>
    <w:rsid w:val="00A07ACE"/>
    <w:rsid w:val="00A43FB5"/>
    <w:rsid w:val="00A76F8C"/>
    <w:rsid w:val="00A956BA"/>
    <w:rsid w:val="00AC5735"/>
    <w:rsid w:val="00AF27B7"/>
    <w:rsid w:val="00BA4FCD"/>
    <w:rsid w:val="00BB3A94"/>
    <w:rsid w:val="00D0184D"/>
    <w:rsid w:val="00D8638C"/>
    <w:rsid w:val="00D92673"/>
    <w:rsid w:val="00E225C8"/>
    <w:rsid w:val="00E970B1"/>
    <w:rsid w:val="00F63603"/>
    <w:rsid w:val="00FE6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1F9091-28CC-4506-9ED8-DE65C9C35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B3A94"/>
    <w:rPr>
      <w:color w:val="0000FF"/>
      <w:u w:val="single"/>
    </w:rPr>
  </w:style>
  <w:style w:type="table" w:styleId="TableGrid">
    <w:name w:val="Table Grid"/>
    <w:basedOn w:val="TableNormal"/>
    <w:uiPriority w:val="39"/>
    <w:rsid w:val="00BB3A94"/>
    <w:pPr>
      <w:spacing w:after="0" w:line="240" w:lineRule="auto"/>
    </w:pPr>
    <w:rPr>
      <w:lang w:val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002/ajpa.21459" TargetMode="External"/><Relationship Id="rId18" Type="http://schemas.openxmlformats.org/officeDocument/2006/relationships/hyperlink" Target="https://doi.org/10.1590/0102-311X00086014" TargetMode="External"/><Relationship Id="rId26" Type="http://schemas.openxmlformats.org/officeDocument/2006/relationships/hyperlink" Target="https://doi.org/10.1016/j.scitotenv.2019.05.484" TargetMode="External"/><Relationship Id="rId39" Type="http://schemas.openxmlformats.org/officeDocument/2006/relationships/hyperlink" Target="https://doi.org/10.1080/03670244.2021.1916925" TargetMode="External"/><Relationship Id="rId21" Type="http://schemas.openxmlformats.org/officeDocument/2006/relationships/hyperlink" Target="https://doi.org/10.1007/s10668-016-9783-x" TargetMode="External"/><Relationship Id="rId34" Type="http://schemas.openxmlformats.org/officeDocument/2006/relationships/hyperlink" Target="https://doi.org/10.5380/ce.v26i0.72820" TargetMode="External"/><Relationship Id="rId7" Type="http://schemas.openxmlformats.org/officeDocument/2006/relationships/hyperlink" Target="https://doi.org/10.1590/S0102-311X200600020000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i.org/10.1017/S136898001200434X" TargetMode="External"/><Relationship Id="rId20" Type="http://schemas.openxmlformats.org/officeDocument/2006/relationships/hyperlink" Target="https://doi.org/10.1016/j.foodpol.2017.10.001" TargetMode="External"/><Relationship Id="rId29" Type="http://schemas.openxmlformats.org/officeDocument/2006/relationships/hyperlink" Target="https://doi.org/10.1007/s12520-020-01172-5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doi.org/10.1016/S0271-5317(01)00392-X" TargetMode="External"/><Relationship Id="rId11" Type="http://schemas.openxmlformats.org/officeDocument/2006/relationships/hyperlink" Target="https://doi.org/10.1007/s10745-009-9216-7" TargetMode="External"/><Relationship Id="rId24" Type="http://schemas.openxmlformats.org/officeDocument/2006/relationships/hyperlink" Target="https://doi.org/10.1659/MRD-JOURNAL-D-18-00015.1" TargetMode="External"/><Relationship Id="rId32" Type="http://schemas.openxmlformats.org/officeDocument/2006/relationships/hyperlink" Target="https://doi.org/10.1093/cdn/nzaa070" TargetMode="External"/><Relationship Id="rId37" Type="http://schemas.openxmlformats.org/officeDocument/2006/relationships/hyperlink" Target="https://doi.org/10.1016/j.heliyon.2021.e07569" TargetMode="External"/><Relationship Id="rId40" Type="http://schemas.openxmlformats.org/officeDocument/2006/relationships/fontTable" Target="fontTable.xml"/><Relationship Id="rId5" Type="http://schemas.openxmlformats.org/officeDocument/2006/relationships/hyperlink" Target="https://doi.org/10.1093/jn/127.11.2179" TargetMode="External"/><Relationship Id="rId15" Type="http://schemas.openxmlformats.org/officeDocument/2006/relationships/hyperlink" Target="https://doi.org/10.1002/ajhb.22404" TargetMode="External"/><Relationship Id="rId23" Type="http://schemas.openxmlformats.org/officeDocument/2006/relationships/hyperlink" Target="https://doi.org/10.1016/j.puhe.2019.07.015" TargetMode="External"/><Relationship Id="rId28" Type="http://schemas.openxmlformats.org/officeDocument/2006/relationships/hyperlink" Target="https://doi.org/10.1007/s12571-018-0882-4" TargetMode="External"/><Relationship Id="rId36" Type="http://schemas.openxmlformats.org/officeDocument/2006/relationships/hyperlink" Target="https://doi.org/10.1016/j.gfs.2021.100516" TargetMode="External"/><Relationship Id="rId10" Type="http://schemas.openxmlformats.org/officeDocument/2006/relationships/hyperlink" Target="https://doi.org/10.1590/S1415-52732008000700011" TargetMode="External"/><Relationship Id="rId19" Type="http://schemas.openxmlformats.org/officeDocument/2006/relationships/hyperlink" Target="https://doi.org/10.1016/j.appet.2016.07.025" TargetMode="External"/><Relationship Id="rId31" Type="http://schemas.openxmlformats.org/officeDocument/2006/relationships/hyperlink" Target="https://doi.org/10.1093/cdn/nzaa158" TargetMode="External"/><Relationship Id="rId4" Type="http://schemas.openxmlformats.org/officeDocument/2006/relationships/hyperlink" Target="https://doi.org/10.1080/03670244.1996.9991478" TargetMode="External"/><Relationship Id="rId9" Type="http://schemas.openxmlformats.org/officeDocument/2006/relationships/hyperlink" Target="https://doi.org/10.1016/j.foodpol.2007.08.002" TargetMode="External"/><Relationship Id="rId14" Type="http://schemas.openxmlformats.org/officeDocument/2006/relationships/hyperlink" Target="https://www.renc.es/imagenes/auxiliar/files/RENC%202012-2_art%206.pdf" TargetMode="External"/><Relationship Id="rId22" Type="http://schemas.openxmlformats.org/officeDocument/2006/relationships/hyperlink" Target="https://doi.org/10.2993/0278-0771-38.2.244" TargetMode="External"/><Relationship Id="rId27" Type="http://schemas.openxmlformats.org/officeDocument/2006/relationships/hyperlink" Target="https://doi.org/10.1186/s12889-019-7776-z" TargetMode="External"/><Relationship Id="rId30" Type="http://schemas.openxmlformats.org/officeDocument/2006/relationships/hyperlink" Target="https://doi.org/10.3390/nu13010030" TargetMode="External"/><Relationship Id="rId35" Type="http://schemas.openxmlformats.org/officeDocument/2006/relationships/hyperlink" Target="https://doi.org/10.1016/j.wace.2020.100293" TargetMode="External"/><Relationship Id="rId8" Type="http://schemas.openxmlformats.org/officeDocument/2006/relationships/hyperlink" Target="https://doi.org/10.1002/ajhb.20781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doi.org/10.1146/annurev-anthro-102214-013831" TargetMode="External"/><Relationship Id="rId17" Type="http://schemas.openxmlformats.org/officeDocument/2006/relationships/hyperlink" Target="https://doi.org/10.5751/ES-07934-200422" TargetMode="External"/><Relationship Id="rId25" Type="http://schemas.openxmlformats.org/officeDocument/2006/relationships/hyperlink" Target="https://doi.org/10.1353/hpu.2019.0072" TargetMode="External"/><Relationship Id="rId33" Type="http://schemas.openxmlformats.org/officeDocument/2006/relationships/hyperlink" Target="https://doi.org/10.2993/0278-0771-41.2.247" TargetMode="External"/><Relationship Id="rId38" Type="http://schemas.openxmlformats.org/officeDocument/2006/relationships/hyperlink" Target="https://doi.org/10.3390/foods10051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1158</Words>
  <Characters>6603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Victor,Maria Flora</dc:creator>
  <cp:keywords/>
  <dc:description/>
  <cp:lastModifiedBy>Victor,Maria Flora</cp:lastModifiedBy>
  <cp:revision>1</cp:revision>
  <dcterms:created xsi:type="dcterms:W3CDTF">2025-10-26T02:17:00Z</dcterms:created>
  <dcterms:modified xsi:type="dcterms:W3CDTF">2025-10-26T02:17:00Z</dcterms:modified>
</cp:coreProperties>
</file>