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8D2" w:rsidRDefault="00A708DD">
      <w:pPr>
        <w:rPr>
          <w:rFonts w:ascii="Arial" w:hAnsi="Arial" w:cs="Arial"/>
          <w:b/>
          <w:bCs/>
          <w:sz w:val="24"/>
          <w:szCs w:val="24"/>
          <w:lang w:val="en-US"/>
        </w:rPr>
      </w:pPr>
      <w:bookmarkStart w:id="0" w:name="_GoBack"/>
      <w:bookmarkEnd w:id="0"/>
      <w:r>
        <w:rPr>
          <w:rFonts w:ascii="Arial" w:hAnsi="Arial" w:cs="Arial"/>
          <w:b/>
          <w:bCs/>
          <w:sz w:val="24"/>
          <w:szCs w:val="24"/>
          <w:lang w:val="en-US"/>
        </w:rPr>
        <w:t>Supplemental Material</w:t>
      </w:r>
    </w:p>
    <w:p w:rsidR="005038D2" w:rsidRDefault="00A708DD">
      <w:pPr>
        <w:rPr>
          <w:rFonts w:ascii="Arial" w:hAnsi="Arial" w:cs="Arial"/>
          <w:sz w:val="18"/>
          <w:szCs w:val="18"/>
          <w:lang w:val="en-US"/>
        </w:rPr>
      </w:pPr>
      <w:r>
        <w:rPr>
          <w:rFonts w:ascii="Arial" w:hAnsi="Arial" w:cs="Arial"/>
          <w:b/>
          <w:bCs/>
          <w:sz w:val="18"/>
          <w:szCs w:val="18"/>
          <w:lang w:val="en-US"/>
        </w:rPr>
        <w:t xml:space="preserve">Text S1. Overview of NCP and entities of nature classification from Twitter posts. </w:t>
      </w:r>
      <w:r>
        <w:rPr>
          <w:rFonts w:ascii="Arial" w:hAnsi="Arial" w:cs="Arial"/>
          <w:sz w:val="18"/>
          <w:szCs w:val="18"/>
          <w:lang w:val="en-US"/>
        </w:rPr>
        <w:t xml:space="preserve">This is a condensed version of the methodological approach but further explanation is provided in Degano et al. (2025). </w:t>
      </w:r>
    </w:p>
    <w:p w:rsidR="005038D2" w:rsidRDefault="00A708DD">
      <w:pPr>
        <w:pStyle w:val="ListParagraph"/>
        <w:numPr>
          <w:ilvl w:val="0"/>
          <w:numId w:val="1"/>
        </w:numPr>
        <w:rPr>
          <w:rFonts w:ascii="Arial" w:hAnsi="Arial" w:cs="Arial"/>
          <w:sz w:val="18"/>
          <w:szCs w:val="18"/>
          <w:lang w:val="en-US"/>
        </w:rPr>
      </w:pPr>
      <w:r>
        <w:rPr>
          <w:rFonts w:ascii="Arial" w:hAnsi="Arial" w:cs="Arial"/>
          <w:sz w:val="18"/>
          <w:szCs w:val="18"/>
          <w:lang w:val="en-US"/>
        </w:rPr>
        <w:t xml:space="preserve">Data retrieval: Retrieved data from Twitter API between June 2011 and June 2021, targeting the Mount Kilimanjaro region using a built function query from R package </w:t>
      </w:r>
      <w:proofErr w:type="spellStart"/>
      <w:r>
        <w:rPr>
          <w:rFonts w:ascii="Arial" w:hAnsi="Arial" w:cs="Arial"/>
          <w:sz w:val="18"/>
          <w:szCs w:val="18"/>
          <w:lang w:val="en-US"/>
        </w:rPr>
        <w:t>academictwitteR</w:t>
      </w:r>
      <w:proofErr w:type="spellEnd"/>
      <w:r>
        <w:rPr>
          <w:rFonts w:ascii="Arial" w:hAnsi="Arial" w:cs="Arial"/>
          <w:sz w:val="18"/>
          <w:szCs w:val="18"/>
          <w:lang w:val="en-US"/>
        </w:rPr>
        <w:t xml:space="preserve"> (Barrie and Ho, 2021).</w:t>
      </w:r>
    </w:p>
    <w:p w:rsidR="005038D2" w:rsidRDefault="00A708DD">
      <w:pPr>
        <w:pStyle w:val="ListParagraph"/>
        <w:numPr>
          <w:ilvl w:val="0"/>
          <w:numId w:val="1"/>
        </w:numPr>
        <w:rPr>
          <w:rFonts w:ascii="Arial" w:hAnsi="Arial" w:cs="Arial"/>
          <w:sz w:val="18"/>
          <w:szCs w:val="18"/>
          <w:lang w:val="en-US"/>
        </w:rPr>
      </w:pPr>
      <w:r>
        <w:rPr>
          <w:rFonts w:ascii="Arial" w:hAnsi="Arial" w:cs="Arial"/>
          <w:sz w:val="18"/>
          <w:szCs w:val="18"/>
          <w:lang w:val="en-US"/>
        </w:rPr>
        <w:t>Data cleaning: Manually filtered Twitter posts (refer</w:t>
      </w:r>
      <w:r>
        <w:rPr>
          <w:rFonts w:ascii="Arial" w:hAnsi="Arial" w:cs="Arial"/>
          <w:sz w:val="18"/>
          <w:szCs w:val="18"/>
          <w:lang w:val="en-US"/>
        </w:rPr>
        <w:t xml:space="preserve"> as Tweets hereafter) targeting tourists and nature experiences. For instance, we discarded Tweets from tour operators, restaurants and Tweets that were talking about other than nature experiences (e.g., a new purchase of a material good). </w:t>
      </w:r>
    </w:p>
    <w:p w:rsidR="005038D2" w:rsidRDefault="00A708DD">
      <w:pPr>
        <w:pStyle w:val="ListParagraph"/>
        <w:numPr>
          <w:ilvl w:val="0"/>
          <w:numId w:val="1"/>
        </w:numPr>
        <w:rPr>
          <w:rFonts w:ascii="Arial" w:hAnsi="Arial" w:cs="Arial"/>
          <w:sz w:val="18"/>
          <w:szCs w:val="18"/>
          <w:lang w:val="en-US"/>
        </w:rPr>
      </w:pPr>
      <w:r>
        <w:rPr>
          <w:rFonts w:ascii="Arial" w:hAnsi="Arial" w:cs="Arial"/>
          <w:sz w:val="18"/>
          <w:szCs w:val="18"/>
          <w:lang w:val="en-US"/>
        </w:rPr>
        <w:t>Inductive codin</w:t>
      </w:r>
      <w:r>
        <w:rPr>
          <w:rFonts w:ascii="Arial" w:hAnsi="Arial" w:cs="Arial"/>
          <w:sz w:val="18"/>
          <w:szCs w:val="18"/>
          <w:lang w:val="en-US"/>
        </w:rPr>
        <w:t>g approach: A random subset of Tweets (n = 235) was independently coded by three researchers using an inductive approach, allowing non-material NCP categories and entities of nature to emerge directly from the language used by tourists rather than from pre</w:t>
      </w:r>
      <w:r>
        <w:rPr>
          <w:rFonts w:ascii="Arial" w:hAnsi="Arial" w:cs="Arial"/>
          <w:sz w:val="18"/>
          <w:szCs w:val="18"/>
          <w:lang w:val="en-US"/>
        </w:rPr>
        <w:t>defined classifications.</w:t>
      </w:r>
    </w:p>
    <w:p w:rsidR="005038D2" w:rsidRDefault="00A708DD">
      <w:pPr>
        <w:pStyle w:val="ListParagraph"/>
        <w:numPr>
          <w:ilvl w:val="1"/>
          <w:numId w:val="1"/>
        </w:numPr>
        <w:rPr>
          <w:rFonts w:ascii="Arial" w:hAnsi="Arial" w:cs="Arial"/>
          <w:sz w:val="18"/>
          <w:szCs w:val="18"/>
          <w:lang w:val="en-US"/>
        </w:rPr>
      </w:pPr>
      <w:r>
        <w:rPr>
          <w:rFonts w:ascii="Arial" w:hAnsi="Arial" w:cs="Arial"/>
          <w:sz w:val="18"/>
          <w:szCs w:val="18"/>
          <w:lang w:val="en-US"/>
        </w:rPr>
        <w:t xml:space="preserve">Intercoder agreement: Coding consistency was assessed using </w:t>
      </w:r>
      <w:proofErr w:type="spellStart"/>
      <w:r>
        <w:rPr>
          <w:rFonts w:ascii="Arial" w:hAnsi="Arial" w:cs="Arial"/>
          <w:sz w:val="18"/>
          <w:szCs w:val="18"/>
          <w:lang w:val="en-US"/>
        </w:rPr>
        <w:t>Krippendorff’s</w:t>
      </w:r>
      <w:proofErr w:type="spellEnd"/>
      <w:r>
        <w:rPr>
          <w:rFonts w:ascii="Arial" w:hAnsi="Arial" w:cs="Arial"/>
          <w:sz w:val="18"/>
          <w:szCs w:val="18"/>
          <w:lang w:val="en-US"/>
        </w:rPr>
        <w:t xml:space="preserve"> alpha (</w:t>
      </w:r>
      <w:proofErr w:type="spellStart"/>
      <w:r>
        <w:rPr>
          <w:rFonts w:ascii="Arial" w:hAnsi="Arial" w:cs="Arial"/>
          <w:sz w:val="18"/>
          <w:szCs w:val="18"/>
          <w:lang w:val="en-US"/>
        </w:rPr>
        <w:t>Kalpha</w:t>
      </w:r>
      <w:proofErr w:type="spellEnd"/>
      <w:r>
        <w:rPr>
          <w:rFonts w:ascii="Arial" w:hAnsi="Arial" w:cs="Arial"/>
          <w:sz w:val="18"/>
          <w:szCs w:val="18"/>
          <w:lang w:val="en-US"/>
        </w:rPr>
        <w:t xml:space="preserve"> = 0.62), indicating acceptable agreement for exploratory qualitative analysis. Discrepancies were discussed and resolved through iterative ref</w:t>
      </w:r>
      <w:r>
        <w:rPr>
          <w:rFonts w:ascii="Arial" w:hAnsi="Arial" w:cs="Arial"/>
          <w:sz w:val="18"/>
          <w:szCs w:val="18"/>
          <w:lang w:val="en-US"/>
        </w:rPr>
        <w:t xml:space="preserve">inement of the coding scheme to reduce bias and improve the quality of the coding process. </w:t>
      </w:r>
    </w:p>
    <w:p w:rsidR="005038D2" w:rsidRDefault="00A708DD">
      <w:pPr>
        <w:pStyle w:val="ListParagraph"/>
        <w:numPr>
          <w:ilvl w:val="2"/>
          <w:numId w:val="1"/>
        </w:numPr>
        <w:rPr>
          <w:rFonts w:ascii="Arial" w:hAnsi="Arial" w:cs="Arial"/>
          <w:sz w:val="18"/>
          <w:szCs w:val="18"/>
          <w:lang w:val="en-US"/>
        </w:rPr>
      </w:pPr>
      <w:r>
        <w:rPr>
          <w:rFonts w:ascii="Arial" w:hAnsi="Arial" w:cs="Arial"/>
          <w:sz w:val="18"/>
          <w:szCs w:val="18"/>
          <w:lang w:val="en-US"/>
        </w:rPr>
        <w:t>Identification of entities (e.g., “tree”, “waterfall”, “buffalo”) was more straightforward and showed minimal disagreement among coders; thus, formal reliability me</w:t>
      </w:r>
      <w:r>
        <w:rPr>
          <w:rFonts w:ascii="Arial" w:hAnsi="Arial" w:cs="Arial"/>
          <w:sz w:val="18"/>
          <w:szCs w:val="18"/>
          <w:lang w:val="en-US"/>
        </w:rPr>
        <w:t>trics were not calculated. Instead, classifications were harmonized through discussion.</w:t>
      </w:r>
    </w:p>
    <w:p w:rsidR="005038D2" w:rsidRDefault="00A708DD">
      <w:pPr>
        <w:pStyle w:val="ListParagraph"/>
        <w:numPr>
          <w:ilvl w:val="1"/>
          <w:numId w:val="1"/>
        </w:numPr>
        <w:rPr>
          <w:rFonts w:ascii="Arial" w:hAnsi="Arial" w:cs="Arial"/>
          <w:sz w:val="18"/>
          <w:szCs w:val="18"/>
          <w:lang w:val="en-US"/>
        </w:rPr>
      </w:pPr>
      <w:r>
        <w:rPr>
          <w:rFonts w:ascii="Arial" w:hAnsi="Arial" w:cs="Arial"/>
          <w:sz w:val="18"/>
          <w:szCs w:val="18"/>
          <w:lang w:val="en-US"/>
        </w:rPr>
        <w:t>Codebook development: The refined coding scheme was expanded using an additional subset of Tweets (n = 365) to develop a comprehensive codebook linking multiple terms a</w:t>
      </w:r>
      <w:r>
        <w:rPr>
          <w:rFonts w:ascii="Arial" w:hAnsi="Arial" w:cs="Arial"/>
          <w:sz w:val="18"/>
          <w:szCs w:val="18"/>
          <w:lang w:val="en-US"/>
        </w:rPr>
        <w:t xml:space="preserve">nd expressions to each NCP and entity category.  </w:t>
      </w:r>
    </w:p>
    <w:p w:rsidR="005038D2" w:rsidRDefault="00A708DD">
      <w:pPr>
        <w:pStyle w:val="ListParagraph"/>
        <w:numPr>
          <w:ilvl w:val="1"/>
          <w:numId w:val="1"/>
        </w:numPr>
        <w:rPr>
          <w:rFonts w:ascii="Arial" w:hAnsi="Arial" w:cs="Arial"/>
          <w:sz w:val="18"/>
          <w:szCs w:val="18"/>
          <w:lang w:val="en-US"/>
        </w:rPr>
      </w:pPr>
      <w:r>
        <w:rPr>
          <w:rFonts w:ascii="Arial" w:hAnsi="Arial" w:cs="Arial"/>
          <w:sz w:val="18"/>
          <w:szCs w:val="18"/>
          <w:lang w:val="en-US"/>
        </w:rPr>
        <w:t xml:space="preserve">Validation: another two researchers were involved to verify whether the terms and phrases used to identify NCP and entities of nature were correct or some others were missing. </w:t>
      </w:r>
    </w:p>
    <w:p w:rsidR="005038D2" w:rsidRDefault="00A708DD">
      <w:pPr>
        <w:pStyle w:val="ListParagraph"/>
        <w:numPr>
          <w:ilvl w:val="0"/>
          <w:numId w:val="1"/>
        </w:numPr>
        <w:rPr>
          <w:rFonts w:ascii="Arial" w:hAnsi="Arial" w:cs="Arial"/>
          <w:sz w:val="18"/>
          <w:szCs w:val="18"/>
          <w:lang w:val="en-US"/>
        </w:rPr>
      </w:pPr>
      <w:r>
        <w:rPr>
          <w:rFonts w:ascii="Arial" w:hAnsi="Arial" w:cs="Arial"/>
          <w:sz w:val="18"/>
          <w:szCs w:val="18"/>
          <w:lang w:val="en-US"/>
        </w:rPr>
        <w:t>Fifth teen non-material NCP a</w:t>
      </w:r>
      <w:r>
        <w:rPr>
          <w:rFonts w:ascii="Arial" w:hAnsi="Arial" w:cs="Arial"/>
          <w:sz w:val="18"/>
          <w:szCs w:val="18"/>
          <w:lang w:val="en-US"/>
        </w:rPr>
        <w:t>nd seven teen EN sub-categories were identified. Each non-material NCP was then linked back to the generalizing NCP categories according to the IPBES conceptual framework (i.e., Physical &amp; Psychological Experiences; Learning &amp; Inspiration; and Supporting I</w:t>
      </w:r>
      <w:r>
        <w:rPr>
          <w:rFonts w:ascii="Arial" w:hAnsi="Arial" w:cs="Arial"/>
          <w:sz w:val="18"/>
          <w:szCs w:val="18"/>
          <w:lang w:val="en-US"/>
        </w:rPr>
        <w:t>dentities). Each entity term was linked back to sub-categories within biotic, abiotic, scale of perception or human-made features categories. For instance, biotic category encompassed different taxon such as mammal, plant, insect, reptiles or agrobiodivers</w:t>
      </w:r>
      <w:r>
        <w:rPr>
          <w:rFonts w:ascii="Arial" w:hAnsi="Arial" w:cs="Arial"/>
          <w:sz w:val="18"/>
          <w:szCs w:val="18"/>
          <w:lang w:val="en-US"/>
        </w:rPr>
        <w:t xml:space="preserve">ity elements or biodiversity unspecified terms such as “wildlife” which cannot be placed in any of the other sub-categories. </w:t>
      </w:r>
    </w:p>
    <w:p w:rsidR="005038D2" w:rsidRDefault="00A708DD">
      <w:pPr>
        <w:pStyle w:val="ListParagraph"/>
        <w:numPr>
          <w:ilvl w:val="0"/>
          <w:numId w:val="1"/>
        </w:numPr>
        <w:rPr>
          <w:rFonts w:ascii="Arial" w:hAnsi="Arial" w:cs="Arial"/>
          <w:sz w:val="18"/>
          <w:szCs w:val="18"/>
          <w:lang w:val="en-US"/>
        </w:rPr>
      </w:pPr>
      <w:r>
        <w:rPr>
          <w:rFonts w:ascii="Arial" w:hAnsi="Arial" w:cs="Arial"/>
          <w:sz w:val="18"/>
          <w:szCs w:val="18"/>
          <w:lang w:val="en-US"/>
        </w:rPr>
        <w:t>An automated R code was designed to identify these NCP and entities of nature in the rest of the dataset; and only Tweets that wer</w:t>
      </w:r>
      <w:r>
        <w:rPr>
          <w:rFonts w:ascii="Arial" w:hAnsi="Arial" w:cs="Arial"/>
          <w:sz w:val="18"/>
          <w:szCs w:val="18"/>
          <w:lang w:val="en-US"/>
        </w:rPr>
        <w:t xml:space="preserve">e able to be geolocated in each of the six habitat types; and presented at least one NCP and one entity were kept for further analysis. A total of 1,255 Tweets compromised the final dataset. </w:t>
      </w:r>
    </w:p>
    <w:p w:rsidR="005038D2" w:rsidRDefault="00A708DD">
      <w:pPr>
        <w:rPr>
          <w:rFonts w:ascii="Arial" w:hAnsi="Arial" w:cs="Arial"/>
          <w:sz w:val="18"/>
          <w:szCs w:val="18"/>
          <w:lang w:val="en-US"/>
        </w:rPr>
      </w:pPr>
      <w:r>
        <w:rPr>
          <w:rFonts w:ascii="Arial" w:hAnsi="Arial" w:cs="Arial"/>
          <w:b/>
          <w:bCs/>
          <w:sz w:val="18"/>
          <w:szCs w:val="18"/>
          <w:lang w:val="en-US"/>
        </w:rPr>
        <w:t>Table S1.</w:t>
      </w:r>
      <w:r>
        <w:rPr>
          <w:rFonts w:ascii="Arial" w:hAnsi="Arial" w:cs="Arial"/>
          <w:sz w:val="18"/>
          <w:szCs w:val="18"/>
          <w:lang w:val="en-US"/>
        </w:rPr>
        <w:t xml:space="preserve"> </w:t>
      </w:r>
      <w:r>
        <w:rPr>
          <w:rFonts w:ascii="Arial" w:hAnsi="Arial" w:cs="Arial"/>
          <w:b/>
          <w:bCs/>
          <w:sz w:val="18"/>
          <w:szCs w:val="18"/>
          <w:lang w:val="en-US"/>
        </w:rPr>
        <w:t>Associations between non-material Nature’s Contributio</w:t>
      </w:r>
      <w:r>
        <w:rPr>
          <w:rFonts w:ascii="Arial" w:hAnsi="Arial" w:cs="Arial"/>
          <w:b/>
          <w:bCs/>
          <w:sz w:val="18"/>
          <w:szCs w:val="18"/>
          <w:lang w:val="en-US"/>
        </w:rPr>
        <w:t xml:space="preserve">ns to People (NCP) and entities of nature (EN) within each habitat type in Mount Kilimanjaro, Tanzania. </w:t>
      </w:r>
      <w:r>
        <w:rPr>
          <w:rFonts w:ascii="Arial" w:hAnsi="Arial" w:cs="Arial"/>
          <w:sz w:val="18"/>
          <w:szCs w:val="18"/>
          <w:lang w:val="en-US"/>
        </w:rPr>
        <w:t>Total perceived EN reflects the number of unique EN mentioned in Tweets for each habitat type. Non-material NCP portrays the perceived contributions wit</w:t>
      </w:r>
      <w:r>
        <w:rPr>
          <w:rFonts w:ascii="Arial" w:hAnsi="Arial" w:cs="Arial"/>
          <w:sz w:val="18"/>
          <w:szCs w:val="18"/>
          <w:lang w:val="en-US"/>
        </w:rPr>
        <w:t xml:space="preserve">hin each habitat type, while frequency in Tweets reflects the number of times they were expressed by tourists in Tweets. The number of associated EN highlights the number of EN linked to each NCP, while the number of links underscores the co-occurrence of </w:t>
      </w:r>
      <w:r>
        <w:rPr>
          <w:rFonts w:ascii="Arial" w:hAnsi="Arial" w:cs="Arial"/>
          <w:sz w:val="18"/>
          <w:szCs w:val="18"/>
          <w:lang w:val="en-US"/>
        </w:rPr>
        <w:t>NCPs with specific EN.</w:t>
      </w:r>
    </w:p>
    <w:tbl>
      <w:tblPr>
        <w:tblStyle w:val="TableGrid"/>
        <w:tblW w:w="0" w:type="auto"/>
        <w:tblLook w:val="04A0" w:firstRow="1" w:lastRow="0" w:firstColumn="1" w:lastColumn="0" w:noHBand="0" w:noVBand="1"/>
      </w:tblPr>
      <w:tblGrid>
        <w:gridCol w:w="1936"/>
        <w:gridCol w:w="1195"/>
        <w:gridCol w:w="2153"/>
        <w:gridCol w:w="1254"/>
        <w:gridCol w:w="1444"/>
        <w:gridCol w:w="1034"/>
      </w:tblGrid>
      <w:tr w:rsidR="005038D2">
        <w:tc>
          <w:tcPr>
            <w:tcW w:w="1936"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Habitat Type</w:t>
            </w:r>
          </w:p>
        </w:tc>
        <w:tc>
          <w:tcPr>
            <w:tcW w:w="1195"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Total perceived EN</w:t>
            </w:r>
          </w:p>
        </w:tc>
        <w:tc>
          <w:tcPr>
            <w:tcW w:w="2153"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Non-material NCP</w:t>
            </w:r>
          </w:p>
        </w:tc>
        <w:tc>
          <w:tcPr>
            <w:tcW w:w="1254"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Frequency in Tweets</w:t>
            </w:r>
          </w:p>
        </w:tc>
        <w:tc>
          <w:tcPr>
            <w:tcW w:w="1444"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Number of associated EN</w:t>
            </w:r>
          </w:p>
        </w:tc>
        <w:tc>
          <w:tcPr>
            <w:tcW w:w="1034" w:type="dxa"/>
          </w:tcPr>
          <w:p w:rsidR="005038D2" w:rsidRDefault="00A708DD">
            <w:pPr>
              <w:jc w:val="center"/>
              <w:rPr>
                <w:rFonts w:ascii="Arial" w:hAnsi="Arial" w:cs="Arial"/>
                <w:b/>
                <w:bCs/>
                <w:sz w:val="18"/>
                <w:szCs w:val="18"/>
                <w:lang w:val="en-US"/>
              </w:rPr>
            </w:pPr>
            <w:r>
              <w:rPr>
                <w:rFonts w:ascii="Arial" w:hAnsi="Arial" w:cs="Arial"/>
                <w:b/>
                <w:bCs/>
                <w:sz w:val="18"/>
                <w:szCs w:val="18"/>
                <w:lang w:val="en-US"/>
              </w:rPr>
              <w:t>Number links</w:t>
            </w:r>
          </w:p>
        </w:tc>
      </w:tr>
      <w:tr w:rsidR="005038D2">
        <w:tc>
          <w:tcPr>
            <w:tcW w:w="1936" w:type="dxa"/>
            <w:vMerge w:val="restart"/>
            <w:shd w:val="clear" w:color="auto" w:fill="D2B48C"/>
          </w:tcPr>
          <w:p w:rsidR="005038D2" w:rsidRDefault="00A708DD">
            <w:pPr>
              <w:jc w:val="center"/>
              <w:rPr>
                <w:rFonts w:ascii="Arial" w:hAnsi="Arial" w:cs="Arial"/>
                <w:b/>
                <w:bCs/>
                <w:sz w:val="18"/>
                <w:szCs w:val="18"/>
                <w:lang w:val="en-US"/>
              </w:rPr>
            </w:pPr>
            <w:r>
              <w:rPr>
                <w:rFonts w:ascii="Arial" w:hAnsi="Arial" w:cs="Arial"/>
                <w:b/>
                <w:bCs/>
                <w:sz w:val="18"/>
                <w:szCs w:val="18"/>
                <w:lang w:val="en-US"/>
              </w:rPr>
              <w:t>SAVANNA</w:t>
            </w:r>
          </w:p>
        </w:tc>
        <w:tc>
          <w:tcPr>
            <w:tcW w:w="1195" w:type="dxa"/>
            <w:vMerge w:val="restart"/>
            <w:shd w:val="clear" w:color="auto" w:fill="D2B48C"/>
          </w:tcPr>
          <w:p w:rsidR="005038D2" w:rsidRDefault="00A708DD">
            <w:pPr>
              <w:jc w:val="center"/>
              <w:rPr>
                <w:rFonts w:ascii="Arial" w:hAnsi="Arial" w:cs="Arial"/>
                <w:sz w:val="18"/>
                <w:szCs w:val="18"/>
                <w:lang w:val="en-US"/>
              </w:rPr>
            </w:pPr>
            <w:r>
              <w:rPr>
                <w:rFonts w:ascii="Arial" w:hAnsi="Arial" w:cs="Arial"/>
                <w:sz w:val="18"/>
                <w:szCs w:val="18"/>
                <w:lang w:val="en-US"/>
              </w:rPr>
              <w:t>79</w:t>
            </w: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Tourism</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228</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74</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840</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Recreation</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100</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42</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284</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Affective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116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43</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457</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Sensory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80</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29</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204</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Aesthetic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104</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42</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443</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Iconic Places &amp; Charismatic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30</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15</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78</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Challenging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29</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21</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70</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New &amp; Unique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16</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71</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Creativity &amp; Inspiration</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132</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50</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587</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Restorative Experiences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34</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 xml:space="preserve">Life Changing </w:t>
            </w:r>
            <w:r>
              <w:rPr>
                <w:rFonts w:ascii="Arial" w:hAnsi="Arial" w:cs="Arial"/>
                <w:i/>
                <w:iCs/>
                <w:sz w:val="18"/>
                <w:szCs w:val="18"/>
                <w:lang w:val="en-US"/>
              </w:rPr>
              <w:t>Perspectives</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7</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Learning</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5</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12</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Social Cohesion &amp; Bonding</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66</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37</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200</w:t>
            </w:r>
          </w:p>
        </w:tc>
      </w:tr>
      <w:tr w:rsidR="005038D2">
        <w:tc>
          <w:tcPr>
            <w:tcW w:w="1936" w:type="dxa"/>
            <w:vMerge/>
            <w:shd w:val="clear" w:color="auto" w:fill="D2B48C"/>
          </w:tcPr>
          <w:p w:rsidR="005038D2" w:rsidRDefault="005038D2">
            <w:pPr>
              <w:rPr>
                <w:rFonts w:ascii="Arial" w:hAnsi="Arial" w:cs="Arial"/>
                <w:sz w:val="18"/>
                <w:szCs w:val="18"/>
              </w:rPr>
            </w:pPr>
          </w:p>
        </w:tc>
        <w:tc>
          <w:tcPr>
            <w:tcW w:w="1195" w:type="dxa"/>
            <w:vMerge/>
            <w:shd w:val="clear" w:color="auto" w:fill="D2B48C"/>
          </w:tcPr>
          <w:p w:rsidR="005038D2" w:rsidRDefault="005038D2">
            <w:pPr>
              <w:rPr>
                <w:rFonts w:ascii="Arial" w:hAnsi="Arial" w:cs="Arial"/>
                <w:sz w:val="18"/>
                <w:szCs w:val="18"/>
              </w:rPr>
            </w:pPr>
          </w:p>
        </w:tc>
        <w:tc>
          <w:tcPr>
            <w:tcW w:w="2153" w:type="dxa"/>
            <w:shd w:val="clear" w:color="auto" w:fill="D2B48C"/>
          </w:tcPr>
          <w:p w:rsidR="005038D2" w:rsidRDefault="00A708DD">
            <w:pPr>
              <w:rPr>
                <w:rFonts w:ascii="Arial" w:hAnsi="Arial" w:cs="Arial"/>
                <w:i/>
                <w:iCs/>
                <w:sz w:val="18"/>
                <w:szCs w:val="18"/>
                <w:lang w:val="en-US"/>
              </w:rPr>
            </w:pPr>
            <w:r>
              <w:rPr>
                <w:rFonts w:ascii="Arial" w:hAnsi="Arial" w:cs="Arial"/>
                <w:i/>
                <w:iCs/>
                <w:sz w:val="18"/>
                <w:szCs w:val="18"/>
                <w:lang w:val="en-US"/>
              </w:rPr>
              <w:t>Spiritual</w:t>
            </w:r>
          </w:p>
        </w:tc>
        <w:tc>
          <w:tcPr>
            <w:tcW w:w="125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11</w:t>
            </w:r>
          </w:p>
        </w:tc>
        <w:tc>
          <w:tcPr>
            <w:tcW w:w="144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D2B48C"/>
          </w:tcPr>
          <w:p w:rsidR="005038D2" w:rsidRDefault="00A708DD">
            <w:pPr>
              <w:rPr>
                <w:rFonts w:ascii="Arial" w:hAnsi="Arial" w:cs="Arial"/>
                <w:sz w:val="18"/>
                <w:szCs w:val="18"/>
                <w:lang w:val="en-US"/>
              </w:rPr>
            </w:pPr>
            <w:r>
              <w:rPr>
                <w:rFonts w:ascii="Arial" w:hAnsi="Arial" w:cs="Arial"/>
                <w:sz w:val="18"/>
                <w:szCs w:val="18"/>
                <w:lang w:val="en-US"/>
              </w:rPr>
              <w:t>24</w:t>
            </w:r>
          </w:p>
        </w:tc>
      </w:tr>
      <w:tr w:rsidR="005038D2">
        <w:tc>
          <w:tcPr>
            <w:tcW w:w="1936" w:type="dxa"/>
            <w:vMerge w:val="restart"/>
            <w:shd w:val="clear" w:color="auto" w:fill="9ACD32"/>
          </w:tcPr>
          <w:p w:rsidR="005038D2" w:rsidRDefault="00A708DD">
            <w:pPr>
              <w:jc w:val="center"/>
              <w:rPr>
                <w:rFonts w:ascii="Arial" w:hAnsi="Arial" w:cs="Arial"/>
                <w:b/>
                <w:bCs/>
                <w:sz w:val="18"/>
                <w:szCs w:val="18"/>
                <w:lang w:val="en-US"/>
              </w:rPr>
            </w:pPr>
            <w:r>
              <w:rPr>
                <w:rFonts w:ascii="Arial" w:hAnsi="Arial" w:cs="Arial"/>
                <w:b/>
                <w:bCs/>
                <w:sz w:val="18"/>
                <w:szCs w:val="18"/>
                <w:lang w:val="en-US"/>
              </w:rPr>
              <w:t>SUBMONTANE ZONE</w:t>
            </w:r>
          </w:p>
        </w:tc>
        <w:tc>
          <w:tcPr>
            <w:tcW w:w="1195" w:type="dxa"/>
            <w:vMerge w:val="restart"/>
            <w:shd w:val="clear" w:color="auto" w:fill="9ACD32"/>
          </w:tcPr>
          <w:p w:rsidR="005038D2" w:rsidRDefault="00A708DD">
            <w:pPr>
              <w:jc w:val="center"/>
              <w:rPr>
                <w:rFonts w:ascii="Arial" w:hAnsi="Arial" w:cs="Arial"/>
                <w:sz w:val="18"/>
                <w:szCs w:val="18"/>
                <w:lang w:val="en-US"/>
              </w:rPr>
            </w:pPr>
            <w:r>
              <w:rPr>
                <w:rFonts w:ascii="Arial" w:hAnsi="Arial" w:cs="Arial"/>
                <w:sz w:val="18"/>
                <w:szCs w:val="18"/>
                <w:lang w:val="en-US"/>
              </w:rPr>
              <w:t>37</w:t>
            </w: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Tourism</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52</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27</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108</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Recreation</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44</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19</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87</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Affective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30</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12</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43</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Sensory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17</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8</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22</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Aesthetic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27</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37</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Challenging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7</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6</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12</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New &amp; Unique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13</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12</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30</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Creativity &amp; Inspiration</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15</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7</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22</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Restorative Experiences</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7</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6</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Social Cohesion &amp; Bonding</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22</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30</w:t>
            </w:r>
          </w:p>
        </w:tc>
      </w:tr>
      <w:tr w:rsidR="005038D2">
        <w:tc>
          <w:tcPr>
            <w:tcW w:w="1936" w:type="dxa"/>
            <w:vMerge/>
            <w:shd w:val="clear" w:color="auto" w:fill="9ACD32"/>
          </w:tcPr>
          <w:p w:rsidR="005038D2" w:rsidRDefault="005038D2">
            <w:pPr>
              <w:rPr>
                <w:rFonts w:ascii="Arial" w:hAnsi="Arial" w:cs="Arial"/>
                <w:sz w:val="18"/>
                <w:szCs w:val="18"/>
              </w:rPr>
            </w:pPr>
          </w:p>
        </w:tc>
        <w:tc>
          <w:tcPr>
            <w:tcW w:w="1195" w:type="dxa"/>
            <w:vMerge/>
            <w:shd w:val="clear" w:color="auto" w:fill="9ACD32"/>
          </w:tcPr>
          <w:p w:rsidR="005038D2" w:rsidRDefault="005038D2">
            <w:pPr>
              <w:rPr>
                <w:rFonts w:ascii="Arial" w:hAnsi="Arial" w:cs="Arial"/>
                <w:sz w:val="18"/>
                <w:szCs w:val="18"/>
              </w:rPr>
            </w:pPr>
          </w:p>
        </w:tc>
        <w:tc>
          <w:tcPr>
            <w:tcW w:w="2153" w:type="dxa"/>
            <w:shd w:val="clear" w:color="auto" w:fill="9ACD32"/>
          </w:tcPr>
          <w:p w:rsidR="005038D2" w:rsidRDefault="00A708DD">
            <w:pPr>
              <w:rPr>
                <w:rFonts w:ascii="Arial" w:hAnsi="Arial" w:cs="Arial"/>
                <w:i/>
                <w:iCs/>
                <w:sz w:val="18"/>
                <w:szCs w:val="18"/>
                <w:lang w:val="en-US"/>
              </w:rPr>
            </w:pPr>
            <w:r>
              <w:rPr>
                <w:rFonts w:ascii="Arial" w:hAnsi="Arial" w:cs="Arial"/>
                <w:i/>
                <w:iCs/>
                <w:sz w:val="18"/>
                <w:szCs w:val="18"/>
                <w:lang w:val="en-US"/>
              </w:rPr>
              <w:t>Spiritual</w:t>
            </w:r>
          </w:p>
        </w:tc>
        <w:tc>
          <w:tcPr>
            <w:tcW w:w="125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6</w:t>
            </w:r>
          </w:p>
        </w:tc>
        <w:tc>
          <w:tcPr>
            <w:tcW w:w="144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2</w:t>
            </w:r>
          </w:p>
        </w:tc>
        <w:tc>
          <w:tcPr>
            <w:tcW w:w="1034" w:type="dxa"/>
            <w:shd w:val="clear" w:color="auto" w:fill="9ACD32"/>
          </w:tcPr>
          <w:p w:rsidR="005038D2" w:rsidRDefault="00A708DD">
            <w:pPr>
              <w:rPr>
                <w:rFonts w:ascii="Arial" w:hAnsi="Arial" w:cs="Arial"/>
                <w:sz w:val="18"/>
                <w:szCs w:val="18"/>
                <w:lang w:val="en-US"/>
              </w:rPr>
            </w:pPr>
            <w:r>
              <w:rPr>
                <w:rFonts w:ascii="Arial" w:hAnsi="Arial" w:cs="Arial"/>
                <w:sz w:val="18"/>
                <w:szCs w:val="18"/>
                <w:lang w:val="en-US"/>
              </w:rPr>
              <w:t>6</w:t>
            </w:r>
          </w:p>
        </w:tc>
      </w:tr>
      <w:tr w:rsidR="005038D2">
        <w:tc>
          <w:tcPr>
            <w:tcW w:w="1936" w:type="dxa"/>
            <w:vMerge w:val="restart"/>
            <w:shd w:val="clear" w:color="auto" w:fill="218B22"/>
          </w:tcPr>
          <w:p w:rsidR="005038D2" w:rsidRDefault="00A708DD">
            <w:pPr>
              <w:jc w:val="center"/>
              <w:rPr>
                <w:rFonts w:ascii="Arial" w:hAnsi="Arial" w:cs="Arial"/>
                <w:b/>
                <w:bCs/>
                <w:sz w:val="18"/>
                <w:szCs w:val="18"/>
                <w:lang w:val="en-US"/>
              </w:rPr>
            </w:pPr>
            <w:r>
              <w:rPr>
                <w:rFonts w:ascii="Arial" w:hAnsi="Arial" w:cs="Arial"/>
                <w:b/>
                <w:bCs/>
                <w:sz w:val="18"/>
                <w:szCs w:val="18"/>
                <w:lang w:val="en-US"/>
              </w:rPr>
              <w:t>MONTANE FOREST</w:t>
            </w:r>
          </w:p>
        </w:tc>
        <w:tc>
          <w:tcPr>
            <w:tcW w:w="1195" w:type="dxa"/>
            <w:vMerge w:val="restart"/>
            <w:shd w:val="clear" w:color="auto" w:fill="218B22"/>
          </w:tcPr>
          <w:p w:rsidR="005038D2" w:rsidRDefault="00A708DD">
            <w:pPr>
              <w:jc w:val="center"/>
              <w:rPr>
                <w:rFonts w:ascii="Arial" w:hAnsi="Arial" w:cs="Arial"/>
                <w:sz w:val="18"/>
                <w:szCs w:val="18"/>
                <w:lang w:val="en-US"/>
              </w:rPr>
            </w:pPr>
            <w:r>
              <w:rPr>
                <w:rFonts w:ascii="Arial" w:hAnsi="Arial" w:cs="Arial"/>
                <w:sz w:val="18"/>
                <w:szCs w:val="18"/>
                <w:lang w:val="en-US"/>
              </w:rPr>
              <w:t>24</w:t>
            </w: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Tourism</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36</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18</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98</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Recreation</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58</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22</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163</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Affective Experiences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21</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16</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63</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Sensory Experiences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12</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13</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41</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Aesthetic Experiences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20</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15</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59</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Iconic Places &amp; Charismatic Experiences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9</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24</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Challenging Experiences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13</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30</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Creativity &amp; Inspiration</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11</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35</w:t>
            </w:r>
          </w:p>
        </w:tc>
      </w:tr>
      <w:tr w:rsidR="005038D2">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i/>
                <w:iCs/>
                <w:sz w:val="18"/>
                <w:szCs w:val="18"/>
                <w:lang w:val="en-US"/>
              </w:rPr>
            </w:pPr>
            <w:r>
              <w:rPr>
                <w:rFonts w:ascii="Arial" w:hAnsi="Arial" w:cs="Arial"/>
                <w:i/>
                <w:iCs/>
                <w:sz w:val="18"/>
                <w:szCs w:val="18"/>
                <w:lang w:val="en-US"/>
              </w:rPr>
              <w:t>Life Changing Perspectives</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5</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6</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15</w:t>
            </w:r>
          </w:p>
        </w:tc>
      </w:tr>
      <w:tr w:rsidR="005038D2">
        <w:trPr>
          <w:trHeight w:val="70"/>
        </w:trPr>
        <w:tc>
          <w:tcPr>
            <w:tcW w:w="1936" w:type="dxa"/>
            <w:vMerge/>
            <w:shd w:val="clear" w:color="auto" w:fill="218B22"/>
          </w:tcPr>
          <w:p w:rsidR="005038D2" w:rsidRDefault="005038D2">
            <w:pPr>
              <w:rPr>
                <w:rFonts w:ascii="Arial" w:hAnsi="Arial" w:cs="Arial"/>
                <w:sz w:val="18"/>
                <w:szCs w:val="18"/>
              </w:rPr>
            </w:pPr>
          </w:p>
        </w:tc>
        <w:tc>
          <w:tcPr>
            <w:tcW w:w="1195" w:type="dxa"/>
            <w:vMerge/>
            <w:shd w:val="clear" w:color="auto" w:fill="218B22"/>
          </w:tcPr>
          <w:p w:rsidR="005038D2" w:rsidRDefault="005038D2">
            <w:pPr>
              <w:rPr>
                <w:rFonts w:ascii="Arial" w:hAnsi="Arial" w:cs="Arial"/>
                <w:sz w:val="18"/>
                <w:szCs w:val="18"/>
              </w:rPr>
            </w:pPr>
          </w:p>
        </w:tc>
        <w:tc>
          <w:tcPr>
            <w:tcW w:w="2153" w:type="dxa"/>
            <w:shd w:val="clear" w:color="auto" w:fill="218B22"/>
          </w:tcPr>
          <w:p w:rsidR="005038D2" w:rsidRDefault="00A708DD">
            <w:pPr>
              <w:rPr>
                <w:rFonts w:ascii="Arial" w:hAnsi="Arial" w:cs="Arial"/>
                <w:sz w:val="18"/>
                <w:szCs w:val="18"/>
                <w:lang w:val="en-US"/>
              </w:rPr>
            </w:pPr>
            <w:r>
              <w:rPr>
                <w:rFonts w:ascii="Arial" w:hAnsi="Arial" w:cs="Arial"/>
                <w:i/>
                <w:iCs/>
                <w:sz w:val="18"/>
                <w:szCs w:val="18"/>
                <w:lang w:val="en-US"/>
              </w:rPr>
              <w:t>Social Cohesion &amp; Bonding</w:t>
            </w:r>
          </w:p>
        </w:tc>
        <w:tc>
          <w:tcPr>
            <w:tcW w:w="125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18</w:t>
            </w:r>
          </w:p>
        </w:tc>
        <w:tc>
          <w:tcPr>
            <w:tcW w:w="144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218B22"/>
          </w:tcPr>
          <w:p w:rsidR="005038D2" w:rsidRDefault="00A708DD">
            <w:pPr>
              <w:rPr>
                <w:rFonts w:ascii="Arial" w:hAnsi="Arial" w:cs="Arial"/>
                <w:sz w:val="18"/>
                <w:szCs w:val="18"/>
                <w:lang w:val="en-US"/>
              </w:rPr>
            </w:pPr>
            <w:r>
              <w:rPr>
                <w:rFonts w:ascii="Arial" w:hAnsi="Arial" w:cs="Arial"/>
                <w:sz w:val="18"/>
                <w:szCs w:val="18"/>
                <w:lang w:val="en-US"/>
              </w:rPr>
              <w:t>42</w:t>
            </w:r>
          </w:p>
        </w:tc>
      </w:tr>
      <w:tr w:rsidR="005038D2">
        <w:tc>
          <w:tcPr>
            <w:tcW w:w="1936" w:type="dxa"/>
            <w:vMerge w:val="restart"/>
            <w:shd w:val="clear" w:color="auto" w:fill="8FBC8F"/>
          </w:tcPr>
          <w:p w:rsidR="005038D2" w:rsidRDefault="00A708DD">
            <w:pPr>
              <w:jc w:val="center"/>
              <w:rPr>
                <w:rFonts w:ascii="Arial" w:hAnsi="Arial" w:cs="Arial"/>
                <w:b/>
                <w:bCs/>
                <w:sz w:val="18"/>
                <w:szCs w:val="18"/>
                <w:lang w:val="en-US"/>
              </w:rPr>
            </w:pPr>
            <w:r>
              <w:rPr>
                <w:rFonts w:ascii="Arial" w:hAnsi="Arial" w:cs="Arial"/>
                <w:b/>
                <w:bCs/>
                <w:sz w:val="18"/>
                <w:szCs w:val="18"/>
                <w:lang w:val="en-US"/>
              </w:rPr>
              <w:t>SUBALPINE ERICA FOREST &amp; BUSHLAND</w:t>
            </w:r>
          </w:p>
        </w:tc>
        <w:tc>
          <w:tcPr>
            <w:tcW w:w="1195" w:type="dxa"/>
            <w:vMerge w:val="restart"/>
            <w:shd w:val="clear" w:color="auto" w:fill="8FBC8F"/>
          </w:tcPr>
          <w:p w:rsidR="005038D2" w:rsidRDefault="00A708DD">
            <w:pPr>
              <w:jc w:val="center"/>
              <w:rPr>
                <w:rFonts w:ascii="Arial" w:hAnsi="Arial" w:cs="Arial"/>
                <w:sz w:val="18"/>
                <w:szCs w:val="18"/>
                <w:lang w:val="en-US"/>
              </w:rPr>
            </w:pPr>
            <w:r>
              <w:rPr>
                <w:rFonts w:ascii="Arial" w:hAnsi="Arial" w:cs="Arial"/>
                <w:sz w:val="18"/>
                <w:szCs w:val="18"/>
                <w:lang w:val="en-US"/>
              </w:rPr>
              <w:t>16</w:t>
            </w: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Tourism</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16</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38</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Recreation</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31</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15</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67</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Affective Experiences</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12</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8</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26</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Sensory Experiences</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9</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7</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18</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Aesthetic Experiences</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6</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5</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12</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 xml:space="preserve">Iconic Places &amp; Charismatic </w:t>
            </w:r>
            <w:r>
              <w:rPr>
                <w:rFonts w:ascii="Arial" w:hAnsi="Arial" w:cs="Arial"/>
                <w:i/>
                <w:iCs/>
                <w:sz w:val="18"/>
                <w:szCs w:val="18"/>
                <w:lang w:val="en-US"/>
              </w:rPr>
              <w:t>Experiences</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6</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5</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10</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Challenging Experiences</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5</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3</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8</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sz w:val="18"/>
                <w:szCs w:val="18"/>
                <w:lang w:val="en-US"/>
              </w:rPr>
            </w:pPr>
            <w:r>
              <w:rPr>
                <w:rFonts w:ascii="Arial" w:hAnsi="Arial" w:cs="Arial"/>
                <w:i/>
                <w:iCs/>
                <w:sz w:val="18"/>
                <w:szCs w:val="18"/>
                <w:lang w:val="en-US"/>
              </w:rPr>
              <w:t>Creativity &amp; Inspiration</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7</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6</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17</w:t>
            </w:r>
          </w:p>
        </w:tc>
      </w:tr>
      <w:tr w:rsidR="005038D2">
        <w:tc>
          <w:tcPr>
            <w:tcW w:w="1936" w:type="dxa"/>
            <w:vMerge/>
            <w:shd w:val="clear" w:color="auto" w:fill="8FBC8F"/>
          </w:tcPr>
          <w:p w:rsidR="005038D2" w:rsidRDefault="005038D2">
            <w:pPr>
              <w:rPr>
                <w:rFonts w:ascii="Arial" w:hAnsi="Arial" w:cs="Arial"/>
                <w:sz w:val="18"/>
                <w:szCs w:val="18"/>
              </w:rPr>
            </w:pPr>
          </w:p>
        </w:tc>
        <w:tc>
          <w:tcPr>
            <w:tcW w:w="1195" w:type="dxa"/>
            <w:vMerge/>
            <w:shd w:val="clear" w:color="auto" w:fill="8FBC8F"/>
          </w:tcPr>
          <w:p w:rsidR="005038D2" w:rsidRDefault="005038D2">
            <w:pPr>
              <w:rPr>
                <w:rFonts w:ascii="Arial" w:hAnsi="Arial" w:cs="Arial"/>
                <w:sz w:val="18"/>
                <w:szCs w:val="18"/>
              </w:rPr>
            </w:pPr>
          </w:p>
        </w:tc>
        <w:tc>
          <w:tcPr>
            <w:tcW w:w="2153" w:type="dxa"/>
            <w:shd w:val="clear" w:color="auto" w:fill="8FBC8F"/>
          </w:tcPr>
          <w:p w:rsidR="005038D2" w:rsidRDefault="00A708DD">
            <w:pPr>
              <w:rPr>
                <w:rFonts w:ascii="Arial" w:hAnsi="Arial" w:cs="Arial"/>
                <w:i/>
                <w:iCs/>
                <w:sz w:val="18"/>
                <w:szCs w:val="18"/>
                <w:lang w:val="en-US"/>
              </w:rPr>
            </w:pPr>
            <w:r>
              <w:rPr>
                <w:rFonts w:ascii="Arial" w:hAnsi="Arial" w:cs="Arial"/>
                <w:i/>
                <w:iCs/>
                <w:sz w:val="18"/>
                <w:szCs w:val="18"/>
                <w:lang w:val="en-US"/>
              </w:rPr>
              <w:t>Social Cohesion &amp; Bonding</w:t>
            </w:r>
          </w:p>
        </w:tc>
        <w:tc>
          <w:tcPr>
            <w:tcW w:w="125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7</w:t>
            </w:r>
          </w:p>
        </w:tc>
        <w:tc>
          <w:tcPr>
            <w:tcW w:w="144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3</w:t>
            </w:r>
          </w:p>
        </w:tc>
        <w:tc>
          <w:tcPr>
            <w:tcW w:w="1034" w:type="dxa"/>
            <w:shd w:val="clear" w:color="auto" w:fill="8FBC8F"/>
          </w:tcPr>
          <w:p w:rsidR="005038D2" w:rsidRDefault="00A708DD">
            <w:pPr>
              <w:rPr>
                <w:rFonts w:ascii="Arial" w:hAnsi="Arial" w:cs="Arial"/>
                <w:sz w:val="18"/>
                <w:szCs w:val="18"/>
                <w:lang w:val="en-US"/>
              </w:rPr>
            </w:pPr>
            <w:r>
              <w:rPr>
                <w:rFonts w:ascii="Arial" w:hAnsi="Arial" w:cs="Arial"/>
                <w:sz w:val="18"/>
                <w:szCs w:val="18"/>
                <w:lang w:val="en-US"/>
              </w:rPr>
              <w:t>8</w:t>
            </w:r>
          </w:p>
        </w:tc>
      </w:tr>
      <w:tr w:rsidR="005038D2">
        <w:tc>
          <w:tcPr>
            <w:tcW w:w="1936" w:type="dxa"/>
            <w:vMerge w:val="restart"/>
            <w:shd w:val="clear" w:color="auto" w:fill="B0E0E6"/>
          </w:tcPr>
          <w:p w:rsidR="005038D2" w:rsidRDefault="00A708DD">
            <w:pPr>
              <w:jc w:val="center"/>
              <w:rPr>
                <w:rFonts w:ascii="Arial" w:hAnsi="Arial" w:cs="Arial"/>
                <w:b/>
                <w:bCs/>
                <w:sz w:val="18"/>
                <w:szCs w:val="18"/>
                <w:lang w:val="en-US"/>
              </w:rPr>
            </w:pPr>
            <w:r>
              <w:rPr>
                <w:rFonts w:ascii="Arial" w:hAnsi="Arial" w:cs="Arial"/>
                <w:b/>
                <w:bCs/>
                <w:sz w:val="18"/>
                <w:szCs w:val="18"/>
                <w:lang w:val="en-US"/>
              </w:rPr>
              <w:t>ALPINE ZONE</w:t>
            </w:r>
          </w:p>
        </w:tc>
        <w:tc>
          <w:tcPr>
            <w:tcW w:w="1195" w:type="dxa"/>
            <w:vMerge w:val="restart"/>
            <w:shd w:val="clear" w:color="auto" w:fill="B0E0E6"/>
          </w:tcPr>
          <w:p w:rsidR="005038D2" w:rsidRDefault="00A708DD">
            <w:pPr>
              <w:jc w:val="center"/>
              <w:rPr>
                <w:rFonts w:ascii="Arial" w:hAnsi="Arial" w:cs="Arial"/>
                <w:sz w:val="18"/>
                <w:szCs w:val="18"/>
                <w:lang w:val="en-US"/>
              </w:rPr>
            </w:pPr>
            <w:r>
              <w:rPr>
                <w:rFonts w:ascii="Arial" w:hAnsi="Arial" w:cs="Arial"/>
                <w:sz w:val="18"/>
                <w:szCs w:val="18"/>
                <w:lang w:val="en-US"/>
              </w:rPr>
              <w:t>28</w:t>
            </w: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Tourism</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53</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25</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124</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Recreation</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73</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25</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173</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Affective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23</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11</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38</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Sensory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24</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13</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53</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Aesthetic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16</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36</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Iconic Places &amp; Charismatic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8</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7</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16</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Sense of Achievement</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7</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4</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10</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Challenging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22</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13</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52</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New &amp; Unique Experiences</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8</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8</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20</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Creativity &amp; Inspiration</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15</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9</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29</w:t>
            </w:r>
          </w:p>
        </w:tc>
      </w:tr>
      <w:tr w:rsidR="005038D2">
        <w:tc>
          <w:tcPr>
            <w:tcW w:w="1936" w:type="dxa"/>
            <w:vMerge/>
            <w:shd w:val="clear" w:color="auto" w:fill="B0E0E6"/>
          </w:tcPr>
          <w:p w:rsidR="005038D2" w:rsidRDefault="005038D2">
            <w:pPr>
              <w:rPr>
                <w:rFonts w:ascii="Arial" w:hAnsi="Arial" w:cs="Arial"/>
                <w:sz w:val="18"/>
                <w:szCs w:val="18"/>
                <w:lang w:val="en-US"/>
              </w:rPr>
            </w:pPr>
          </w:p>
        </w:tc>
        <w:tc>
          <w:tcPr>
            <w:tcW w:w="1195" w:type="dxa"/>
            <w:vMerge/>
            <w:shd w:val="clear" w:color="auto" w:fill="B0E0E6"/>
          </w:tcPr>
          <w:p w:rsidR="005038D2" w:rsidRDefault="005038D2">
            <w:pPr>
              <w:rPr>
                <w:rFonts w:ascii="Arial" w:hAnsi="Arial" w:cs="Arial"/>
                <w:sz w:val="18"/>
                <w:szCs w:val="18"/>
              </w:rPr>
            </w:pPr>
          </w:p>
        </w:tc>
        <w:tc>
          <w:tcPr>
            <w:tcW w:w="2153" w:type="dxa"/>
            <w:shd w:val="clear" w:color="auto" w:fill="B0E0E6"/>
          </w:tcPr>
          <w:p w:rsidR="005038D2" w:rsidRDefault="00A708DD">
            <w:pPr>
              <w:rPr>
                <w:rFonts w:ascii="Arial" w:hAnsi="Arial" w:cs="Arial"/>
                <w:i/>
                <w:iCs/>
                <w:sz w:val="18"/>
                <w:szCs w:val="18"/>
                <w:lang w:val="en-US"/>
              </w:rPr>
            </w:pPr>
            <w:r>
              <w:rPr>
                <w:rFonts w:ascii="Arial" w:hAnsi="Arial" w:cs="Arial"/>
                <w:i/>
                <w:iCs/>
                <w:sz w:val="18"/>
                <w:szCs w:val="18"/>
                <w:lang w:val="en-US"/>
              </w:rPr>
              <w:t>Social Cohesion &amp; Bonding</w:t>
            </w:r>
          </w:p>
        </w:tc>
        <w:tc>
          <w:tcPr>
            <w:tcW w:w="125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16</w:t>
            </w:r>
          </w:p>
        </w:tc>
        <w:tc>
          <w:tcPr>
            <w:tcW w:w="144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10</w:t>
            </w:r>
          </w:p>
        </w:tc>
        <w:tc>
          <w:tcPr>
            <w:tcW w:w="1034" w:type="dxa"/>
            <w:shd w:val="clear" w:color="auto" w:fill="B0E0E6"/>
          </w:tcPr>
          <w:p w:rsidR="005038D2" w:rsidRDefault="00A708DD">
            <w:pPr>
              <w:rPr>
                <w:rFonts w:ascii="Arial" w:hAnsi="Arial" w:cs="Arial"/>
                <w:sz w:val="18"/>
                <w:szCs w:val="18"/>
                <w:lang w:val="en-US"/>
              </w:rPr>
            </w:pPr>
            <w:r>
              <w:rPr>
                <w:rFonts w:ascii="Arial" w:hAnsi="Arial" w:cs="Arial"/>
                <w:sz w:val="18"/>
                <w:szCs w:val="18"/>
                <w:lang w:val="en-US"/>
              </w:rPr>
              <w:t>34</w:t>
            </w:r>
          </w:p>
        </w:tc>
      </w:tr>
      <w:tr w:rsidR="005038D2">
        <w:tc>
          <w:tcPr>
            <w:tcW w:w="1936" w:type="dxa"/>
            <w:vMerge w:val="restart"/>
            <w:shd w:val="clear" w:color="auto" w:fill="F0FFFF"/>
          </w:tcPr>
          <w:p w:rsidR="005038D2" w:rsidRDefault="00A708DD">
            <w:pPr>
              <w:jc w:val="center"/>
              <w:rPr>
                <w:rFonts w:ascii="Arial" w:hAnsi="Arial" w:cs="Arial"/>
                <w:b/>
                <w:bCs/>
                <w:sz w:val="18"/>
                <w:szCs w:val="18"/>
                <w:lang w:val="en-US"/>
              </w:rPr>
            </w:pPr>
            <w:r>
              <w:rPr>
                <w:rFonts w:ascii="Arial" w:hAnsi="Arial" w:cs="Arial"/>
                <w:b/>
                <w:bCs/>
                <w:sz w:val="18"/>
                <w:szCs w:val="18"/>
                <w:lang w:val="en-US"/>
              </w:rPr>
              <w:t>BARE ROCK &amp; SPARSE VEGETATION</w:t>
            </w:r>
          </w:p>
        </w:tc>
        <w:tc>
          <w:tcPr>
            <w:tcW w:w="1195" w:type="dxa"/>
            <w:vMerge w:val="restart"/>
            <w:shd w:val="clear" w:color="auto" w:fill="F0FFFF"/>
          </w:tcPr>
          <w:p w:rsidR="005038D2" w:rsidRDefault="00A708DD">
            <w:pPr>
              <w:jc w:val="center"/>
              <w:rPr>
                <w:rFonts w:ascii="Arial" w:hAnsi="Arial" w:cs="Arial"/>
                <w:sz w:val="18"/>
                <w:szCs w:val="18"/>
                <w:lang w:val="en-US"/>
              </w:rPr>
            </w:pPr>
            <w:r>
              <w:rPr>
                <w:rFonts w:ascii="Arial" w:hAnsi="Arial" w:cs="Arial"/>
                <w:sz w:val="18"/>
                <w:szCs w:val="18"/>
                <w:lang w:val="en-US"/>
              </w:rPr>
              <w:t>57</w:t>
            </w: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Tourism</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273</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50</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868</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Recreation</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310</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51</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949</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Affective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207</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44</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595</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Sensory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197</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45</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596</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Aesthetic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127</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34</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369</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Iconic Places &amp; Charismatic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181</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36</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567</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 xml:space="preserve">Sense of </w:t>
            </w:r>
            <w:r>
              <w:rPr>
                <w:rFonts w:ascii="Arial" w:hAnsi="Arial" w:cs="Arial"/>
                <w:i/>
                <w:iCs/>
                <w:sz w:val="18"/>
                <w:szCs w:val="18"/>
                <w:lang w:val="en-US"/>
              </w:rPr>
              <w:t>Achievement</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130</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25</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338</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Challenging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139</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39</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448</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New &amp; Unique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68</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27</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226</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Restorative Experiences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27</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18</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91</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Creativity &amp; Inspiration</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93</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31</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303</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Life Changing Perspectives</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20</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13</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56</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Learning</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20</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7</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36</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 xml:space="preserve">Social Cohesion &amp; </w:t>
            </w:r>
            <w:r>
              <w:rPr>
                <w:rFonts w:ascii="Arial" w:hAnsi="Arial" w:cs="Arial"/>
                <w:i/>
                <w:iCs/>
                <w:sz w:val="18"/>
                <w:szCs w:val="18"/>
                <w:lang w:val="en-US"/>
              </w:rPr>
              <w:t>Bonding</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148</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43</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411</w:t>
            </w:r>
          </w:p>
        </w:tc>
      </w:tr>
      <w:tr w:rsidR="005038D2">
        <w:tc>
          <w:tcPr>
            <w:tcW w:w="1936" w:type="dxa"/>
            <w:vMerge/>
            <w:shd w:val="clear" w:color="auto" w:fill="F0FFFF"/>
          </w:tcPr>
          <w:p w:rsidR="005038D2" w:rsidRDefault="005038D2">
            <w:pPr>
              <w:rPr>
                <w:rFonts w:ascii="Arial" w:hAnsi="Arial" w:cs="Arial"/>
                <w:sz w:val="18"/>
                <w:szCs w:val="18"/>
                <w:lang w:val="en-US"/>
              </w:rPr>
            </w:pPr>
          </w:p>
        </w:tc>
        <w:tc>
          <w:tcPr>
            <w:tcW w:w="1195" w:type="dxa"/>
            <w:vMerge/>
            <w:shd w:val="clear" w:color="auto" w:fill="F0FFFF"/>
          </w:tcPr>
          <w:p w:rsidR="005038D2" w:rsidRDefault="005038D2">
            <w:pPr>
              <w:rPr>
                <w:rFonts w:ascii="Arial" w:hAnsi="Arial" w:cs="Arial"/>
                <w:sz w:val="18"/>
                <w:szCs w:val="18"/>
              </w:rPr>
            </w:pPr>
          </w:p>
        </w:tc>
        <w:tc>
          <w:tcPr>
            <w:tcW w:w="2153" w:type="dxa"/>
            <w:shd w:val="clear" w:color="auto" w:fill="F0FFFF"/>
          </w:tcPr>
          <w:p w:rsidR="005038D2" w:rsidRDefault="00A708DD">
            <w:pPr>
              <w:rPr>
                <w:rFonts w:ascii="Arial" w:hAnsi="Arial" w:cs="Arial"/>
                <w:i/>
                <w:iCs/>
                <w:sz w:val="18"/>
                <w:szCs w:val="18"/>
                <w:lang w:val="en-US"/>
              </w:rPr>
            </w:pPr>
            <w:r>
              <w:rPr>
                <w:rFonts w:ascii="Arial" w:hAnsi="Arial" w:cs="Arial"/>
                <w:i/>
                <w:iCs/>
                <w:sz w:val="18"/>
                <w:szCs w:val="18"/>
                <w:lang w:val="en-US"/>
              </w:rPr>
              <w:t>Spiritual</w:t>
            </w:r>
          </w:p>
        </w:tc>
        <w:tc>
          <w:tcPr>
            <w:tcW w:w="125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30</w:t>
            </w:r>
          </w:p>
        </w:tc>
        <w:tc>
          <w:tcPr>
            <w:tcW w:w="144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15</w:t>
            </w:r>
          </w:p>
        </w:tc>
        <w:tc>
          <w:tcPr>
            <w:tcW w:w="1034" w:type="dxa"/>
            <w:shd w:val="clear" w:color="auto" w:fill="F0FFFF"/>
          </w:tcPr>
          <w:p w:rsidR="005038D2" w:rsidRDefault="00A708DD">
            <w:pPr>
              <w:rPr>
                <w:rFonts w:ascii="Arial" w:hAnsi="Arial" w:cs="Arial"/>
                <w:sz w:val="18"/>
                <w:szCs w:val="18"/>
                <w:lang w:val="en-US"/>
              </w:rPr>
            </w:pPr>
            <w:r>
              <w:rPr>
                <w:rFonts w:ascii="Arial" w:hAnsi="Arial" w:cs="Arial"/>
                <w:sz w:val="18"/>
                <w:szCs w:val="18"/>
                <w:lang w:val="en-US"/>
              </w:rPr>
              <w:t>71</w:t>
            </w:r>
          </w:p>
        </w:tc>
      </w:tr>
    </w:tbl>
    <w:p w:rsidR="005038D2" w:rsidRDefault="005038D2">
      <w:pPr>
        <w:rPr>
          <w:rFonts w:ascii="Arial" w:hAnsi="Arial" w:cs="Arial"/>
          <w:sz w:val="24"/>
          <w:szCs w:val="24"/>
          <w:lang w:val="en-US"/>
        </w:rPr>
        <w:sectPr w:rsidR="005038D2">
          <w:footerReference w:type="default" r:id="rId7"/>
          <w:pgSz w:w="11906" w:h="16838"/>
          <w:pgMar w:top="1440" w:right="1440" w:bottom="1440" w:left="1440" w:header="708" w:footer="708" w:gutter="0"/>
          <w:cols w:space="708"/>
          <w:docGrid w:linePitch="360"/>
        </w:sectPr>
      </w:pPr>
    </w:p>
    <w:p w:rsidR="005038D2" w:rsidRDefault="005038D2">
      <w:pPr>
        <w:rPr>
          <w:rFonts w:ascii="Arial" w:hAnsi="Arial" w:cs="Arial"/>
          <w:sz w:val="24"/>
          <w:szCs w:val="24"/>
          <w:lang w:val="en-US"/>
        </w:rPr>
      </w:pPr>
    </w:p>
    <w:p w:rsidR="005038D2" w:rsidRDefault="00A708DD">
      <w:pPr>
        <w:rPr>
          <w:rFonts w:ascii="Arial" w:hAnsi="Arial" w:cs="Arial"/>
          <w:noProof/>
          <w:sz w:val="18"/>
          <w:szCs w:val="18"/>
          <w:lang w:val="en-US"/>
        </w:rPr>
      </w:pPr>
      <w:r>
        <w:rPr>
          <w:rFonts w:ascii="Arial" w:hAnsi="Arial" w:cs="Arial"/>
          <w:b/>
          <w:bCs/>
          <w:noProof/>
          <w:sz w:val="18"/>
          <w:szCs w:val="18"/>
          <w:lang w:val="en-US"/>
        </w:rPr>
        <w:t>Table S2. Raw values for effective partners (e</w:t>
      </w:r>
      <w:r>
        <w:rPr>
          <w:rFonts w:ascii="Arial" w:hAnsi="Arial" w:cs="Arial"/>
          <w:b/>
          <w:bCs/>
          <w:noProof/>
          <w:sz w:val="18"/>
          <w:szCs w:val="18"/>
          <w:vertAlign w:val="superscript"/>
          <w:lang w:val="en-US"/>
        </w:rPr>
        <w:t>H</w:t>
      </w:r>
      <w:r>
        <w:rPr>
          <w:rFonts w:ascii="Arial" w:hAnsi="Arial" w:cs="Arial"/>
          <w:b/>
          <w:bCs/>
          <w:noProof/>
          <w:sz w:val="18"/>
          <w:szCs w:val="18"/>
          <w:lang w:val="en-US"/>
        </w:rPr>
        <w:t xml:space="preserve">) and degree of complementary specailization (‘d) at both regional (entire mountain) and local (each habitat type) scale of analysis for each non-material nature’s contributions to people at Mount Kilimanjaro. </w:t>
      </w:r>
      <w:r>
        <w:rPr>
          <w:rFonts w:ascii="Arial" w:hAnsi="Arial" w:cs="Arial"/>
          <w:noProof/>
          <w:sz w:val="18"/>
          <w:szCs w:val="18"/>
          <w:lang w:val="en-US"/>
        </w:rPr>
        <w:t>Non-material NCP were grouped by their IPBES g</w:t>
      </w:r>
      <w:r>
        <w:rPr>
          <w:rFonts w:ascii="Arial" w:hAnsi="Arial" w:cs="Arial"/>
          <w:noProof/>
          <w:sz w:val="18"/>
          <w:szCs w:val="18"/>
          <w:lang w:val="en-US"/>
        </w:rPr>
        <w:t xml:space="preserve">eneralizing category (see Degano et al., under review), last column represent the total number of entities of nature (EN) mentioned in each habitat type. </w:t>
      </w:r>
    </w:p>
    <w:p w:rsidR="005038D2" w:rsidRDefault="00A708DD">
      <w:pPr>
        <w:rPr>
          <w:rFonts w:ascii="Arial" w:hAnsi="Arial" w:cs="Arial"/>
          <w:noProof/>
          <w:lang w:val="en-US"/>
        </w:rPr>
      </w:pPr>
      <w:r>
        <w:rPr>
          <w:rFonts w:ascii="Arial" w:hAnsi="Arial" w:cs="Arial"/>
          <w:noProof/>
          <w:lang w:val="en-IN" w:eastAsia="en-IN"/>
        </w:rPr>
        <w:drawing>
          <wp:inline distT="0" distB="0" distL="0" distR="0">
            <wp:extent cx="9128580" cy="28025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9187728" cy="2820735"/>
                    </a:xfrm>
                    <a:prstGeom prst="rect">
                      <a:avLst/>
                    </a:prstGeom>
                  </pic:spPr>
                </pic:pic>
              </a:graphicData>
            </a:graphic>
          </wp:inline>
        </w:drawing>
      </w:r>
    </w:p>
    <w:p w:rsidR="005038D2" w:rsidRDefault="005038D2">
      <w:pPr>
        <w:rPr>
          <w:rFonts w:ascii="Arial" w:hAnsi="Arial" w:cs="Arial"/>
          <w:lang w:val="en-US"/>
        </w:rPr>
      </w:pPr>
    </w:p>
    <w:p w:rsidR="005038D2" w:rsidRDefault="005038D2">
      <w:pPr>
        <w:rPr>
          <w:rFonts w:ascii="Arial" w:hAnsi="Arial" w:cs="Arial"/>
          <w:lang w:val="en-US"/>
        </w:rPr>
      </w:pPr>
    </w:p>
    <w:p w:rsidR="005038D2" w:rsidRDefault="005038D2">
      <w:pPr>
        <w:rPr>
          <w:rFonts w:ascii="Arial" w:hAnsi="Arial" w:cs="Arial"/>
          <w:lang w:val="en-US"/>
        </w:rPr>
      </w:pPr>
    </w:p>
    <w:p w:rsidR="005038D2" w:rsidRDefault="005038D2">
      <w:pPr>
        <w:rPr>
          <w:rFonts w:ascii="Arial" w:hAnsi="Arial" w:cs="Arial"/>
          <w:lang w:val="en-US"/>
        </w:rPr>
      </w:pPr>
    </w:p>
    <w:p w:rsidR="005038D2" w:rsidRDefault="005038D2">
      <w:pPr>
        <w:rPr>
          <w:rFonts w:ascii="Arial" w:hAnsi="Arial" w:cs="Arial"/>
          <w:lang w:val="en-US"/>
        </w:rPr>
      </w:pPr>
    </w:p>
    <w:p w:rsidR="005038D2" w:rsidRDefault="005038D2">
      <w:pPr>
        <w:tabs>
          <w:tab w:val="left" w:pos="3090"/>
        </w:tabs>
        <w:rPr>
          <w:rFonts w:ascii="Arial" w:hAnsi="Arial" w:cs="Arial"/>
          <w:lang w:val="en-US"/>
        </w:rPr>
        <w:sectPr w:rsidR="005038D2">
          <w:pgSz w:w="16838" w:h="11906" w:orient="landscape"/>
          <w:pgMar w:top="1440" w:right="1440" w:bottom="1440" w:left="1440" w:header="708" w:footer="708" w:gutter="0"/>
          <w:cols w:space="708"/>
          <w:docGrid w:linePitch="360"/>
        </w:sectPr>
      </w:pPr>
    </w:p>
    <w:p w:rsidR="005038D2" w:rsidRDefault="00A708DD">
      <w:pPr>
        <w:rPr>
          <w:rFonts w:ascii="Arial" w:hAnsi="Arial" w:cs="Arial"/>
          <w:b/>
          <w:bCs/>
          <w:lang w:val="en-US"/>
        </w:rPr>
      </w:pPr>
      <w:r>
        <w:rPr>
          <w:rFonts w:ascii="Arial" w:hAnsi="Arial" w:cs="Arial"/>
          <w:b/>
          <w:bCs/>
          <w:noProof/>
          <w:lang w:val="en-IN" w:eastAsia="en-IN"/>
        </w:rPr>
        <w:lastRenderedPageBreak/>
        <w:drawing>
          <wp:inline distT="0" distB="0" distL="0" distR="0">
            <wp:extent cx="5731510" cy="5858510"/>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858510"/>
                    </a:xfrm>
                    <a:prstGeom prst="rect">
                      <a:avLst/>
                    </a:prstGeom>
                  </pic:spPr>
                </pic:pic>
              </a:graphicData>
            </a:graphic>
          </wp:inline>
        </w:drawing>
      </w:r>
    </w:p>
    <w:p w:rsidR="005038D2" w:rsidRDefault="00A708DD">
      <w:pPr>
        <w:rPr>
          <w:rFonts w:ascii="Arial" w:hAnsi="Arial" w:cs="Arial"/>
          <w:sz w:val="18"/>
          <w:szCs w:val="18"/>
          <w:lang w:val="en-US"/>
        </w:rPr>
      </w:pPr>
      <w:r>
        <w:rPr>
          <w:rFonts w:ascii="Arial" w:hAnsi="Arial" w:cs="Arial"/>
          <w:b/>
          <w:bCs/>
          <w:sz w:val="18"/>
          <w:szCs w:val="18"/>
          <w:lang w:val="en-US"/>
        </w:rPr>
        <w:t>Figure S1.</w:t>
      </w:r>
      <w:r>
        <w:rPr>
          <w:rFonts w:ascii="Arial" w:hAnsi="Arial" w:cs="Arial"/>
          <w:sz w:val="18"/>
          <w:szCs w:val="18"/>
          <w:lang w:val="en-US"/>
        </w:rPr>
        <w:t xml:space="preserve"> </w:t>
      </w:r>
      <w:r>
        <w:rPr>
          <w:rFonts w:ascii="Arial" w:hAnsi="Arial" w:cs="Arial"/>
          <w:b/>
          <w:bCs/>
          <w:sz w:val="18"/>
          <w:szCs w:val="18"/>
        </w:rPr>
        <w:t xml:space="preserve">Non-material Nature’s Contribution to People characterization </w:t>
      </w:r>
      <w:r>
        <w:rPr>
          <w:rFonts w:ascii="Arial" w:hAnsi="Arial" w:cs="Arial"/>
          <w:b/>
          <w:bCs/>
          <w:sz w:val="18"/>
          <w:szCs w:val="18"/>
        </w:rPr>
        <w:t>based on their associations with entities of nature (EN)</w:t>
      </w:r>
      <w:r>
        <w:rPr>
          <w:rFonts w:ascii="Arial" w:hAnsi="Arial" w:cs="Arial"/>
          <w:b/>
          <w:bCs/>
          <w:sz w:val="18"/>
          <w:szCs w:val="18"/>
          <w:lang w:val="en-US"/>
        </w:rPr>
        <w:t xml:space="preserve"> in each habitat type. </w:t>
      </w:r>
      <w:r>
        <w:rPr>
          <w:rFonts w:ascii="Arial" w:hAnsi="Arial" w:cs="Arial"/>
          <w:sz w:val="18"/>
          <w:szCs w:val="18"/>
          <w:lang w:val="en-US"/>
        </w:rPr>
        <w:t>Local scale of analysis representing the NCP typology for each non-material NCP in each habitat type it occurs based on the breath of association (x-axis) and degree of specific</w:t>
      </w:r>
      <w:r>
        <w:rPr>
          <w:rFonts w:ascii="Arial" w:hAnsi="Arial" w:cs="Arial"/>
          <w:sz w:val="18"/>
          <w:szCs w:val="18"/>
          <w:lang w:val="en-US"/>
        </w:rPr>
        <w:t>ity (y-axis). Number of circles represent the total habitats in which an NCP occur. Breadth of association and degree of specificity are calculated as the standardized values for effectives partners (</w:t>
      </w:r>
      <w:proofErr w:type="spellStart"/>
      <w:r>
        <w:rPr>
          <w:rFonts w:ascii="Arial" w:hAnsi="Arial" w:cs="Arial"/>
          <w:sz w:val="18"/>
          <w:szCs w:val="18"/>
          <w:lang w:val="en-US"/>
        </w:rPr>
        <w:t>e</w:t>
      </w:r>
      <w:r>
        <w:rPr>
          <w:rFonts w:ascii="Arial" w:hAnsi="Arial" w:cs="Arial"/>
          <w:sz w:val="18"/>
          <w:szCs w:val="18"/>
          <w:vertAlign w:val="superscript"/>
          <w:lang w:val="en-US"/>
        </w:rPr>
        <w:t>H</w:t>
      </w:r>
      <w:proofErr w:type="spellEnd"/>
      <w:r>
        <w:rPr>
          <w:rFonts w:ascii="Arial" w:hAnsi="Arial" w:cs="Arial"/>
          <w:sz w:val="18"/>
          <w:szCs w:val="18"/>
          <w:lang w:val="en-US"/>
        </w:rPr>
        <w:t>) and degree of complementary specialization (d’), res</w:t>
      </w:r>
      <w:r>
        <w:rPr>
          <w:rFonts w:ascii="Arial" w:hAnsi="Arial" w:cs="Arial"/>
          <w:sz w:val="18"/>
          <w:szCs w:val="18"/>
          <w:lang w:val="en-US"/>
        </w:rPr>
        <w:t>pectively.</w:t>
      </w:r>
    </w:p>
    <w:p w:rsidR="005038D2" w:rsidRDefault="00A708DD">
      <w:pPr>
        <w:rPr>
          <w:rFonts w:ascii="Arial" w:hAnsi="Arial" w:cs="Arial"/>
          <w:lang w:val="en-US"/>
        </w:rPr>
      </w:pPr>
      <w:r>
        <w:rPr>
          <w:rFonts w:ascii="Arial" w:hAnsi="Arial" w:cs="Arial"/>
          <w:noProof/>
          <w:lang w:val="en-IN" w:eastAsia="en-IN"/>
        </w:rPr>
        <w:lastRenderedPageBreak/>
        <w:drawing>
          <wp:inline distT="0" distB="0" distL="0" distR="0">
            <wp:extent cx="5731510" cy="4334510"/>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334510"/>
                    </a:xfrm>
                    <a:prstGeom prst="rect">
                      <a:avLst/>
                    </a:prstGeom>
                  </pic:spPr>
                </pic:pic>
              </a:graphicData>
            </a:graphic>
          </wp:inline>
        </w:drawing>
      </w:r>
    </w:p>
    <w:p w:rsidR="005038D2" w:rsidRDefault="00A708DD">
      <w:pPr>
        <w:rPr>
          <w:rFonts w:ascii="Arial" w:hAnsi="Arial" w:cs="Arial"/>
          <w:sz w:val="18"/>
          <w:szCs w:val="18"/>
          <w:lang w:val="en-US"/>
        </w:rPr>
      </w:pPr>
      <w:r>
        <w:rPr>
          <w:rFonts w:ascii="Arial" w:hAnsi="Arial" w:cs="Arial"/>
          <w:b/>
          <w:bCs/>
          <w:sz w:val="18"/>
          <w:szCs w:val="18"/>
          <w:lang w:val="en-US"/>
        </w:rPr>
        <w:t>Figure S2. Proportion of available entities of nature (EN) associated with each non-material NCP across Mount Kilimanjaro.</w:t>
      </w:r>
      <w:r>
        <w:rPr>
          <w:rFonts w:ascii="Arial" w:hAnsi="Arial" w:cs="Arial"/>
          <w:sz w:val="18"/>
          <w:szCs w:val="18"/>
          <w:lang w:val="en-US"/>
        </w:rPr>
        <w:t xml:space="preserve"> (a) meta-network pooling Tweets from the entire dataset to create one bipartite network depicting the regional scale of </w:t>
      </w:r>
      <w:r>
        <w:rPr>
          <w:rFonts w:ascii="Arial" w:hAnsi="Arial" w:cs="Arial"/>
          <w:sz w:val="18"/>
          <w:szCs w:val="18"/>
          <w:lang w:val="en-US"/>
        </w:rPr>
        <w:t>analysis. (b-f) habitats networks geo-locating Tweets across the six main habitat types to create six bipartite networks, depicting the local scale of analysis.  Values in brackets represent the total number of available EN in each network. Dashed lines re</w:t>
      </w:r>
      <w:r>
        <w:rPr>
          <w:rFonts w:ascii="Arial" w:hAnsi="Arial" w:cs="Arial"/>
          <w:sz w:val="18"/>
          <w:szCs w:val="18"/>
          <w:lang w:val="en-US"/>
        </w:rPr>
        <w:t>present three different levels depicting which NCP are associated with at least 20%, 30% or 40% of the available EN. At a threshold of 30% most NCP will be comparable with Figure 2 from the main text. Those habitat types with a low number of EN mentioned b</w:t>
      </w:r>
      <w:r>
        <w:rPr>
          <w:rFonts w:ascii="Arial" w:hAnsi="Arial" w:cs="Arial"/>
          <w:sz w:val="18"/>
          <w:szCs w:val="18"/>
          <w:lang w:val="en-US"/>
        </w:rPr>
        <w:t>y people (e.g., erica forest, alpine zone and montane forest) tend to be associated with all NCP, that’s why percentages are high despite being relatively associated with few EN.</w:t>
      </w:r>
    </w:p>
    <w:p w:rsidR="005038D2" w:rsidRDefault="00A708DD">
      <w:pPr>
        <w:rPr>
          <w:rFonts w:ascii="Arial" w:hAnsi="Arial" w:cs="Arial"/>
          <w:b/>
          <w:bCs/>
          <w:lang w:val="en-US"/>
        </w:rPr>
      </w:pPr>
      <w:r>
        <w:rPr>
          <w:rFonts w:ascii="Arial" w:hAnsi="Arial" w:cs="Arial"/>
          <w:b/>
          <w:bCs/>
          <w:noProof/>
          <w:lang w:val="en-IN" w:eastAsia="en-IN"/>
        </w:rPr>
        <w:lastRenderedPageBreak/>
        <w:drawing>
          <wp:inline distT="0" distB="0" distL="0" distR="0">
            <wp:extent cx="5731510" cy="33502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350260"/>
                    </a:xfrm>
                    <a:prstGeom prst="rect">
                      <a:avLst/>
                    </a:prstGeom>
                  </pic:spPr>
                </pic:pic>
              </a:graphicData>
            </a:graphic>
          </wp:inline>
        </w:drawing>
      </w:r>
    </w:p>
    <w:p w:rsidR="005038D2" w:rsidRDefault="00A708DD">
      <w:pPr>
        <w:rPr>
          <w:rFonts w:ascii="Arial" w:hAnsi="Arial" w:cs="Arial"/>
          <w:b/>
          <w:bCs/>
          <w:lang w:val="en-US"/>
        </w:rPr>
      </w:pPr>
      <w:r>
        <w:rPr>
          <w:rFonts w:ascii="Arial" w:hAnsi="Arial" w:cs="Arial"/>
          <w:b/>
          <w:bCs/>
          <w:noProof/>
          <w:lang w:val="en-IN" w:eastAsia="en-IN"/>
        </w:rPr>
        <w:drawing>
          <wp:anchor distT="0" distB="0" distL="114300" distR="114300" simplePos="0" relativeHeight="251658240" behindDoc="0" locked="0" layoutInCell="1" allowOverlap="1">
            <wp:simplePos x="0" y="0"/>
            <wp:positionH relativeFrom="column">
              <wp:posOffset>0</wp:posOffset>
            </wp:positionH>
            <wp:positionV relativeFrom="paragraph">
              <wp:posOffset>539750</wp:posOffset>
            </wp:positionV>
            <wp:extent cx="5731510" cy="3350260"/>
            <wp:effectExtent l="0" t="0" r="2540" b="254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350260"/>
                    </a:xfrm>
                    <a:prstGeom prst="rect">
                      <a:avLst/>
                    </a:prstGeom>
                  </pic:spPr>
                </pic:pic>
              </a:graphicData>
            </a:graphic>
          </wp:anchor>
        </w:drawing>
      </w:r>
    </w:p>
    <w:p w:rsidR="005038D2" w:rsidRDefault="00A708DD">
      <w:pPr>
        <w:rPr>
          <w:rFonts w:ascii="Arial" w:hAnsi="Arial" w:cs="Arial"/>
          <w:b/>
          <w:bCs/>
          <w:lang w:val="en-US"/>
        </w:rPr>
      </w:pPr>
      <w:r>
        <w:rPr>
          <w:rFonts w:ascii="Arial" w:hAnsi="Arial" w:cs="Arial"/>
          <w:b/>
          <w:bCs/>
          <w:noProof/>
          <w:lang w:val="en-IN" w:eastAsia="en-IN"/>
        </w:rPr>
        <w:lastRenderedPageBreak/>
        <w:drawing>
          <wp:inline distT="0" distB="0" distL="0" distR="0">
            <wp:extent cx="5731510" cy="335026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350260"/>
                    </a:xfrm>
                    <a:prstGeom prst="rect">
                      <a:avLst/>
                    </a:prstGeom>
                  </pic:spPr>
                </pic:pic>
              </a:graphicData>
            </a:graphic>
          </wp:inline>
        </w:drawing>
      </w:r>
    </w:p>
    <w:p w:rsidR="005038D2" w:rsidRDefault="00A708DD">
      <w:pPr>
        <w:rPr>
          <w:rFonts w:ascii="Arial" w:hAnsi="Arial" w:cs="Arial"/>
          <w:sz w:val="18"/>
          <w:szCs w:val="18"/>
          <w:lang w:val="en-US"/>
        </w:rPr>
      </w:pPr>
      <w:r>
        <w:rPr>
          <w:rFonts w:ascii="Arial" w:hAnsi="Arial" w:cs="Arial"/>
          <w:b/>
          <w:bCs/>
          <w:sz w:val="18"/>
          <w:szCs w:val="18"/>
          <w:lang w:val="en-US"/>
        </w:rPr>
        <w:t>Figure S3. NCP-EN network per habitat type (a-f).</w:t>
      </w:r>
      <w:r>
        <w:rPr>
          <w:rFonts w:ascii="Arial" w:hAnsi="Arial" w:cs="Arial"/>
          <w:sz w:val="18"/>
          <w:szCs w:val="18"/>
          <w:lang w:val="en-US"/>
        </w:rPr>
        <w:t xml:space="preserve"> Each panel represents</w:t>
      </w:r>
      <w:r>
        <w:rPr>
          <w:rFonts w:ascii="Arial" w:hAnsi="Arial" w:cs="Arial"/>
          <w:sz w:val="18"/>
          <w:szCs w:val="18"/>
          <w:lang w:val="en-US"/>
        </w:rPr>
        <w:t xml:space="preserve"> a different habitat type (a-f), the first column represents the corresponding perceived entities of nature (EN) and its quantity, and the second column represents the derived non-material NCP and its quantity. The width of the links represents the strengt</w:t>
      </w:r>
      <w:r>
        <w:rPr>
          <w:rFonts w:ascii="Arial" w:hAnsi="Arial" w:cs="Arial"/>
          <w:sz w:val="18"/>
          <w:szCs w:val="18"/>
          <w:lang w:val="en-US"/>
        </w:rPr>
        <w:t>h of association, and the highlighted links are specialized associations within each habitat type based on each matrix inset, which considers the bread and specificity of NCP associations with EN. The nodes color palette represents the type of category for</w:t>
      </w:r>
      <w:r>
        <w:rPr>
          <w:rFonts w:ascii="Arial" w:hAnsi="Arial" w:cs="Arial"/>
          <w:sz w:val="18"/>
          <w:szCs w:val="18"/>
          <w:lang w:val="en-US"/>
        </w:rPr>
        <w:t xml:space="preserve"> EN (abiotic: brown; biotic: green; scale of perception: blue; and human-made: dark orange) and non-material NCP (Physical &amp; Psychological Experiences: pink; Learning &amp; Inspiration: lighter green; Supporting Identities: lighter orange). Mountain EN was rem</w:t>
      </w:r>
      <w:r>
        <w:rPr>
          <w:rFonts w:ascii="Arial" w:hAnsi="Arial" w:cs="Arial"/>
          <w:sz w:val="18"/>
          <w:szCs w:val="18"/>
          <w:lang w:val="en-US"/>
        </w:rPr>
        <w:t>oved to facilitate viewing other associations, this entity was associated with all non-material NCP, and it was perceived in all habitat types.</w:t>
      </w:r>
    </w:p>
    <w:p w:rsidR="005038D2" w:rsidRDefault="00A708DD">
      <w:pPr>
        <w:rPr>
          <w:rFonts w:ascii="Arial" w:hAnsi="Arial" w:cs="Arial"/>
          <w:lang w:val="en-US"/>
        </w:rPr>
      </w:pPr>
      <w:r>
        <w:rPr>
          <w:rFonts w:ascii="Arial" w:hAnsi="Arial" w:cs="Arial"/>
          <w:noProof/>
          <w:lang w:val="en-IN" w:eastAsia="en-IN"/>
        </w:rPr>
        <w:drawing>
          <wp:inline distT="0" distB="0" distL="0" distR="0">
            <wp:extent cx="4578350" cy="30535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4582144" cy="3056116"/>
                    </a:xfrm>
                    <a:prstGeom prst="rect">
                      <a:avLst/>
                    </a:prstGeom>
                  </pic:spPr>
                </pic:pic>
              </a:graphicData>
            </a:graphic>
          </wp:inline>
        </w:drawing>
      </w:r>
    </w:p>
    <w:p w:rsidR="005038D2" w:rsidRDefault="00A708DD">
      <w:pPr>
        <w:rPr>
          <w:rFonts w:ascii="Arial" w:hAnsi="Arial" w:cs="Arial"/>
          <w:sz w:val="18"/>
          <w:szCs w:val="18"/>
          <w:lang w:val="en-US"/>
        </w:rPr>
      </w:pPr>
      <w:r>
        <w:rPr>
          <w:rFonts w:ascii="Arial" w:hAnsi="Arial" w:cs="Arial"/>
          <w:b/>
          <w:bCs/>
          <w:sz w:val="18"/>
          <w:szCs w:val="18"/>
          <w:lang w:val="en-US"/>
        </w:rPr>
        <w:t xml:space="preserve">Figure S4. Null models for effective partners. </w:t>
      </w:r>
      <w:r>
        <w:rPr>
          <w:rFonts w:ascii="Arial" w:hAnsi="Arial" w:cs="Arial"/>
          <w:sz w:val="18"/>
          <w:szCs w:val="18"/>
          <w:lang w:val="en-US"/>
        </w:rPr>
        <w:t>Compared observed values (red squares) against the mean of 1000</w:t>
      </w:r>
      <w:r>
        <w:rPr>
          <w:rFonts w:ascii="Arial" w:hAnsi="Arial" w:cs="Arial"/>
          <w:sz w:val="18"/>
          <w:szCs w:val="18"/>
          <w:lang w:val="en-US"/>
        </w:rPr>
        <w:t xml:space="preserve"> independent null models (boxplot). Observed values that do not overlap the null model values, represent those consistently NCP characterized as specialized and generalized. To perform this analysis, we utilized the '</w:t>
      </w:r>
      <w:proofErr w:type="spellStart"/>
      <w:r>
        <w:rPr>
          <w:rFonts w:ascii="Arial" w:hAnsi="Arial" w:cs="Arial"/>
          <w:sz w:val="18"/>
          <w:szCs w:val="18"/>
          <w:lang w:val="en-US"/>
        </w:rPr>
        <w:t>nullmodel</w:t>
      </w:r>
      <w:proofErr w:type="spellEnd"/>
      <w:r>
        <w:rPr>
          <w:rFonts w:ascii="Arial" w:hAnsi="Arial" w:cs="Arial"/>
          <w:sz w:val="18"/>
          <w:szCs w:val="18"/>
          <w:lang w:val="en-US"/>
        </w:rPr>
        <w:t>' function (from the '‘biparti</w:t>
      </w:r>
      <w:r>
        <w:rPr>
          <w:rFonts w:ascii="Arial" w:hAnsi="Arial" w:cs="Arial"/>
          <w:sz w:val="18"/>
          <w:szCs w:val="18"/>
          <w:lang w:val="en-US"/>
        </w:rPr>
        <w:t>te'’ package), and applied the “r2dtable” to constrain the network size while randomizing the distribution of links among rows and columns, thereby maintaining constant marginal totals (</w:t>
      </w:r>
      <w:proofErr w:type="spellStart"/>
      <w:r>
        <w:rPr>
          <w:rFonts w:ascii="Arial" w:hAnsi="Arial" w:cs="Arial"/>
          <w:sz w:val="18"/>
          <w:szCs w:val="18"/>
          <w:lang w:val="en-US"/>
        </w:rPr>
        <w:t>Dormann</w:t>
      </w:r>
      <w:proofErr w:type="spellEnd"/>
      <w:r>
        <w:rPr>
          <w:rFonts w:ascii="Arial" w:hAnsi="Arial" w:cs="Arial"/>
          <w:sz w:val="18"/>
          <w:szCs w:val="18"/>
          <w:lang w:val="en-US"/>
        </w:rPr>
        <w:t xml:space="preserve"> et al., 2009).</w:t>
      </w:r>
    </w:p>
    <w:p w:rsidR="005038D2" w:rsidRDefault="00A708DD">
      <w:pPr>
        <w:rPr>
          <w:rFonts w:ascii="Arial" w:hAnsi="Arial" w:cs="Arial"/>
          <w:b/>
          <w:bCs/>
          <w:sz w:val="18"/>
          <w:szCs w:val="18"/>
          <w:lang w:val="en-US"/>
        </w:rPr>
      </w:pPr>
      <w:r>
        <w:rPr>
          <w:rFonts w:ascii="Arial" w:hAnsi="Arial" w:cs="Arial"/>
          <w:b/>
          <w:bCs/>
          <w:sz w:val="18"/>
          <w:szCs w:val="18"/>
          <w:lang w:val="en-US"/>
        </w:rPr>
        <w:lastRenderedPageBreak/>
        <w:t xml:space="preserve">References </w:t>
      </w:r>
    </w:p>
    <w:p w:rsidR="005038D2" w:rsidRDefault="00A708DD">
      <w:pPr>
        <w:pStyle w:val="ListParagraph"/>
        <w:numPr>
          <w:ilvl w:val="0"/>
          <w:numId w:val="2"/>
        </w:numPr>
        <w:rPr>
          <w:rFonts w:ascii="Arial" w:hAnsi="Arial" w:cs="Arial"/>
          <w:sz w:val="18"/>
          <w:szCs w:val="18"/>
          <w:lang w:val="en-US"/>
        </w:rPr>
      </w:pPr>
      <w:r>
        <w:rPr>
          <w:rFonts w:ascii="Arial" w:hAnsi="Arial" w:cs="Arial"/>
          <w:sz w:val="18"/>
          <w:szCs w:val="18"/>
          <w:lang w:val="en-US"/>
        </w:rPr>
        <w:t xml:space="preserve">Barrie, C., &amp; Ho, J. 2021. </w:t>
      </w:r>
      <w:proofErr w:type="spellStart"/>
      <w:r>
        <w:rPr>
          <w:rFonts w:ascii="Arial" w:hAnsi="Arial" w:cs="Arial"/>
          <w:sz w:val="18"/>
          <w:szCs w:val="18"/>
          <w:lang w:val="en-US"/>
        </w:rPr>
        <w:t>academictwitteR</w:t>
      </w:r>
      <w:proofErr w:type="spellEnd"/>
      <w:r>
        <w:rPr>
          <w:rFonts w:ascii="Arial" w:hAnsi="Arial" w:cs="Arial"/>
          <w:sz w:val="18"/>
          <w:szCs w:val="18"/>
          <w:lang w:val="en-US"/>
        </w:rPr>
        <w:t xml:space="preserve">: an R package to access the Twitter Academic Research Product Track v2 API endpoint. </w:t>
      </w:r>
      <w:r>
        <w:rPr>
          <w:rFonts w:ascii="Arial" w:hAnsi="Arial" w:cs="Arial"/>
          <w:i/>
          <w:iCs/>
          <w:sz w:val="18"/>
          <w:szCs w:val="18"/>
          <w:lang w:val="en-US"/>
        </w:rPr>
        <w:t>Journal of Open-Source Software</w:t>
      </w:r>
      <w:r>
        <w:rPr>
          <w:rFonts w:ascii="Arial" w:hAnsi="Arial" w:cs="Arial"/>
          <w:sz w:val="18"/>
          <w:szCs w:val="18"/>
          <w:lang w:val="en-US"/>
        </w:rPr>
        <w:t xml:space="preserve"> 6(62): 3272.</w:t>
      </w:r>
    </w:p>
    <w:p w:rsidR="005038D2" w:rsidRDefault="00A708DD">
      <w:pPr>
        <w:pStyle w:val="ListParagraph"/>
        <w:numPr>
          <w:ilvl w:val="0"/>
          <w:numId w:val="2"/>
        </w:numPr>
        <w:rPr>
          <w:rFonts w:ascii="Arial" w:hAnsi="Arial" w:cs="Arial"/>
          <w:sz w:val="18"/>
          <w:szCs w:val="18"/>
          <w:lang w:val="en-US"/>
        </w:rPr>
      </w:pPr>
      <w:r>
        <w:rPr>
          <w:rFonts w:ascii="Arial" w:hAnsi="Arial" w:cs="Arial"/>
          <w:sz w:val="18"/>
          <w:szCs w:val="18"/>
          <w:lang w:val="en-US"/>
        </w:rPr>
        <w:t xml:space="preserve">Degano, M. E., </w:t>
      </w:r>
      <w:proofErr w:type="spellStart"/>
      <w:r>
        <w:rPr>
          <w:rFonts w:ascii="Arial" w:hAnsi="Arial" w:cs="Arial"/>
          <w:sz w:val="18"/>
          <w:szCs w:val="18"/>
          <w:lang w:val="en-US"/>
        </w:rPr>
        <w:t>Augustino</w:t>
      </w:r>
      <w:proofErr w:type="spellEnd"/>
      <w:r>
        <w:rPr>
          <w:rFonts w:ascii="Arial" w:hAnsi="Arial" w:cs="Arial"/>
          <w:sz w:val="18"/>
          <w:szCs w:val="18"/>
          <w:lang w:val="en-US"/>
        </w:rPr>
        <w:t xml:space="preserve"> </w:t>
      </w:r>
      <w:proofErr w:type="spellStart"/>
      <w:r>
        <w:rPr>
          <w:rFonts w:ascii="Arial" w:hAnsi="Arial" w:cs="Arial"/>
          <w:sz w:val="18"/>
          <w:szCs w:val="18"/>
          <w:lang w:val="en-US"/>
        </w:rPr>
        <w:t>Kwaslema</w:t>
      </w:r>
      <w:proofErr w:type="spellEnd"/>
      <w:r>
        <w:rPr>
          <w:rFonts w:ascii="Arial" w:hAnsi="Arial" w:cs="Arial"/>
          <w:sz w:val="18"/>
          <w:szCs w:val="18"/>
          <w:lang w:val="en-US"/>
        </w:rPr>
        <w:t xml:space="preserve">, S., </w:t>
      </w:r>
      <w:proofErr w:type="spellStart"/>
      <w:r>
        <w:rPr>
          <w:rFonts w:ascii="Arial" w:hAnsi="Arial" w:cs="Arial"/>
          <w:sz w:val="18"/>
          <w:szCs w:val="18"/>
          <w:lang w:val="en-US"/>
        </w:rPr>
        <w:t>Böhning-Gaese</w:t>
      </w:r>
      <w:proofErr w:type="spellEnd"/>
      <w:r>
        <w:rPr>
          <w:rFonts w:ascii="Arial" w:hAnsi="Arial" w:cs="Arial"/>
          <w:sz w:val="18"/>
          <w:szCs w:val="18"/>
          <w:lang w:val="en-US"/>
        </w:rPr>
        <w:t xml:space="preserve">, K., Hemp, A., </w:t>
      </w:r>
      <w:proofErr w:type="spellStart"/>
      <w:r>
        <w:rPr>
          <w:rFonts w:ascii="Arial" w:hAnsi="Arial" w:cs="Arial"/>
          <w:sz w:val="18"/>
          <w:szCs w:val="18"/>
          <w:lang w:val="en-US"/>
        </w:rPr>
        <w:t>Lehnen</w:t>
      </w:r>
      <w:proofErr w:type="spellEnd"/>
      <w:r>
        <w:rPr>
          <w:rFonts w:ascii="Arial" w:hAnsi="Arial" w:cs="Arial"/>
          <w:sz w:val="18"/>
          <w:szCs w:val="18"/>
          <w:lang w:val="en-US"/>
        </w:rPr>
        <w:t>, L., Martín-López, B., Pearson, J.,</w:t>
      </w:r>
      <w:r>
        <w:rPr>
          <w:rFonts w:ascii="Arial" w:hAnsi="Arial" w:cs="Arial"/>
          <w:sz w:val="18"/>
          <w:szCs w:val="18"/>
          <w:lang w:val="en-US"/>
        </w:rPr>
        <w:t xml:space="preserve"> Mueller, T., and </w:t>
      </w:r>
      <w:proofErr w:type="spellStart"/>
      <w:r>
        <w:rPr>
          <w:rFonts w:ascii="Arial" w:hAnsi="Arial" w:cs="Arial"/>
          <w:sz w:val="18"/>
          <w:szCs w:val="18"/>
          <w:lang w:val="en-US"/>
        </w:rPr>
        <w:t>Arbieu</w:t>
      </w:r>
      <w:proofErr w:type="spellEnd"/>
      <w:r>
        <w:rPr>
          <w:rFonts w:ascii="Arial" w:hAnsi="Arial" w:cs="Arial"/>
          <w:sz w:val="18"/>
          <w:szCs w:val="18"/>
          <w:lang w:val="en-US"/>
        </w:rPr>
        <w:t>, U. 2025. Perceptions of nature and its non-material contributions to people at Mount Kilimanjaro. People and Nature 7: 1697-1712. https://doi.org/10.1002/pan3.70079</w:t>
      </w:r>
    </w:p>
    <w:p w:rsidR="005038D2" w:rsidRDefault="00A708DD">
      <w:pPr>
        <w:pStyle w:val="ListParagraph"/>
        <w:numPr>
          <w:ilvl w:val="0"/>
          <w:numId w:val="2"/>
        </w:numPr>
        <w:rPr>
          <w:rFonts w:ascii="Arial" w:hAnsi="Arial" w:cs="Arial"/>
          <w:sz w:val="18"/>
          <w:szCs w:val="18"/>
          <w:lang w:val="en-US"/>
        </w:rPr>
      </w:pPr>
      <w:r>
        <w:rPr>
          <w:rFonts w:ascii="Arial" w:hAnsi="Arial" w:cs="Arial"/>
          <w:sz w:val="18"/>
          <w:szCs w:val="18"/>
          <w:lang w:val="de-DE"/>
        </w:rPr>
        <w:t xml:space="preserve">Dormann, C. F., Fründ, J., Blüthgen, N., and Gruber, B. 2009. </w:t>
      </w:r>
      <w:r>
        <w:rPr>
          <w:rFonts w:ascii="Arial" w:hAnsi="Arial" w:cs="Arial"/>
          <w:sz w:val="18"/>
          <w:szCs w:val="18"/>
          <w:lang w:val="en-US"/>
        </w:rPr>
        <w:t>Ind</w:t>
      </w:r>
      <w:r>
        <w:rPr>
          <w:rFonts w:ascii="Arial" w:hAnsi="Arial" w:cs="Arial"/>
          <w:sz w:val="18"/>
          <w:szCs w:val="18"/>
          <w:lang w:val="en-US"/>
        </w:rPr>
        <w:t xml:space="preserve">ices, Graphs and Null Models: Analyzing Bipartite Ecological Networks. </w:t>
      </w:r>
      <w:r>
        <w:rPr>
          <w:rFonts w:ascii="Arial" w:hAnsi="Arial" w:cs="Arial"/>
          <w:i/>
          <w:iCs/>
          <w:sz w:val="18"/>
          <w:szCs w:val="18"/>
          <w:lang w:val="en-US"/>
        </w:rPr>
        <w:t>The Open Ecology Journal</w:t>
      </w:r>
      <w:r>
        <w:rPr>
          <w:rFonts w:ascii="Arial" w:hAnsi="Arial" w:cs="Arial"/>
          <w:sz w:val="18"/>
          <w:szCs w:val="18"/>
          <w:lang w:val="en-US"/>
        </w:rPr>
        <w:t xml:space="preserve"> 2.</w:t>
      </w:r>
    </w:p>
    <w:sectPr w:rsidR="005038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8D2" w:rsidRDefault="00A708DD">
      <w:pPr>
        <w:spacing w:after="0" w:line="240" w:lineRule="auto"/>
      </w:pPr>
      <w:r>
        <w:separator/>
      </w:r>
    </w:p>
  </w:endnote>
  <w:endnote w:type="continuationSeparator" w:id="0">
    <w:p w:rsidR="005038D2" w:rsidRDefault="00A7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581088"/>
      <w:docPartObj>
        <w:docPartGallery w:val="Page Numbers (Bottom of Page)"/>
        <w:docPartUnique/>
      </w:docPartObj>
    </w:sdtPr>
    <w:sdtEndPr>
      <w:rPr>
        <w:rFonts w:ascii="Arial" w:hAnsi="Arial" w:cs="Arial"/>
        <w:noProof/>
        <w:sz w:val="16"/>
        <w:szCs w:val="16"/>
      </w:rPr>
    </w:sdtEndPr>
    <w:sdtContent>
      <w:p w:rsidR="005038D2" w:rsidRDefault="00A708DD">
        <w:pPr>
          <w:pStyle w:val="Footer"/>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noProof/>
            <w:sz w:val="20"/>
            <w:szCs w:val="20"/>
          </w:rPr>
          <w:t>9</w:t>
        </w:r>
        <w:r>
          <w:rPr>
            <w:rFonts w:ascii="Arial" w:hAnsi="Arial" w:cs="Arial"/>
            <w:noProof/>
            <w:sz w:val="20"/>
            <w:szCs w:val="20"/>
          </w:rPr>
          <w:fldChar w:fldCharType="end"/>
        </w:r>
      </w:p>
    </w:sdtContent>
  </w:sdt>
  <w:p w:rsidR="005038D2" w:rsidRDefault="005038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8D2" w:rsidRDefault="00A708DD">
      <w:pPr>
        <w:spacing w:after="0" w:line="240" w:lineRule="auto"/>
      </w:pPr>
      <w:r>
        <w:separator/>
      </w:r>
    </w:p>
  </w:footnote>
  <w:footnote w:type="continuationSeparator" w:id="0">
    <w:p w:rsidR="005038D2" w:rsidRDefault="00A708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B3E1C"/>
    <w:multiLevelType w:val="hybridMultilevel"/>
    <w:tmpl w:val="9BD4B8D2"/>
    <w:lvl w:ilvl="0" w:tplc="0409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6945299"/>
    <w:multiLevelType w:val="hybridMultilevel"/>
    <w:tmpl w:val="51F6DA80"/>
    <w:lvl w:ilvl="0" w:tplc="92EC0CB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D2"/>
    <w:rsid w:val="005038D2"/>
    <w:rsid w:val="00A708DD"/>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0FCC6-7830-4C41-9055-6B37F264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Degano</dc:creator>
  <cp:keywords/>
  <dc:description/>
  <cp:lastModifiedBy>Suganya R Rajapandian P</cp:lastModifiedBy>
  <cp:revision>5</cp:revision>
  <dcterms:created xsi:type="dcterms:W3CDTF">2026-04-09T12:13:00Z</dcterms:created>
  <dcterms:modified xsi:type="dcterms:W3CDTF">2026-07-07T06:27:00Z</dcterms:modified>
</cp:coreProperties>
</file>