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3C1A" w:rsidRDefault="00753C1A" w:rsidP="00753C1A">
      <w:pPr>
        <w:pStyle w:val="Heading1"/>
        <w:rPr>
          <w:rFonts w:ascii="Arial" w:eastAsia="Arial" w:hAnsi="Arial" w:cs="Arial"/>
          <w:color w:val="3C78D8"/>
        </w:rPr>
      </w:pPr>
      <w:bookmarkStart w:id="0" w:name="_GoBack"/>
      <w:bookmarkEnd w:id="0"/>
      <w:r>
        <w:rPr>
          <w:rFonts w:ascii="Arial" w:eastAsia="Arial" w:hAnsi="Arial" w:cs="Arial"/>
          <w:color w:val="3C78D8"/>
        </w:rPr>
        <w:t>Supplementary Material</w:t>
      </w:r>
    </w:p>
    <w:p w:rsidR="00753C1A" w:rsidRDefault="00753C1A" w:rsidP="00753C1A">
      <w:pPr>
        <w:pBdr>
          <w:top w:val="nil"/>
          <w:left w:val="nil"/>
          <w:bottom w:val="nil"/>
          <w:right w:val="nil"/>
          <w:between w:val="nil"/>
        </w:pBdr>
        <w:spacing w:line="360" w:lineRule="auto"/>
        <w:jc w:val="both"/>
        <w:rPr>
          <w:rFonts w:ascii="Arial" w:eastAsia="Arial" w:hAnsi="Arial" w:cs="Arial"/>
          <w:sz w:val="24"/>
          <w:szCs w:val="24"/>
        </w:rPr>
      </w:pPr>
      <w:r>
        <w:rPr>
          <w:rFonts w:ascii="Arial" w:eastAsia="Arial" w:hAnsi="Arial" w:cs="Arial"/>
          <w:sz w:val="24"/>
          <w:szCs w:val="24"/>
        </w:rPr>
        <w:t>The Supplementary Material consists of four sections. National Mine Action procedures in Ukraine (S1), Strategies (S2), Stakeholders (S3), Expert Interviews (S4).</w:t>
      </w:r>
    </w:p>
    <w:p w:rsidR="00753C1A" w:rsidRDefault="00753C1A" w:rsidP="00753C1A">
      <w:pPr>
        <w:pBdr>
          <w:top w:val="nil"/>
          <w:left w:val="nil"/>
          <w:bottom w:val="nil"/>
          <w:right w:val="nil"/>
          <w:between w:val="nil"/>
        </w:pBdr>
        <w:spacing w:line="360" w:lineRule="auto"/>
        <w:jc w:val="both"/>
        <w:rPr>
          <w:rFonts w:ascii="Arial" w:eastAsia="Arial" w:hAnsi="Arial" w:cs="Arial"/>
          <w:sz w:val="24"/>
          <w:szCs w:val="24"/>
        </w:rPr>
      </w:pPr>
    </w:p>
    <w:p w:rsidR="00753C1A" w:rsidRDefault="00753C1A" w:rsidP="00753C1A">
      <w:pPr>
        <w:pStyle w:val="Heading2"/>
        <w:pBdr>
          <w:top w:val="nil"/>
          <w:left w:val="nil"/>
          <w:bottom w:val="nil"/>
          <w:right w:val="nil"/>
          <w:between w:val="nil"/>
        </w:pBdr>
        <w:rPr>
          <w:rFonts w:ascii="Arial" w:eastAsia="Arial" w:hAnsi="Arial" w:cs="Arial"/>
          <w:color w:val="3C78D8"/>
          <w:sz w:val="24"/>
          <w:szCs w:val="24"/>
        </w:rPr>
      </w:pPr>
      <w:r>
        <w:rPr>
          <w:rFonts w:ascii="Arial" w:eastAsia="Arial" w:hAnsi="Arial" w:cs="Arial"/>
          <w:color w:val="3C78D8"/>
          <w:sz w:val="24"/>
          <w:szCs w:val="24"/>
        </w:rPr>
        <w:t>Supplementary Material S1: National Mine Action Procedures in Ukraine</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This Supplementary Material provides a detailed, procedural description of non-technical survey (NTS), technical survey (TS), and land-release protocols as applied in Ukraine, based on national standards (DSTU 8820:2023 and SESU SOP 08.10/08.20). It complements the overview of mine-action governance and clearance strategies presented in the main manuscript (Section 2) by specifying how survey, classification, prioritization, and clearance decisions are operationalized in practice, including hazardous-area definitions, prioritization phases (I–IV), and the allocation of responsibilities among state and certified humanitarian operators.</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 xml:space="preserve">After the end of combat operations in a given area, the territory is treated as </w:t>
      </w:r>
      <w:r>
        <w:rPr>
          <w:rFonts w:ascii="Arial" w:eastAsia="Arial" w:hAnsi="Arial" w:cs="Arial"/>
          <w:i/>
          <w:iCs/>
          <w:sz w:val="24"/>
          <w:szCs w:val="24"/>
        </w:rPr>
        <w:t>potentially contaminated</w:t>
      </w:r>
      <w:r>
        <w:rPr>
          <w:rFonts w:ascii="Arial" w:eastAsia="Arial" w:hAnsi="Arial" w:cs="Arial"/>
          <w:sz w:val="24"/>
          <w:szCs w:val="24"/>
        </w:rPr>
        <w:t xml:space="preserve"> with explosive remnants of war (ERW) until a formal survey confirms whether contamination is present. This helps explain why figures such as “25 % of Ukraine’s territory is contaminated” circulate in the media, an estimate that is only partly correct (DSTU 8820:2023). It includes all areas where fighting has occurred and where non-technical or technical surveys have not yet been undertaken, as well as temporarily occupied zones where access remains impossible.</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Military (combat) demining, conducted under active hostilities by engineer-sapper units of the Defense Forces, together with the emergency responses of the State Emergency Service of Ukraine (SESU) and the explosive-ordnance disposal units of the National Police, is not covered here. That activity aims primarily to ensure immediate safety and access before humanitarian demining can begin.</w:t>
      </w:r>
    </w:p>
    <w:p w:rsidR="00753C1A" w:rsidRDefault="00753C1A" w:rsidP="00753C1A">
      <w:pPr>
        <w:spacing w:before="240" w:after="240" w:line="360" w:lineRule="auto"/>
        <w:jc w:val="both"/>
        <w:rPr>
          <w:rFonts w:ascii="Arial" w:eastAsia="Arial" w:hAnsi="Arial" w:cs="Arial"/>
          <w:sz w:val="24"/>
          <w:szCs w:val="24"/>
        </w:rPr>
      </w:pPr>
    </w:p>
    <w:p w:rsidR="00753C1A" w:rsidRDefault="00753C1A" w:rsidP="00753C1A">
      <w:pPr>
        <w:pStyle w:val="Heading4"/>
        <w:keepNext w:val="0"/>
        <w:spacing w:before="240" w:after="40" w:line="360" w:lineRule="auto"/>
        <w:jc w:val="both"/>
        <w:rPr>
          <w:rFonts w:ascii="Arial" w:eastAsia="Arial" w:hAnsi="Arial" w:cs="Arial"/>
          <w:b/>
          <w:bCs/>
          <w:i/>
          <w:iCs/>
          <w:sz w:val="22"/>
          <w:szCs w:val="22"/>
        </w:rPr>
      </w:pPr>
      <w:bookmarkStart w:id="1" w:name="_heading=h.2bj66ootznoa" w:colFirst="0" w:colLast="0"/>
      <w:bookmarkEnd w:id="1"/>
      <w:r>
        <w:rPr>
          <w:rFonts w:ascii="Arial" w:eastAsia="Arial" w:hAnsi="Arial" w:cs="Arial"/>
          <w:b/>
          <w:bCs/>
          <w:i/>
          <w:iCs/>
          <w:sz w:val="22"/>
          <w:szCs w:val="22"/>
        </w:rPr>
        <w:t>Non-Technical Survey (NTS)</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lastRenderedPageBreak/>
        <w:t xml:space="preserve">The first step in land release is the Non-Technical Survey (NTS): The systematic collection, analysis, and assessment of information about a suspected area, </w:t>
      </w:r>
      <w:r>
        <w:rPr>
          <w:rFonts w:ascii="Arial" w:eastAsia="Arial" w:hAnsi="Arial" w:cs="Arial"/>
          <w:i/>
          <w:iCs/>
          <w:sz w:val="24"/>
          <w:szCs w:val="24"/>
        </w:rPr>
        <w:t>without</w:t>
      </w:r>
      <w:r>
        <w:rPr>
          <w:rFonts w:ascii="Arial" w:eastAsia="Arial" w:hAnsi="Arial" w:cs="Arial"/>
          <w:sz w:val="24"/>
          <w:szCs w:val="24"/>
        </w:rPr>
        <w:t xml:space="preserve"> the use of technical detection equipment.</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The main objectives are to:</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 gather or confirm evidence of ERW contamination and assess associated risks to nearby populations;</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 classify territory by hazard status;</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 delineate and, where safe, mark the boundaries of hazardous areas;</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 release land through desk-based or evidence-based cancellation;</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 identify socio-economic and environmental factors (terrain, infrastructure, land use, etc.) influencing clearance priorities; and</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 collect data on incidents involving people or animals.</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Based on NTS results, land is categorized as:</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 Suspected Hazardous Area (SHA): indirect evidence of ERW;</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 Confirmed Hazardous Area (CHA): direct or corroborated evidence of ERW;</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 Released Area: no evidence of contamination. (see SESU Standard Operating Procedure 08.10).</w:t>
      </w:r>
    </w:p>
    <w:p w:rsidR="00753C1A" w:rsidRDefault="00753C1A" w:rsidP="00753C1A">
      <w:pPr>
        <w:spacing w:before="240" w:after="240" w:line="360" w:lineRule="auto"/>
        <w:jc w:val="both"/>
        <w:rPr>
          <w:rFonts w:ascii="Arial" w:eastAsia="Arial" w:hAnsi="Arial" w:cs="Arial"/>
          <w:sz w:val="24"/>
          <w:szCs w:val="24"/>
        </w:rPr>
      </w:pPr>
    </w:p>
    <w:p w:rsidR="00753C1A" w:rsidRDefault="00753C1A" w:rsidP="00753C1A">
      <w:pPr>
        <w:pStyle w:val="Heading4"/>
        <w:keepNext w:val="0"/>
        <w:spacing w:before="240" w:after="40" w:line="360" w:lineRule="auto"/>
        <w:jc w:val="both"/>
        <w:rPr>
          <w:rFonts w:ascii="Arial" w:eastAsia="Arial" w:hAnsi="Arial" w:cs="Arial"/>
          <w:b/>
          <w:bCs/>
          <w:i/>
          <w:iCs/>
          <w:sz w:val="22"/>
          <w:szCs w:val="22"/>
        </w:rPr>
      </w:pPr>
      <w:bookmarkStart w:id="2" w:name="_heading=h.m3iac3ilfyv5" w:colFirst="0" w:colLast="0"/>
      <w:bookmarkEnd w:id="2"/>
      <w:r>
        <w:rPr>
          <w:rFonts w:ascii="Arial" w:eastAsia="Arial" w:hAnsi="Arial" w:cs="Arial"/>
          <w:b/>
          <w:bCs/>
          <w:i/>
          <w:iCs/>
          <w:sz w:val="22"/>
          <w:szCs w:val="22"/>
        </w:rPr>
        <w:t>Technical Survey (TS)</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Once an area is classified as suspected or confirmed hazardous, a Technical Survey (TS) is undertaken. Released areas are returned to land users and do not require further investigation.</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The TS uses technical means to verify the presence or absence of ERW, refine boundaries, and provide data for planning clearance (IMAS 04.10; IMAS 08.10 (2022)).</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Key objectives include:</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lastRenderedPageBreak/>
        <w:t>• confirming contamination identified by NTS;</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 validating or revising the hazard classification;</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 accurately mapping hazardous boundaries for clearance and marking them to prevent access;</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 releasing land through evidence-based reduction;</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 determining clearance methods, resource needs, and logistical requirements; and</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 documenting local conditions (topography, infrastructure, land use) that affect prioritization. (see State Emergency Service of Ukraine *SESU) SOP 08.20 (2023)).</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TS outputs include:</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 identification of areas confirmed to contain ERW;</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 information to support operational planning and prioritization;</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 documented evidence demonstrating, to land users, that released areas are free from ERW to a defined depth; and</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 updated data for future clearance prioritization.</w:t>
      </w:r>
    </w:p>
    <w:p w:rsidR="00753C1A" w:rsidRDefault="00753C1A" w:rsidP="00753C1A">
      <w:pPr>
        <w:spacing w:before="240" w:after="240" w:line="360" w:lineRule="auto"/>
        <w:jc w:val="both"/>
        <w:rPr>
          <w:rFonts w:ascii="Arial" w:eastAsia="Arial" w:hAnsi="Arial" w:cs="Arial"/>
          <w:sz w:val="24"/>
          <w:szCs w:val="24"/>
        </w:rPr>
      </w:pPr>
    </w:p>
    <w:p w:rsidR="00753C1A" w:rsidRDefault="00753C1A" w:rsidP="00753C1A">
      <w:pPr>
        <w:pStyle w:val="Heading4"/>
        <w:keepNext w:val="0"/>
        <w:spacing w:before="240" w:after="40" w:line="360" w:lineRule="auto"/>
        <w:jc w:val="both"/>
        <w:rPr>
          <w:rFonts w:ascii="Arial" w:eastAsia="Arial" w:hAnsi="Arial" w:cs="Arial"/>
          <w:b/>
          <w:bCs/>
          <w:i/>
          <w:iCs/>
          <w:sz w:val="22"/>
          <w:szCs w:val="22"/>
        </w:rPr>
      </w:pPr>
      <w:bookmarkStart w:id="3" w:name="_heading=h.btyysiq78ays" w:colFirst="0" w:colLast="0"/>
      <w:bookmarkEnd w:id="3"/>
      <w:r>
        <w:rPr>
          <w:rFonts w:ascii="Arial" w:eastAsia="Arial" w:hAnsi="Arial" w:cs="Arial"/>
          <w:b/>
          <w:bCs/>
          <w:i/>
          <w:iCs/>
          <w:sz w:val="22"/>
          <w:szCs w:val="22"/>
        </w:rPr>
        <w:t>Prioritization and implementation</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Data from NTS and TS feed into the prioritization of land release. Clearance tasks are commonly organized in four phases (I–IV), reflecting risk level and socio-economic importance (DSTU 8820:2023). Decisions also define the clearance method and the unit or organization responsible.</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Humanitarian mine action in Ukraine is currently implemented by:</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 pyrotechnic units of SESU;</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 engineer-sapper units of the Armed Forces, National Guard, and State Special Transport Service;</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 explosive-ordnance disposal units of the National Police; and</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lastRenderedPageBreak/>
        <w:t>• certified national and international humanitarian operators.</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Assignment depends on operational availability, proximity to active hostilities, recommended clearance method, estimated contamination density, ERW type, and other logistical considerations.</w:t>
      </w:r>
    </w:p>
    <w:p w:rsidR="00753C1A" w:rsidRDefault="00753C1A" w:rsidP="00753C1A">
      <w:pPr>
        <w:spacing w:before="240" w:after="240" w:line="360" w:lineRule="auto"/>
        <w:jc w:val="both"/>
        <w:rPr>
          <w:rFonts w:ascii="Arial" w:eastAsia="Arial" w:hAnsi="Arial" w:cs="Arial"/>
          <w:sz w:val="24"/>
          <w:szCs w:val="24"/>
        </w:rPr>
      </w:pPr>
    </w:p>
    <w:p w:rsidR="00753C1A" w:rsidRDefault="00753C1A" w:rsidP="00753C1A">
      <w:pPr>
        <w:pStyle w:val="Heading4"/>
        <w:keepNext w:val="0"/>
        <w:spacing w:before="240" w:after="40" w:line="360" w:lineRule="auto"/>
        <w:jc w:val="both"/>
        <w:rPr>
          <w:rFonts w:ascii="Arial" w:eastAsia="Arial" w:hAnsi="Arial" w:cs="Arial"/>
          <w:b/>
          <w:bCs/>
          <w:i/>
          <w:iCs/>
          <w:sz w:val="22"/>
          <w:szCs w:val="22"/>
        </w:rPr>
      </w:pPr>
      <w:bookmarkStart w:id="4" w:name="_heading=h.dfom7bohf1jb" w:colFirst="0" w:colLast="0"/>
      <w:bookmarkEnd w:id="4"/>
      <w:r>
        <w:rPr>
          <w:rFonts w:ascii="Arial" w:eastAsia="Arial" w:hAnsi="Arial" w:cs="Arial"/>
          <w:b/>
          <w:bCs/>
          <w:i/>
          <w:iCs/>
          <w:sz w:val="22"/>
          <w:szCs w:val="22"/>
        </w:rPr>
        <w:t>Clearance methods</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Common methods include:</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 Manual demining: The traditional and most reliable approach, particularly effective in dense or irregular terrain, populated areas, or where mine density is high.</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 Mechanical demining: Using specialized vehicles in relatively flat, uniform terrain with low vegetation; typically achieves about 80 % effectiveness and requires manual verification.</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 Mine-detection dogs: Employed selectively, mainly for complex sites such as damaged buildings or debris fields.</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 Combined and emerging methods: Integration of drones, robotic platforms, and remote-sensing tools.</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The selection of teams and methods depends on the nature of the threat (e.g., minefields, improvised explosive devices (IEDs), battlefield UXO, or other hazards such as chemical or radiological contamination). It follows the relevant national standards and SOPs (DSTU 8820:2023, IMAS 09.10).</w:t>
      </w:r>
    </w:p>
    <w:p w:rsidR="00753C1A" w:rsidRDefault="00753C1A" w:rsidP="00753C1A">
      <w:pPr>
        <w:spacing w:before="240" w:after="240" w:line="360" w:lineRule="auto"/>
        <w:jc w:val="both"/>
        <w:rPr>
          <w:rFonts w:ascii="Arial" w:eastAsia="Arial" w:hAnsi="Arial" w:cs="Arial"/>
          <w:sz w:val="24"/>
          <w:szCs w:val="24"/>
        </w:rPr>
      </w:pPr>
    </w:p>
    <w:p w:rsidR="00753C1A" w:rsidRDefault="00753C1A" w:rsidP="00753C1A">
      <w:pPr>
        <w:pStyle w:val="Heading4"/>
        <w:keepNext w:val="0"/>
        <w:spacing w:before="240" w:after="40" w:line="360" w:lineRule="auto"/>
        <w:jc w:val="both"/>
        <w:rPr>
          <w:rFonts w:ascii="Arial" w:eastAsia="Arial" w:hAnsi="Arial" w:cs="Arial"/>
          <w:b/>
          <w:bCs/>
          <w:i/>
          <w:iCs/>
          <w:sz w:val="22"/>
          <w:szCs w:val="22"/>
        </w:rPr>
      </w:pPr>
      <w:bookmarkStart w:id="5" w:name="_heading=h.dmism4t24nvs" w:colFirst="0" w:colLast="0"/>
      <w:bookmarkEnd w:id="5"/>
      <w:r>
        <w:rPr>
          <w:rFonts w:ascii="Arial" w:eastAsia="Arial" w:hAnsi="Arial" w:cs="Arial"/>
          <w:b/>
          <w:bCs/>
          <w:i/>
          <w:iCs/>
          <w:sz w:val="22"/>
          <w:szCs w:val="22"/>
        </w:rPr>
        <w:t>Quality control and handover</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Following clearance, quality control (QC) ensures that all operational requirements have been met. The responsible organization must demonstrate that all ERW have been removed or destroyed within the specified area and depth, certifying the land as safe and suitable for intended civilian use (DSTU 8820:2023).</w:t>
      </w:r>
    </w:p>
    <w:p w:rsidR="00753C1A" w:rsidRDefault="00753C1A" w:rsidP="00753C1A">
      <w:pPr>
        <w:spacing w:before="240" w:after="240" w:line="360" w:lineRule="auto"/>
        <w:jc w:val="both"/>
        <w:rPr>
          <w:rFonts w:ascii="Arial" w:eastAsia="Arial" w:hAnsi="Arial" w:cs="Arial"/>
          <w:sz w:val="24"/>
          <w:szCs w:val="24"/>
        </w:rPr>
      </w:pPr>
    </w:p>
    <w:p w:rsidR="00753C1A" w:rsidRDefault="00753C1A" w:rsidP="00753C1A">
      <w:pPr>
        <w:pStyle w:val="Heading4"/>
        <w:keepNext w:val="0"/>
        <w:spacing w:before="240" w:after="40" w:line="360" w:lineRule="auto"/>
        <w:jc w:val="both"/>
        <w:rPr>
          <w:rFonts w:ascii="Arial" w:eastAsia="Arial" w:hAnsi="Arial" w:cs="Arial"/>
          <w:b/>
          <w:bCs/>
          <w:i/>
          <w:iCs/>
          <w:sz w:val="22"/>
          <w:szCs w:val="22"/>
        </w:rPr>
      </w:pPr>
      <w:bookmarkStart w:id="6" w:name="_heading=h.lif6bin3l7ob" w:colFirst="0" w:colLast="0"/>
      <w:bookmarkEnd w:id="6"/>
      <w:r>
        <w:rPr>
          <w:rFonts w:ascii="Arial" w:eastAsia="Arial" w:hAnsi="Arial" w:cs="Arial"/>
          <w:b/>
          <w:bCs/>
          <w:i/>
          <w:iCs/>
          <w:sz w:val="22"/>
          <w:szCs w:val="22"/>
        </w:rPr>
        <w:lastRenderedPageBreak/>
        <w:t>References S1</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 xml:space="preserve">State Emergency Service of Ukraine (SESU) (2023). </w:t>
      </w:r>
      <w:r>
        <w:rPr>
          <w:rFonts w:ascii="Arial" w:eastAsia="Arial" w:hAnsi="Arial" w:cs="Arial"/>
          <w:i/>
          <w:iCs/>
          <w:sz w:val="24"/>
          <w:szCs w:val="24"/>
        </w:rPr>
        <w:t>Standard Operating Procedure 08.10: Non-Technical Survey.</w:t>
      </w:r>
      <w:r>
        <w:rPr>
          <w:rFonts w:ascii="Arial" w:eastAsia="Arial" w:hAnsi="Arial" w:cs="Arial"/>
          <w:sz w:val="24"/>
          <w:szCs w:val="24"/>
        </w:rPr>
        <w:t xml:space="preserve"> Kyiv.</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 xml:space="preserve">DSTU 8820:2023. </w:t>
      </w:r>
      <w:r>
        <w:rPr>
          <w:rFonts w:ascii="Arial" w:eastAsia="Arial" w:hAnsi="Arial" w:cs="Arial"/>
          <w:i/>
          <w:iCs/>
          <w:sz w:val="24"/>
          <w:szCs w:val="24"/>
        </w:rPr>
        <w:t>National Mine Action Standard: Mine Action in Ukraine.</w:t>
      </w:r>
      <w:r>
        <w:rPr>
          <w:rFonts w:ascii="Arial" w:eastAsia="Arial" w:hAnsi="Arial" w:cs="Arial"/>
          <w:sz w:val="24"/>
          <w:szCs w:val="24"/>
        </w:rPr>
        <w:t xml:space="preserve"> Kyiv: Ministry of Economy of Ukraine.</w:t>
      </w:r>
    </w:p>
    <w:p w:rsidR="00753C1A" w:rsidRDefault="00753C1A" w:rsidP="00753C1A">
      <w:pPr>
        <w:spacing w:before="240" w:after="240" w:line="360" w:lineRule="auto"/>
        <w:jc w:val="both"/>
        <w:rPr>
          <w:rFonts w:ascii="Arial" w:eastAsia="Arial" w:hAnsi="Arial" w:cs="Arial"/>
          <w:sz w:val="24"/>
          <w:szCs w:val="24"/>
        </w:rPr>
        <w:sectPr w:rsidR="00753C1A" w:rsidSect="009D27F2">
          <w:pgSz w:w="11906" w:h="16838"/>
          <w:pgMar w:top="1417" w:right="1417" w:bottom="1134" w:left="1440" w:header="708" w:footer="708" w:gutter="0"/>
          <w:cols w:space="720"/>
        </w:sectPr>
      </w:pPr>
      <w:r>
        <w:rPr>
          <w:rFonts w:ascii="Arial" w:eastAsia="Arial" w:hAnsi="Arial" w:cs="Arial"/>
          <w:sz w:val="24"/>
          <w:szCs w:val="24"/>
        </w:rPr>
        <w:t xml:space="preserve">IMAS 04.10 &amp; 08.10 (2022). </w:t>
      </w:r>
      <w:r>
        <w:rPr>
          <w:rFonts w:ascii="Arial" w:eastAsia="Arial" w:hAnsi="Arial" w:cs="Arial"/>
          <w:i/>
          <w:iCs/>
          <w:sz w:val="24"/>
          <w:szCs w:val="24"/>
        </w:rPr>
        <w:t>International Mine Action Standards.</w:t>
      </w:r>
      <w:r>
        <w:rPr>
          <w:rFonts w:ascii="Arial" w:eastAsia="Arial" w:hAnsi="Arial" w:cs="Arial"/>
          <w:sz w:val="24"/>
          <w:szCs w:val="24"/>
        </w:rPr>
        <w:t xml:space="preserve"> Geneva: UNMAS/GICHD.</w:t>
      </w:r>
    </w:p>
    <w:p w:rsidR="00753C1A" w:rsidRDefault="00753C1A" w:rsidP="00753C1A">
      <w:pPr>
        <w:pStyle w:val="Heading2"/>
        <w:rPr>
          <w:rFonts w:ascii="Arial" w:eastAsia="Arial" w:hAnsi="Arial" w:cs="Arial"/>
          <w:b w:val="0"/>
          <w:bCs w:val="0"/>
          <w:color w:val="3C78D8"/>
          <w:sz w:val="24"/>
          <w:szCs w:val="24"/>
        </w:rPr>
      </w:pPr>
      <w:r>
        <w:rPr>
          <w:rFonts w:ascii="Arial" w:eastAsia="Arial" w:hAnsi="Arial" w:cs="Arial"/>
          <w:color w:val="3C78D8"/>
          <w:sz w:val="24"/>
          <w:szCs w:val="24"/>
        </w:rPr>
        <w:lastRenderedPageBreak/>
        <w:t>Supplementary Material S2: Strategies</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This section expands on the conceptual and empirical basis for the strategy framework introduced in the main text. It brings together international experience, theoretical reasoning, and field observations to clarify how different forms of mine action and land-recovery efforts have evolved worldwide and how they can be compared systematically.</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The supplementary material has three parts.</w:t>
      </w:r>
    </w:p>
    <w:p w:rsidR="00753C1A" w:rsidRDefault="00753C1A" w:rsidP="00753C1A">
      <w:pPr>
        <w:numPr>
          <w:ilvl w:val="0"/>
          <w:numId w:val="6"/>
        </w:numPr>
        <w:spacing w:before="240" w:after="0" w:line="360" w:lineRule="auto"/>
        <w:rPr>
          <w:rFonts w:ascii="Arial" w:eastAsia="Arial" w:hAnsi="Arial" w:cs="Arial"/>
          <w:sz w:val="24"/>
          <w:szCs w:val="24"/>
        </w:rPr>
      </w:pPr>
      <w:r>
        <w:rPr>
          <w:rFonts w:ascii="Arial" w:eastAsia="Arial" w:hAnsi="Arial" w:cs="Arial"/>
          <w:b/>
          <w:bCs/>
          <w:sz w:val="24"/>
          <w:szCs w:val="24"/>
        </w:rPr>
        <w:t>S2.1</w:t>
      </w:r>
      <w:r>
        <w:rPr>
          <w:rFonts w:ascii="Arial" w:eastAsia="Arial" w:hAnsi="Arial" w:cs="Arial"/>
          <w:sz w:val="24"/>
          <w:szCs w:val="24"/>
        </w:rPr>
        <w:t xml:space="preserve"> reviews global evidence from the literature and documented case studies, highlighting how demining and land-rehabilitation practices have been implemented in various post-conflict settings.</w:t>
      </w:r>
    </w:p>
    <w:p w:rsidR="00753C1A" w:rsidRDefault="00753C1A" w:rsidP="00753C1A">
      <w:pPr>
        <w:numPr>
          <w:ilvl w:val="0"/>
          <w:numId w:val="6"/>
        </w:numPr>
        <w:spacing w:after="0" w:line="360" w:lineRule="auto"/>
        <w:rPr>
          <w:rFonts w:ascii="Arial" w:eastAsia="Arial" w:hAnsi="Arial" w:cs="Arial"/>
          <w:sz w:val="24"/>
          <w:szCs w:val="24"/>
        </w:rPr>
      </w:pPr>
      <w:r>
        <w:rPr>
          <w:rFonts w:ascii="Arial" w:eastAsia="Arial" w:hAnsi="Arial" w:cs="Arial"/>
          <w:b/>
          <w:bCs/>
          <w:sz w:val="24"/>
          <w:szCs w:val="24"/>
        </w:rPr>
        <w:t>S2.2</w:t>
      </w:r>
      <w:r>
        <w:rPr>
          <w:rFonts w:ascii="Arial" w:eastAsia="Arial" w:hAnsi="Arial" w:cs="Arial"/>
          <w:sz w:val="24"/>
          <w:szCs w:val="24"/>
        </w:rPr>
        <w:t xml:space="preserve"> defines what is meant by a </w:t>
      </w:r>
      <w:r>
        <w:rPr>
          <w:rFonts w:ascii="Arial" w:eastAsia="Arial" w:hAnsi="Arial" w:cs="Arial"/>
          <w:i/>
          <w:iCs/>
          <w:sz w:val="24"/>
          <w:szCs w:val="24"/>
        </w:rPr>
        <w:t>strategy</w:t>
      </w:r>
      <w:r>
        <w:rPr>
          <w:rFonts w:ascii="Arial" w:eastAsia="Arial" w:hAnsi="Arial" w:cs="Arial"/>
          <w:sz w:val="24"/>
          <w:szCs w:val="24"/>
        </w:rPr>
        <w:t xml:space="preserve"> in the context of mine action, explaining its operational and governance dimensions.</w:t>
      </w:r>
    </w:p>
    <w:p w:rsidR="00753C1A" w:rsidRDefault="00753C1A" w:rsidP="00753C1A">
      <w:pPr>
        <w:numPr>
          <w:ilvl w:val="0"/>
          <w:numId w:val="6"/>
        </w:numPr>
        <w:spacing w:after="240" w:line="360" w:lineRule="auto"/>
        <w:rPr>
          <w:rFonts w:ascii="Arial" w:eastAsia="Arial" w:hAnsi="Arial" w:cs="Arial"/>
          <w:sz w:val="24"/>
          <w:szCs w:val="24"/>
        </w:rPr>
      </w:pPr>
      <w:r>
        <w:rPr>
          <w:rFonts w:ascii="Arial" w:eastAsia="Arial" w:hAnsi="Arial" w:cs="Arial"/>
          <w:b/>
          <w:bCs/>
          <w:sz w:val="24"/>
          <w:szCs w:val="24"/>
        </w:rPr>
        <w:t>S2.3</w:t>
      </w:r>
      <w:r>
        <w:rPr>
          <w:rFonts w:ascii="Arial" w:eastAsia="Arial" w:hAnsi="Arial" w:cs="Arial"/>
          <w:sz w:val="24"/>
          <w:szCs w:val="24"/>
        </w:rPr>
        <w:t xml:space="preserve"> develops a typology of strategies based on recurrent patterns observed across international cases. This typology underpins the comparative analysis of Ukraine’s emerging system presented in the main article.</w:t>
      </w:r>
    </w:p>
    <w:p w:rsidR="00753C1A" w:rsidRDefault="00753C1A" w:rsidP="00753C1A">
      <w:pPr>
        <w:pStyle w:val="Heading3"/>
        <w:rPr>
          <w:rFonts w:ascii="Arial" w:eastAsia="Arial" w:hAnsi="Arial" w:cs="Arial"/>
          <w:color w:val="3C78D8"/>
          <w:sz w:val="24"/>
          <w:szCs w:val="24"/>
        </w:rPr>
      </w:pPr>
      <w:r>
        <w:rPr>
          <w:rFonts w:ascii="Arial" w:eastAsia="Arial" w:hAnsi="Arial" w:cs="Arial"/>
          <w:color w:val="3C78D8"/>
          <w:sz w:val="24"/>
          <w:szCs w:val="24"/>
        </w:rPr>
        <w:t>S2.1.Review of global examples and evidence</w:t>
      </w:r>
    </w:p>
    <w:p w:rsidR="00753C1A" w:rsidRDefault="00753C1A" w:rsidP="00753C1A">
      <w:pPr>
        <w:pStyle w:val="Heading4"/>
        <w:rPr>
          <w:rFonts w:ascii="Arial" w:eastAsia="Arial" w:hAnsi="Arial" w:cs="Arial"/>
          <w:color w:val="4E96AC"/>
          <w:sz w:val="24"/>
          <w:szCs w:val="24"/>
        </w:rPr>
      </w:pPr>
      <w:r>
        <w:rPr>
          <w:rFonts w:ascii="Arial" w:eastAsia="Arial" w:hAnsi="Arial" w:cs="Arial"/>
          <w:color w:val="4E96AC"/>
          <w:sz w:val="24"/>
          <w:szCs w:val="24"/>
        </w:rPr>
        <w:t>Cambodia</w:t>
      </w:r>
    </w:p>
    <w:p w:rsidR="00753C1A" w:rsidRDefault="00753C1A" w:rsidP="00753C1A">
      <w:pPr>
        <w:spacing w:line="360" w:lineRule="auto"/>
        <w:jc w:val="both"/>
        <w:rPr>
          <w:rFonts w:ascii="Arial" w:eastAsia="Arial" w:hAnsi="Arial" w:cs="Arial"/>
          <w:sz w:val="24"/>
          <w:szCs w:val="24"/>
        </w:rPr>
      </w:pPr>
      <w:r>
        <w:rPr>
          <w:rFonts w:ascii="Arial" w:eastAsia="Arial" w:hAnsi="Arial" w:cs="Arial"/>
          <w:sz w:val="24"/>
          <w:szCs w:val="24"/>
        </w:rPr>
        <w:t xml:space="preserve">Cambodia remains one of the world’s most heavily landmine-contaminated countries, a legacy of conflicts involving the Khmer Rouge regime and subsequent Vietnamese occupation (1975–1998). The most affected regions include forested and rural areas in the northwest, such as Battambang, Pailin, and Siem Reap provinces, where dense terrain made mine-laying a favored tactic (CMAC 2023, APOPO 2024). As of 2021, Cambodia had over 700 km² of mine-contaminated land, with large portions within forest ecosystems (Mine Action Review 2022). The economic impact is significant, as mine contamination limits agricultural expansion and sustainable forestry, affecting tens of thousands of livelihoods (Harris 2000). Many communities avoid traditional farming and logging in forested areas due to fear of hidden landmines, exacerbating rural poverty and displacement (CMAC 2023). Environmentally, mine contamination has contributed to both deforestation and unintended forest conservation, as some areas have been left untouched for decades, allowing secondary forests to regenerate (Mine Action Review 2022). Furthermore, post-conflict economic recovery in Cambodia has been closely tied to forest exploitation, with former combatants and political elites benefiting from the rapid expansion of commercial logging and land </w:t>
      </w:r>
      <w:r>
        <w:rPr>
          <w:rFonts w:ascii="Arial" w:eastAsia="Arial" w:hAnsi="Arial" w:cs="Arial"/>
          <w:sz w:val="24"/>
          <w:szCs w:val="24"/>
        </w:rPr>
        <w:lastRenderedPageBreak/>
        <w:t>concessions in demined areas (Le Billon 2000). This dynamic raises concerns about whether cleared forests are being preserved or instead rapidly converted for timber extraction and agribusiness development.</w:t>
      </w:r>
    </w:p>
    <w:p w:rsidR="00753C1A" w:rsidRDefault="00753C1A" w:rsidP="00753C1A">
      <w:pPr>
        <w:spacing w:line="360" w:lineRule="auto"/>
        <w:jc w:val="both"/>
        <w:rPr>
          <w:rFonts w:ascii="Arial" w:eastAsia="Arial" w:hAnsi="Arial" w:cs="Arial"/>
          <w:sz w:val="24"/>
          <w:szCs w:val="24"/>
        </w:rPr>
      </w:pPr>
    </w:p>
    <w:p w:rsidR="00753C1A" w:rsidRDefault="00753C1A" w:rsidP="00753C1A">
      <w:pPr>
        <w:spacing w:line="360" w:lineRule="auto"/>
        <w:jc w:val="both"/>
        <w:rPr>
          <w:rFonts w:ascii="Arial" w:eastAsia="Arial" w:hAnsi="Arial" w:cs="Arial"/>
          <w:sz w:val="24"/>
          <w:szCs w:val="24"/>
        </w:rPr>
      </w:pPr>
      <w:r>
        <w:rPr>
          <w:rFonts w:ascii="Arial" w:eastAsia="Arial" w:hAnsi="Arial" w:cs="Arial"/>
          <w:sz w:val="24"/>
          <w:szCs w:val="24"/>
        </w:rPr>
        <w:t>Cambodia has developed one of the most extensive demining programs globally, implementing a mix of manual, mechanical, and technological approaches. The Cambodian Mine Action Centre (CMAC), HALO Trust, and Mines Advisory Group (MAG) have worked extensively to clear mines from forested landscapes (Mine Action Review 2022). Manual demining with metal detectors remains the most widely used method, though Cambodia has pioneered the use of explosive-sniffing rats (APOPO’s HeroRATS) to assist in detection efforts (Harris 2000). Drone-based surveying and remote sensing technologies are also being increasingly integrated into mine clearance operations (Kohama et al. 2020, Mine Action Review 2022). However, demining remains a slow and expensive process, and some areas, such as Cambodia’s border with Thailand, remain highly contaminated due to ongoing disputes over land ownership and access (Mine Action Review 2022).</w:t>
      </w:r>
    </w:p>
    <w:p w:rsidR="00753C1A" w:rsidRDefault="00753C1A" w:rsidP="00753C1A">
      <w:pPr>
        <w:spacing w:line="360" w:lineRule="auto"/>
        <w:jc w:val="both"/>
        <w:rPr>
          <w:rFonts w:ascii="Arial" w:eastAsia="Arial" w:hAnsi="Arial" w:cs="Arial"/>
          <w:b/>
          <w:bCs/>
          <w:sz w:val="24"/>
          <w:szCs w:val="24"/>
        </w:rPr>
      </w:pPr>
    </w:p>
    <w:p w:rsidR="00753C1A" w:rsidRDefault="00753C1A" w:rsidP="00753C1A">
      <w:pPr>
        <w:spacing w:line="360" w:lineRule="auto"/>
        <w:jc w:val="both"/>
        <w:rPr>
          <w:rFonts w:ascii="Arial" w:eastAsia="Arial" w:hAnsi="Arial" w:cs="Arial"/>
          <w:b/>
          <w:bCs/>
          <w:sz w:val="24"/>
          <w:szCs w:val="24"/>
        </w:rPr>
      </w:pPr>
    </w:p>
    <w:p w:rsidR="00753C1A" w:rsidRDefault="00753C1A" w:rsidP="00753C1A">
      <w:pPr>
        <w:pStyle w:val="Heading4"/>
        <w:rPr>
          <w:rFonts w:ascii="Arial" w:eastAsia="Arial" w:hAnsi="Arial" w:cs="Arial"/>
          <w:color w:val="4E96AC"/>
          <w:sz w:val="24"/>
          <w:szCs w:val="24"/>
        </w:rPr>
      </w:pPr>
      <w:r>
        <w:rPr>
          <w:rFonts w:ascii="Arial" w:eastAsia="Arial" w:hAnsi="Arial" w:cs="Arial"/>
          <w:color w:val="4E96AC"/>
          <w:sz w:val="24"/>
          <w:szCs w:val="24"/>
        </w:rPr>
        <w:t>Colombia</w:t>
      </w:r>
    </w:p>
    <w:p w:rsidR="00753C1A" w:rsidRDefault="00753C1A" w:rsidP="00753C1A">
      <w:pPr>
        <w:spacing w:line="360" w:lineRule="auto"/>
        <w:jc w:val="both"/>
        <w:rPr>
          <w:rFonts w:ascii="Arial" w:eastAsia="Arial" w:hAnsi="Arial" w:cs="Arial"/>
          <w:sz w:val="24"/>
          <w:szCs w:val="24"/>
        </w:rPr>
      </w:pPr>
      <w:r>
        <w:rPr>
          <w:rFonts w:ascii="Arial" w:eastAsia="Arial" w:hAnsi="Arial" w:cs="Arial"/>
          <w:sz w:val="24"/>
          <w:szCs w:val="24"/>
        </w:rPr>
        <w:t xml:space="preserve">For decades, Colombia’s Amazon region has been severely impacted by landmines due to the prolonged armed conflict involving government forces, paramilitary groups, and guerrilla factions such as the FARC. The most affected departments, Meta, Caquetá, Putumayo, and Guaviare, host vast forested areas that have been contaminated with explosive remnants of war (Bautista-Cespedes et al. 2021). Landmines were strategically placed to control territory, protect illicit coca crops, and deter military incursions, rendering extensive forest regions unsafe for human access (Alvarez 2003). This contamination has had major economic consequences, restricting sustainable forestry, agriculture, and ecotourism, which are crucial to local livelihoods (Bautista-Cespedes et al. 2021, citing Castro-Nunez et al. 2017). While landmines in Colombia have restricted human access, unintentionally preserving some forests, they have also forced communities to abandon their land, exacerbating rural displacement and poverty. Though guerrilla groups used landmines to control territories and limit deforestation, their presence continues to hinder conservation, reforestation, and </w:t>
      </w:r>
      <w:r>
        <w:rPr>
          <w:rFonts w:ascii="Arial" w:eastAsia="Arial" w:hAnsi="Arial" w:cs="Arial"/>
          <w:sz w:val="24"/>
          <w:szCs w:val="24"/>
        </w:rPr>
        <w:lastRenderedPageBreak/>
        <w:t>sustainable land recovery (Hoffmann et al. 2018). Despite the 2016 peace agreement reducing active conflict, land-use patterns continue to be shaped by post-conflict dynamics, as many communities face challenges in reclaiming abandoned lands, which are often left vulnerable to illegal logging and land grabbing (Bautista-Cespedes et al. 2021).</w:t>
      </w:r>
    </w:p>
    <w:p w:rsidR="00753C1A" w:rsidRDefault="00753C1A" w:rsidP="00753C1A">
      <w:pPr>
        <w:spacing w:line="360" w:lineRule="auto"/>
        <w:jc w:val="both"/>
        <w:rPr>
          <w:rFonts w:ascii="Arial" w:eastAsia="Arial" w:hAnsi="Arial" w:cs="Arial"/>
          <w:sz w:val="24"/>
          <w:szCs w:val="24"/>
        </w:rPr>
      </w:pPr>
    </w:p>
    <w:p w:rsidR="00753C1A" w:rsidRDefault="00753C1A" w:rsidP="00753C1A">
      <w:pPr>
        <w:spacing w:line="360" w:lineRule="auto"/>
        <w:jc w:val="both"/>
        <w:rPr>
          <w:rFonts w:ascii="Arial" w:eastAsia="Arial" w:hAnsi="Arial" w:cs="Arial"/>
          <w:sz w:val="24"/>
          <w:szCs w:val="24"/>
        </w:rPr>
      </w:pPr>
      <w:r>
        <w:rPr>
          <w:rFonts w:ascii="Arial" w:eastAsia="Arial" w:hAnsi="Arial" w:cs="Arial"/>
          <w:sz w:val="24"/>
          <w:szCs w:val="24"/>
        </w:rPr>
        <w:t>Colombia has implemented various demining strategies to reclaim forested lands, involving both national and international organizations. The Colombian Army’s Humanitarian Demining Battalion, in coordination with HALO Trust, Norwegian People’s Aid (NPA), and the Organization of American States (OAS), has led extensive clearance operations (Mine Action Review 2022). Manual demining, which involves trained personnel using metal detectors and protective equipment, remains the primary method due to the complexity of dense forest terrain. Mechanical demining, employing armored clearance vehicles, has been deployed in less vegetated areas but faces limitations in jungle environments (Mine Action Review 2022).</w:t>
      </w:r>
    </w:p>
    <w:p w:rsidR="00753C1A" w:rsidRDefault="00753C1A" w:rsidP="00753C1A">
      <w:pPr>
        <w:spacing w:line="360" w:lineRule="auto"/>
        <w:jc w:val="both"/>
        <w:rPr>
          <w:rFonts w:ascii="Arial" w:eastAsia="Arial" w:hAnsi="Arial" w:cs="Arial"/>
          <w:sz w:val="24"/>
          <w:szCs w:val="24"/>
        </w:rPr>
      </w:pPr>
    </w:p>
    <w:p w:rsidR="00753C1A" w:rsidRDefault="00753C1A" w:rsidP="00753C1A">
      <w:pPr>
        <w:spacing w:line="360" w:lineRule="auto"/>
        <w:jc w:val="both"/>
        <w:rPr>
          <w:rFonts w:ascii="Arial" w:eastAsia="Arial" w:hAnsi="Arial" w:cs="Arial"/>
          <w:sz w:val="24"/>
          <w:szCs w:val="24"/>
        </w:rPr>
      </w:pPr>
      <w:r>
        <w:rPr>
          <w:rFonts w:ascii="Arial" w:eastAsia="Arial" w:hAnsi="Arial" w:cs="Arial"/>
          <w:sz w:val="24"/>
          <w:szCs w:val="24"/>
        </w:rPr>
        <w:t>Canine-assisted detection has played an increasing role in mine clearance, particularly in difficult terrains where mechanical demining is not feasible. Specialized mine detection dogs (MDDs) are trained to sniff out explosives and provide a non-invasive method for detecting buried landmines, enhancing efficiency in contaminated regions. The Swiss Foundation for Mine Action (FSD) has contributed significantly to these efforts by providing training and technical expertise in support of Colombia’s national mine action system, including the integration of MDDs into broader land-release strategies (FSD 2021).</w:t>
      </w:r>
    </w:p>
    <w:p w:rsidR="00753C1A" w:rsidRDefault="00753C1A" w:rsidP="00753C1A">
      <w:pPr>
        <w:spacing w:line="360" w:lineRule="auto"/>
        <w:jc w:val="both"/>
        <w:rPr>
          <w:rFonts w:ascii="Arial" w:eastAsia="Arial" w:hAnsi="Arial" w:cs="Arial"/>
          <w:sz w:val="24"/>
          <w:szCs w:val="24"/>
        </w:rPr>
      </w:pPr>
    </w:p>
    <w:p w:rsidR="00753C1A" w:rsidRDefault="00753C1A" w:rsidP="00753C1A">
      <w:pPr>
        <w:spacing w:line="360" w:lineRule="auto"/>
        <w:jc w:val="both"/>
        <w:rPr>
          <w:rFonts w:ascii="Arial" w:eastAsia="Arial" w:hAnsi="Arial" w:cs="Arial"/>
          <w:sz w:val="24"/>
          <w:szCs w:val="24"/>
        </w:rPr>
      </w:pPr>
      <w:r>
        <w:rPr>
          <w:rFonts w:ascii="Arial" w:eastAsia="Arial" w:hAnsi="Arial" w:cs="Arial"/>
          <w:sz w:val="24"/>
          <w:szCs w:val="24"/>
        </w:rPr>
        <w:t xml:space="preserve">Additionally, community-based demining, which integrates local knowledge to identify hazardous zones, has been instrumental in some rural areas. The 2016 peace agreement also facilitated the inclusion of ex-FARC combatants in demining programs as part of reintegration efforts (Mine Action Review 2022). Colombia’s commitment to the Mine Ban Treaty (Ottawa Convention, United Nations 1997) reinforces its objective to achieve mine-free status, though progress remains slow due to the vastness of the </w:t>
      </w:r>
      <w:r>
        <w:rPr>
          <w:rFonts w:ascii="Arial" w:eastAsia="Arial" w:hAnsi="Arial" w:cs="Arial"/>
          <w:sz w:val="24"/>
          <w:szCs w:val="24"/>
        </w:rPr>
        <w:lastRenderedPageBreak/>
        <w:t>contaminated forest areas and ongoing security challenges (Mine Action Review 2022).</w:t>
      </w:r>
    </w:p>
    <w:p w:rsidR="00753C1A" w:rsidRDefault="00753C1A" w:rsidP="00753C1A">
      <w:pPr>
        <w:spacing w:line="360" w:lineRule="auto"/>
        <w:jc w:val="both"/>
        <w:rPr>
          <w:rFonts w:ascii="Arial" w:eastAsia="Arial" w:hAnsi="Arial" w:cs="Arial"/>
          <w:sz w:val="24"/>
          <w:szCs w:val="24"/>
        </w:rPr>
      </w:pPr>
    </w:p>
    <w:p w:rsidR="00753C1A" w:rsidRDefault="00753C1A" w:rsidP="00753C1A">
      <w:pPr>
        <w:spacing w:line="360" w:lineRule="auto"/>
        <w:jc w:val="both"/>
        <w:rPr>
          <w:rFonts w:ascii="Arial" w:eastAsia="Arial" w:hAnsi="Arial" w:cs="Arial"/>
          <w:sz w:val="24"/>
          <w:szCs w:val="24"/>
        </w:rPr>
      </w:pPr>
    </w:p>
    <w:p w:rsidR="00753C1A" w:rsidRDefault="00753C1A" w:rsidP="00753C1A">
      <w:pPr>
        <w:pStyle w:val="Heading4"/>
        <w:rPr>
          <w:rFonts w:ascii="Arial" w:eastAsia="Arial" w:hAnsi="Arial" w:cs="Arial"/>
          <w:color w:val="4E96AC"/>
          <w:sz w:val="24"/>
          <w:szCs w:val="24"/>
        </w:rPr>
      </w:pPr>
      <w:r>
        <w:rPr>
          <w:rFonts w:ascii="Arial" w:eastAsia="Arial" w:hAnsi="Arial" w:cs="Arial"/>
          <w:color w:val="4E96AC"/>
          <w:sz w:val="24"/>
          <w:szCs w:val="24"/>
        </w:rPr>
        <w:t>Yugoslavia</w:t>
      </w:r>
    </w:p>
    <w:p w:rsidR="00753C1A" w:rsidRDefault="00753C1A" w:rsidP="00753C1A">
      <w:pPr>
        <w:spacing w:line="360" w:lineRule="auto"/>
        <w:jc w:val="both"/>
        <w:rPr>
          <w:rFonts w:ascii="Arial" w:eastAsia="Arial" w:hAnsi="Arial" w:cs="Arial"/>
          <w:sz w:val="24"/>
          <w:szCs w:val="24"/>
        </w:rPr>
      </w:pPr>
      <w:r>
        <w:rPr>
          <w:rFonts w:ascii="Arial" w:eastAsia="Arial" w:hAnsi="Arial" w:cs="Arial"/>
          <w:sz w:val="24"/>
          <w:szCs w:val="24"/>
        </w:rPr>
        <w:t>The Yugoslav Wars (1991-2001) left behind vast landmine contamination, particularly in forested and mountainous regions across Bosnia and Herzegovina, Croatia, and Serbia. Many minefields were placed strategically along natural barriers such as rivers and dense forests, making these areas hazardous for decades after the war (Baselt et al 2023). The logging and forestry industries have been severely affected, with nearly 99% of suspected minefields in Croatia located in forests, restricting timber production and forest access. The Croatian Ministry of Reconstruction has estimated annual losses of USD 70 million for the logging and tourism industries due to mine contamination (Baselt et al. 2023). Socially, landmine contamination has directly impacted over 500,000 inhabitants, restricting access to forest resources and making rural mobility dangerous (BHMAC 2023, Baselt et al. 2023).</w:t>
      </w:r>
    </w:p>
    <w:p w:rsidR="00753C1A" w:rsidRDefault="00753C1A" w:rsidP="00753C1A">
      <w:pPr>
        <w:spacing w:line="360" w:lineRule="auto"/>
        <w:jc w:val="both"/>
        <w:rPr>
          <w:rFonts w:ascii="Arial" w:eastAsia="Arial" w:hAnsi="Arial" w:cs="Arial"/>
          <w:sz w:val="24"/>
          <w:szCs w:val="24"/>
        </w:rPr>
      </w:pPr>
    </w:p>
    <w:p w:rsidR="00753C1A" w:rsidRDefault="00753C1A" w:rsidP="00753C1A">
      <w:pPr>
        <w:spacing w:line="360" w:lineRule="auto"/>
        <w:jc w:val="both"/>
        <w:rPr>
          <w:rFonts w:ascii="Arial" w:eastAsia="Arial" w:hAnsi="Arial" w:cs="Arial"/>
          <w:sz w:val="24"/>
          <w:szCs w:val="24"/>
        </w:rPr>
      </w:pPr>
      <w:r>
        <w:rPr>
          <w:rFonts w:ascii="Arial" w:eastAsia="Arial" w:hAnsi="Arial" w:cs="Arial"/>
          <w:sz w:val="24"/>
          <w:szCs w:val="24"/>
        </w:rPr>
        <w:t>In Bosnia and Herzegovina, approximately 10% of the 284,277 hectares managed by the Public Forest Enterprise “Hercegbosanske šume” (HBŠ) remains suspected of mine contamination, severely hampering forest management and harvesting activities. This has led to an accumulation of timber exceeding 500 m³ per hectare, raising the risk of wildfires and bark beetle infestations. Financially, 770,000 m³ of wood could have been harvested in the past decade if these forests were accessible, representing significant economic losses. Despite €5.5 million invested over 15 years, only 6281 hectares have been cleared, meaning that, at the current pace, full clearance would take another 90 years (Stelstra 2023).</w:t>
      </w:r>
    </w:p>
    <w:p w:rsidR="00753C1A" w:rsidRDefault="00753C1A" w:rsidP="00753C1A">
      <w:pPr>
        <w:spacing w:line="360" w:lineRule="auto"/>
        <w:jc w:val="both"/>
        <w:rPr>
          <w:rFonts w:ascii="Arial" w:eastAsia="Arial" w:hAnsi="Arial" w:cs="Arial"/>
          <w:sz w:val="24"/>
          <w:szCs w:val="24"/>
        </w:rPr>
      </w:pPr>
    </w:p>
    <w:p w:rsidR="00753C1A" w:rsidRDefault="00753C1A" w:rsidP="00753C1A">
      <w:pPr>
        <w:spacing w:line="360" w:lineRule="auto"/>
        <w:jc w:val="both"/>
        <w:rPr>
          <w:rFonts w:ascii="Arial" w:eastAsia="Arial" w:hAnsi="Arial" w:cs="Arial"/>
          <w:sz w:val="24"/>
          <w:szCs w:val="24"/>
        </w:rPr>
      </w:pPr>
      <w:r>
        <w:rPr>
          <w:rFonts w:ascii="Arial" w:eastAsia="Arial" w:hAnsi="Arial" w:cs="Arial"/>
          <w:sz w:val="24"/>
          <w:szCs w:val="24"/>
        </w:rPr>
        <w:t xml:space="preserve">The Croatian War of Independence (1991–1995) resulted in an estimated 1.5–2.0 million landmines being deployed, with many minefields left unrecorded, complicating demining efforts. The most affected areas include forested landscapes along the Drava, Kupa, and Sava rivers (Baselt et al. 2023). Additionally, by 2010, approximately </w:t>
      </w:r>
      <w:r>
        <w:rPr>
          <w:rFonts w:ascii="Arial" w:eastAsia="Arial" w:hAnsi="Arial" w:cs="Arial"/>
          <w:sz w:val="24"/>
          <w:szCs w:val="24"/>
        </w:rPr>
        <w:lastRenderedPageBreak/>
        <w:t>887.7 km² of land remained suspected of mine contamination (Bajić 2011, cited in Baselt et al. 2023).</w:t>
      </w:r>
    </w:p>
    <w:p w:rsidR="00753C1A" w:rsidRDefault="00753C1A" w:rsidP="00753C1A">
      <w:pPr>
        <w:spacing w:line="360" w:lineRule="auto"/>
        <w:jc w:val="both"/>
        <w:rPr>
          <w:rFonts w:ascii="Arial" w:eastAsia="Arial" w:hAnsi="Arial" w:cs="Arial"/>
          <w:sz w:val="24"/>
          <w:szCs w:val="24"/>
        </w:rPr>
      </w:pPr>
    </w:p>
    <w:p w:rsidR="00753C1A" w:rsidRDefault="00753C1A" w:rsidP="00753C1A">
      <w:pPr>
        <w:spacing w:line="360" w:lineRule="auto"/>
        <w:jc w:val="both"/>
        <w:rPr>
          <w:rFonts w:ascii="Arial" w:eastAsia="Arial" w:hAnsi="Arial" w:cs="Arial"/>
          <w:sz w:val="24"/>
          <w:szCs w:val="24"/>
        </w:rPr>
      </w:pPr>
      <w:r>
        <w:rPr>
          <w:rFonts w:ascii="Arial" w:eastAsia="Arial" w:hAnsi="Arial" w:cs="Arial"/>
          <w:sz w:val="24"/>
          <w:szCs w:val="24"/>
        </w:rPr>
        <w:t>At the end of 2021, Croatia reported a total of 204 km² of mined area remaining, excluding military areas. Of this, 136.79 km² was classified as confirmed hazardous area (CHA), while 67.6 km² was suspected hazardous area (SHA). This represented an 18% decrease in estimated contamination compared to 249 km² in 2020. Additionally, 29.5 km² of mined area remains under military control, contaminated with both anti-personnel mines and unexploded ordnance (UXO) (Mine Action Review 2022).</w:t>
      </w:r>
    </w:p>
    <w:p w:rsidR="00753C1A" w:rsidRDefault="00753C1A" w:rsidP="00753C1A">
      <w:pPr>
        <w:spacing w:line="360" w:lineRule="auto"/>
        <w:jc w:val="both"/>
        <w:rPr>
          <w:rFonts w:ascii="Arial" w:eastAsia="Arial" w:hAnsi="Arial" w:cs="Arial"/>
          <w:sz w:val="24"/>
          <w:szCs w:val="24"/>
        </w:rPr>
      </w:pPr>
    </w:p>
    <w:p w:rsidR="00753C1A" w:rsidRDefault="00753C1A" w:rsidP="00753C1A">
      <w:pPr>
        <w:spacing w:line="360" w:lineRule="auto"/>
        <w:jc w:val="both"/>
        <w:rPr>
          <w:rFonts w:ascii="Arial" w:eastAsia="Arial" w:hAnsi="Arial" w:cs="Arial"/>
          <w:sz w:val="24"/>
          <w:szCs w:val="24"/>
        </w:rPr>
      </w:pPr>
      <w:r>
        <w:rPr>
          <w:rFonts w:ascii="Arial" w:eastAsia="Arial" w:hAnsi="Arial" w:cs="Arial"/>
          <w:sz w:val="24"/>
          <w:szCs w:val="24"/>
        </w:rPr>
        <w:t>Croatia has committed to clearing all remaining civilian minefields by March 2026, under its second extended deadline for compliance with the Anti-Personnel Mine Ban Convention (APMBC). However, achieving this goal remains uncertain, as the clearance rate fell significantly short of targets in both 2020 and 2021 due to adverse weather and capacity limitations. Notably, 98.7% of remaining mine contamination is in forested or mountainous terrain, which complicates demining efforts and reduces the effectiveness of mechanical clearance. Clearance is further restricted in "Natura 2000" protected areas, where strict environmental regulations limit certain mechanical demining operations (Mine Action Review 2022).</w:t>
      </w:r>
    </w:p>
    <w:p w:rsidR="00753C1A" w:rsidRDefault="00753C1A" w:rsidP="00753C1A">
      <w:pPr>
        <w:spacing w:line="360" w:lineRule="auto"/>
        <w:jc w:val="both"/>
        <w:rPr>
          <w:rFonts w:ascii="Arial" w:eastAsia="Arial" w:hAnsi="Arial" w:cs="Arial"/>
          <w:sz w:val="24"/>
          <w:szCs w:val="24"/>
        </w:rPr>
      </w:pPr>
    </w:p>
    <w:p w:rsidR="00753C1A" w:rsidRDefault="00753C1A" w:rsidP="00753C1A">
      <w:pPr>
        <w:spacing w:line="360" w:lineRule="auto"/>
        <w:jc w:val="both"/>
        <w:rPr>
          <w:rFonts w:ascii="Arial" w:eastAsia="Arial" w:hAnsi="Arial" w:cs="Arial"/>
          <w:sz w:val="24"/>
          <w:szCs w:val="24"/>
        </w:rPr>
      </w:pPr>
      <w:r>
        <w:rPr>
          <w:rFonts w:ascii="Arial" w:eastAsia="Arial" w:hAnsi="Arial" w:cs="Arial"/>
          <w:sz w:val="24"/>
          <w:szCs w:val="24"/>
        </w:rPr>
        <w:t>Over the last five years, Croatia has cleared more than 200 km² of mined area, yet significant challenges remain in meeting its demining targets by 2026. In 2021, the country cleared 34.48 km², which was a 30% decrease compared to 2020, largely due to delays in land release certification and limited capacity within the Ministry of Defence (MoD) for clearing military sites. CROMAC (Croatia Mine Action Centre) is under pressure to scale up clearance efforts, particularly in remote forested areas where manual demining remains the primary option (Mine Action Review 2022).</w:t>
      </w:r>
    </w:p>
    <w:p w:rsidR="00753C1A" w:rsidRDefault="00753C1A" w:rsidP="00753C1A">
      <w:pPr>
        <w:spacing w:line="360" w:lineRule="auto"/>
        <w:jc w:val="both"/>
        <w:rPr>
          <w:rFonts w:ascii="Arial" w:eastAsia="Arial" w:hAnsi="Arial" w:cs="Arial"/>
          <w:sz w:val="24"/>
          <w:szCs w:val="24"/>
        </w:rPr>
      </w:pPr>
    </w:p>
    <w:p w:rsidR="00753C1A" w:rsidRDefault="00753C1A" w:rsidP="00753C1A">
      <w:pPr>
        <w:spacing w:line="360" w:lineRule="auto"/>
        <w:jc w:val="both"/>
        <w:rPr>
          <w:rFonts w:ascii="Arial" w:eastAsia="Arial" w:hAnsi="Arial" w:cs="Arial"/>
          <w:sz w:val="24"/>
          <w:szCs w:val="24"/>
        </w:rPr>
      </w:pPr>
    </w:p>
    <w:p w:rsidR="00753C1A" w:rsidRDefault="00753C1A" w:rsidP="00753C1A">
      <w:pPr>
        <w:pStyle w:val="Heading3"/>
        <w:pBdr>
          <w:top w:val="nil"/>
          <w:left w:val="nil"/>
          <w:bottom w:val="nil"/>
          <w:right w:val="nil"/>
          <w:between w:val="nil"/>
        </w:pBdr>
        <w:rPr>
          <w:rFonts w:ascii="Arial" w:eastAsia="Arial" w:hAnsi="Arial" w:cs="Arial"/>
          <w:color w:val="3C78D8"/>
          <w:sz w:val="24"/>
          <w:szCs w:val="24"/>
        </w:rPr>
      </w:pPr>
      <w:r>
        <w:rPr>
          <w:rFonts w:ascii="Arial" w:eastAsia="Arial" w:hAnsi="Arial" w:cs="Arial"/>
          <w:color w:val="3C78D8"/>
          <w:sz w:val="24"/>
          <w:szCs w:val="24"/>
        </w:rPr>
        <w:lastRenderedPageBreak/>
        <w:t>S2.2. Defining strategies in the context of demining</w:t>
      </w:r>
    </w:p>
    <w:p w:rsidR="00753C1A" w:rsidRDefault="00753C1A" w:rsidP="00753C1A">
      <w:pPr>
        <w:spacing w:before="240" w:line="360" w:lineRule="auto"/>
        <w:ind w:firstLine="23"/>
        <w:jc w:val="both"/>
        <w:rPr>
          <w:rFonts w:ascii="Arial" w:eastAsia="Arial" w:hAnsi="Arial" w:cs="Arial"/>
          <w:sz w:val="24"/>
          <w:szCs w:val="24"/>
        </w:rPr>
      </w:pPr>
      <w:r>
        <w:rPr>
          <w:rFonts w:ascii="Arial" w:eastAsia="Arial" w:hAnsi="Arial" w:cs="Arial"/>
          <w:sz w:val="24"/>
          <w:szCs w:val="24"/>
        </w:rPr>
        <w:t>In this paper, we define a strategy as a coordinated, goal-oriented set of actions aimed at mitigating or eliminating the risks and impacts of landmines and explosive remnants of war (ERW), while enabling the safe, productive, and ecologically responsible use of land. This definition builds on existing frameworks in humanitarian mine action and post-conflict recovery (Mine Action Review 2022, UNDP 2024), where strategies are increasingly conceived as multi-sectoral and cross-scalar efforts embedded in broader governance, development, and security agendas.</w:t>
      </w:r>
    </w:p>
    <w:p w:rsidR="00753C1A" w:rsidRDefault="00753C1A" w:rsidP="00753C1A">
      <w:pPr>
        <w:spacing w:before="240" w:line="360" w:lineRule="auto"/>
        <w:ind w:firstLine="20"/>
        <w:jc w:val="both"/>
        <w:rPr>
          <w:rFonts w:ascii="Arial" w:eastAsia="Arial" w:hAnsi="Arial" w:cs="Arial"/>
          <w:sz w:val="24"/>
          <w:szCs w:val="24"/>
        </w:rPr>
      </w:pPr>
      <w:r>
        <w:rPr>
          <w:rFonts w:ascii="Arial" w:eastAsia="Arial" w:hAnsi="Arial" w:cs="Arial"/>
          <w:sz w:val="24"/>
          <w:szCs w:val="24"/>
        </w:rPr>
        <w:t>Strategies differ from operational tactics or tools in that they reflect overarching frameworks or pathways, often combining technical interventions with institutional reforms, public awareness, livelihood recovery, and environmental restoration. In the Ukrainian context, for example, strategies encompass remote sensing technologies, legal frameworks, soil assessment protocols, community engagement, and capacity-building efforts targeting veterans and women in demining roles (World Bank 2023, UNDP 2024).</w:t>
      </w:r>
    </w:p>
    <w:p w:rsidR="00753C1A" w:rsidRDefault="00753C1A" w:rsidP="00753C1A">
      <w:pPr>
        <w:spacing w:line="360" w:lineRule="auto"/>
        <w:ind w:firstLine="20"/>
        <w:jc w:val="both"/>
        <w:rPr>
          <w:rFonts w:ascii="Arial" w:eastAsia="Arial" w:hAnsi="Arial" w:cs="Arial"/>
          <w:sz w:val="24"/>
          <w:szCs w:val="24"/>
        </w:rPr>
      </w:pPr>
      <w:r>
        <w:rPr>
          <w:rFonts w:ascii="Arial" w:eastAsia="Arial" w:hAnsi="Arial" w:cs="Arial"/>
          <w:sz w:val="24"/>
          <w:szCs w:val="24"/>
        </w:rPr>
        <w:t>Throughout this paper, we use the term “strategy” to refer not only to formalized plans or national action frameworks, but also to recurring types of integrated interventions observed globally, in particular those that link mine clearance to the longer-term restoration of land health, agricultural productivity, and social resilience.</w:t>
      </w:r>
    </w:p>
    <w:p w:rsidR="00753C1A" w:rsidRDefault="00753C1A" w:rsidP="00753C1A">
      <w:pPr>
        <w:spacing w:line="360" w:lineRule="auto"/>
        <w:ind w:firstLine="20"/>
        <w:jc w:val="both"/>
        <w:rPr>
          <w:rFonts w:ascii="Arial" w:eastAsia="Arial" w:hAnsi="Arial" w:cs="Arial"/>
          <w:sz w:val="24"/>
          <w:szCs w:val="24"/>
        </w:rPr>
      </w:pPr>
    </w:p>
    <w:p w:rsidR="00753C1A" w:rsidRDefault="00753C1A" w:rsidP="00753C1A">
      <w:pPr>
        <w:pStyle w:val="Heading3"/>
        <w:pBdr>
          <w:top w:val="nil"/>
          <w:left w:val="nil"/>
          <w:bottom w:val="nil"/>
          <w:right w:val="nil"/>
          <w:between w:val="nil"/>
        </w:pBdr>
        <w:rPr>
          <w:rFonts w:ascii="Arial" w:eastAsia="Arial" w:hAnsi="Arial" w:cs="Arial"/>
          <w:color w:val="3C78D8"/>
          <w:sz w:val="24"/>
          <w:szCs w:val="24"/>
        </w:rPr>
      </w:pPr>
      <w:r>
        <w:rPr>
          <w:rFonts w:ascii="Arial" w:eastAsia="Arial" w:hAnsi="Arial" w:cs="Arial"/>
          <w:color w:val="3C78D8"/>
          <w:sz w:val="24"/>
          <w:szCs w:val="24"/>
        </w:rPr>
        <w:t>S2.3. Developing a typology of strategies</w:t>
      </w:r>
    </w:p>
    <w:p w:rsidR="00753C1A" w:rsidRDefault="00753C1A" w:rsidP="00753C1A">
      <w:pPr>
        <w:spacing w:before="240" w:after="240" w:line="360" w:lineRule="auto"/>
        <w:ind w:right="60"/>
        <w:jc w:val="both"/>
        <w:rPr>
          <w:rFonts w:ascii="Arial" w:eastAsia="Arial" w:hAnsi="Arial" w:cs="Arial"/>
          <w:sz w:val="24"/>
          <w:szCs w:val="24"/>
        </w:rPr>
      </w:pPr>
      <w:r>
        <w:rPr>
          <w:rFonts w:ascii="Arial" w:eastAsia="Arial" w:hAnsi="Arial" w:cs="Arial"/>
          <w:sz w:val="24"/>
          <w:szCs w:val="24"/>
        </w:rPr>
        <w:t>For clarity and readability, the main manuscript refers only to “strategies”. In this Supplement, however, we retain the full analytical distinction between individual strategies and the broader strategy types into which they cluste</w:t>
      </w:r>
      <w:r>
        <w:rPr>
          <w:rFonts w:ascii="Arial" w:eastAsia="Arial" w:hAnsi="Arial" w:cs="Arial"/>
          <w:i/>
          <w:iCs/>
          <w:sz w:val="24"/>
          <w:szCs w:val="24"/>
        </w:rPr>
        <w:t>r.</w:t>
      </w:r>
    </w:p>
    <w:p w:rsidR="00753C1A" w:rsidRDefault="00753C1A" w:rsidP="00753C1A">
      <w:pPr>
        <w:spacing w:before="240" w:after="240" w:line="360" w:lineRule="auto"/>
        <w:ind w:right="60"/>
        <w:jc w:val="both"/>
        <w:rPr>
          <w:rFonts w:ascii="Arial" w:eastAsia="Arial" w:hAnsi="Arial" w:cs="Arial"/>
          <w:sz w:val="24"/>
          <w:szCs w:val="24"/>
        </w:rPr>
      </w:pPr>
      <w:r>
        <w:rPr>
          <w:rFonts w:ascii="Arial" w:eastAsia="Arial" w:hAnsi="Arial" w:cs="Arial"/>
          <w:sz w:val="24"/>
          <w:szCs w:val="24"/>
        </w:rPr>
        <w:t>To develop the typology introduced in the main text, we focused on the landscape scale, encompassing both agricultural and forested systems. Although particular attention was given to soil as a key element of agricultural recovery, our analytical lens covered the broader socio-ecological functions of war-affected landscapes and the full range of interventions aimed at restoring their safety, productivity, and ecological integrity.</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lastRenderedPageBreak/>
        <w:t>We carried out a structured narrative synthesis of peer-reviewed literature, grey reports, and field data drawn from conflict-affected regions including Cambodia, Colombia, Angola, Bosnia and Herzegovina, France, and Ukraine. The synthesis followed best-practice guidance for integrating qualitative evidence across heterogeneous sources (Popay et al. 2006).</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All sources were coded and organized in Taguette, an open-source qualitative analysis platform that allows transparent and reproducible coding (Rampin and Rampin 2021). From these materials, we extracted strategic elements (e.g., objectives, mechanisms, and actor configurations) and grouped them inductively according to their dominant logic of intervention, understood as the primary functional mechanism through which a strategy achieves its intended outcome (Prahalad and Bettis 1986). This logic-of-intervention approach provided the basis for classifying cases into analytically coherent categories rather than by geography, institution, or sector.</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Within this framework, we define a strategy as a concrete, context-specific intervention or plan designed to reduce the risks posed by landmines and explosive remnants of war (ERW), to restore land productivity, or to support post-conflict recovery. A strategy type, by contrast, is a higher-order analytical construct that aggregates multiple strategies sharing similar objectives, mechanisms, or actor constellations. For example, a HALO Trust clearance operation in Kharkiv using manual teams and metal detectors constitutes a strategy, whereas Manual Demining represents the broader strategy type into which such cases are classified.</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Seven strategy types emerged from this process. They are presented and discussed in the main manuscript (Section 2.3 and Table 1). The typology distinguishes between operational strategies that perform physical clearance and those that support or govern clearance through data, participation, institutional frameworks, or land-use planning. This two-tiered structure ensures that both direct and enabling approaches are captured within a single analytical frame.</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 xml:space="preserve">The typology builds on work in post-conflict environmental governance, which recognizes that war reshapes land use, institutional authority, and ecological outcomes (Le Billon 2000, Álvarez 2003), and aligns with applied landscape-restoration typologies that classify interventions inductively by their functional logic and actor roles (Hoffmann et al. 2018). Together, these foundations guided the systematic </w:t>
      </w:r>
      <w:r>
        <w:rPr>
          <w:rFonts w:ascii="Arial" w:eastAsia="Arial" w:hAnsi="Arial" w:cs="Arial"/>
          <w:sz w:val="24"/>
          <w:szCs w:val="24"/>
        </w:rPr>
        <w:lastRenderedPageBreak/>
        <w:t>identification and clustering of strategies used in the comparative analysis of Ukraine’s evolving mine-action system.</w:t>
      </w:r>
    </w:p>
    <w:p w:rsidR="00753C1A" w:rsidRDefault="00753C1A" w:rsidP="00753C1A">
      <w:pPr>
        <w:spacing w:before="240" w:after="240" w:line="360" w:lineRule="auto"/>
        <w:jc w:val="both"/>
        <w:rPr>
          <w:rFonts w:ascii="Arial" w:eastAsia="Arial" w:hAnsi="Arial" w:cs="Arial"/>
          <w:sz w:val="24"/>
          <w:szCs w:val="24"/>
        </w:rPr>
      </w:pPr>
    </w:p>
    <w:p w:rsidR="00753C1A" w:rsidRDefault="00753C1A" w:rsidP="00753C1A">
      <w:pPr>
        <w:pStyle w:val="Heading4"/>
        <w:rPr>
          <w:rFonts w:ascii="Arial" w:eastAsia="Arial" w:hAnsi="Arial" w:cs="Arial"/>
          <w:color w:val="506E96"/>
          <w:sz w:val="24"/>
          <w:szCs w:val="24"/>
        </w:rPr>
      </w:pPr>
      <w:r>
        <w:rPr>
          <w:rFonts w:ascii="Arial" w:eastAsia="Arial" w:hAnsi="Arial" w:cs="Arial"/>
          <w:color w:val="506E96"/>
          <w:sz w:val="24"/>
          <w:szCs w:val="24"/>
        </w:rPr>
        <w:t>S2.3.1. Data sources and selection</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The typology of strategies was developed based on a structured review of 18 key documents, including peer-reviewed academic literature, grey reports from international organizations, and case study materials from operational demining efforts. Sources were selected to ensure diversity in geographic scope, landscape focus (agricultural, forested, and mixed-use systems), and post-conflict recovery contexts.</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The reviewed material included:</w:t>
      </w:r>
    </w:p>
    <w:p w:rsidR="00753C1A" w:rsidRDefault="00753C1A" w:rsidP="00753C1A">
      <w:pPr>
        <w:numPr>
          <w:ilvl w:val="0"/>
          <w:numId w:val="10"/>
        </w:numPr>
        <w:spacing w:after="0" w:line="360" w:lineRule="auto"/>
        <w:rPr>
          <w:rFonts w:ascii="Arial" w:eastAsia="Arial" w:hAnsi="Arial" w:cs="Arial"/>
          <w:sz w:val="24"/>
          <w:szCs w:val="24"/>
        </w:rPr>
      </w:pPr>
      <w:r>
        <w:rPr>
          <w:rFonts w:ascii="Arial" w:eastAsia="Arial" w:hAnsi="Arial" w:cs="Arial"/>
          <w:sz w:val="24"/>
          <w:szCs w:val="24"/>
        </w:rPr>
        <w:t>Peer-reviewed conceptual studies (e.g., Le Billon 2000, Álvarez 2003) providing theoretical insights into post-conflict landscape governance and environmental outcomes.</w:t>
      </w:r>
    </w:p>
    <w:p w:rsidR="00753C1A" w:rsidRDefault="00753C1A" w:rsidP="00753C1A">
      <w:pPr>
        <w:numPr>
          <w:ilvl w:val="0"/>
          <w:numId w:val="10"/>
        </w:numPr>
        <w:spacing w:after="0" w:line="360" w:lineRule="auto"/>
        <w:rPr>
          <w:rFonts w:ascii="Arial" w:eastAsia="Arial" w:hAnsi="Arial" w:cs="Arial"/>
          <w:sz w:val="24"/>
          <w:szCs w:val="24"/>
        </w:rPr>
      </w:pPr>
      <w:r>
        <w:rPr>
          <w:rFonts w:ascii="Arial" w:eastAsia="Arial" w:hAnsi="Arial" w:cs="Arial"/>
          <w:sz w:val="24"/>
          <w:szCs w:val="24"/>
        </w:rPr>
        <w:t>Peer-reviewed applied studies (e.g., Hoffmann et al. 2018) detailing real-world landscape recovery strategies in conflict-affected settings.</w:t>
      </w:r>
    </w:p>
    <w:p w:rsidR="00753C1A" w:rsidRDefault="00753C1A" w:rsidP="00753C1A">
      <w:pPr>
        <w:numPr>
          <w:ilvl w:val="0"/>
          <w:numId w:val="10"/>
        </w:numPr>
        <w:spacing w:after="0" w:line="360" w:lineRule="auto"/>
        <w:rPr>
          <w:rFonts w:ascii="Arial" w:eastAsia="Arial" w:hAnsi="Arial" w:cs="Arial"/>
          <w:sz w:val="24"/>
          <w:szCs w:val="24"/>
        </w:rPr>
      </w:pPr>
      <w:r>
        <w:rPr>
          <w:rFonts w:ascii="Arial" w:eastAsia="Arial" w:hAnsi="Arial" w:cs="Arial"/>
          <w:sz w:val="24"/>
          <w:szCs w:val="24"/>
        </w:rPr>
        <w:t>International operational reports (e.g., UNDP 2024, Mine Action Review 2022, GICHD frameworks) outlining current practices and challenges in humanitarian demining and land rehabilitation.</w:t>
      </w:r>
    </w:p>
    <w:p w:rsidR="00753C1A" w:rsidRDefault="00753C1A" w:rsidP="00753C1A">
      <w:pPr>
        <w:numPr>
          <w:ilvl w:val="0"/>
          <w:numId w:val="10"/>
        </w:numPr>
        <w:spacing w:after="0" w:line="360" w:lineRule="auto"/>
        <w:rPr>
          <w:rFonts w:ascii="Arial" w:eastAsia="Arial" w:hAnsi="Arial" w:cs="Arial"/>
          <w:sz w:val="24"/>
          <w:szCs w:val="24"/>
        </w:rPr>
      </w:pPr>
      <w:r>
        <w:rPr>
          <w:rFonts w:ascii="Arial" w:eastAsia="Arial" w:hAnsi="Arial" w:cs="Arial"/>
          <w:sz w:val="24"/>
          <w:szCs w:val="24"/>
        </w:rPr>
        <w:t>Grey literature from humanitarian demining organizations (e.g., HALO Trust, MAG case examples) offering documented interventions and operational experiences.</w:t>
      </w:r>
    </w:p>
    <w:p w:rsidR="00753C1A" w:rsidRDefault="00753C1A" w:rsidP="00753C1A">
      <w:pPr>
        <w:numPr>
          <w:ilvl w:val="0"/>
          <w:numId w:val="10"/>
        </w:numPr>
        <w:spacing w:after="240" w:line="360" w:lineRule="auto"/>
        <w:rPr>
          <w:rFonts w:ascii="Arial" w:eastAsia="Arial" w:hAnsi="Arial" w:cs="Arial"/>
          <w:sz w:val="24"/>
          <w:szCs w:val="24"/>
        </w:rPr>
      </w:pPr>
      <w:r>
        <w:rPr>
          <w:rFonts w:ascii="Arial" w:eastAsia="Arial" w:hAnsi="Arial" w:cs="Arial"/>
          <w:sz w:val="24"/>
          <w:szCs w:val="24"/>
        </w:rPr>
        <w:t>Contextual recovery reports (e.g., World Bank 2023) framing broader landscape restoration and agricultural recovery challenges in Ukraine.</w:t>
      </w:r>
    </w:p>
    <w:p w:rsidR="00753C1A" w:rsidRDefault="00753C1A" w:rsidP="00753C1A">
      <w:pPr>
        <w:spacing w:before="240" w:after="240" w:line="360" w:lineRule="auto"/>
        <w:jc w:val="both"/>
        <w:rPr>
          <w:rFonts w:ascii="Arial" w:eastAsia="Arial" w:hAnsi="Arial" w:cs="Arial"/>
          <w:sz w:val="24"/>
          <w:szCs w:val="24"/>
        </w:rPr>
      </w:pP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Selection criteria included:</w:t>
      </w:r>
    </w:p>
    <w:p w:rsidR="00753C1A" w:rsidRDefault="00753C1A" w:rsidP="00753C1A">
      <w:pPr>
        <w:numPr>
          <w:ilvl w:val="0"/>
          <w:numId w:val="11"/>
        </w:numPr>
        <w:spacing w:after="0" w:line="360" w:lineRule="auto"/>
        <w:rPr>
          <w:rFonts w:ascii="Arial" w:eastAsia="Arial" w:hAnsi="Arial" w:cs="Arial"/>
          <w:sz w:val="24"/>
          <w:szCs w:val="24"/>
        </w:rPr>
      </w:pPr>
      <w:r>
        <w:rPr>
          <w:rFonts w:ascii="Arial" w:eastAsia="Arial" w:hAnsi="Arial" w:cs="Arial"/>
          <w:sz w:val="24"/>
          <w:szCs w:val="24"/>
        </w:rPr>
        <w:t>relevance to landmine/ ERW clearance, post-conflict land recovery, or landscape governance</w:t>
      </w:r>
    </w:p>
    <w:p w:rsidR="00753C1A" w:rsidRDefault="00753C1A" w:rsidP="00753C1A">
      <w:pPr>
        <w:numPr>
          <w:ilvl w:val="0"/>
          <w:numId w:val="11"/>
        </w:numPr>
        <w:spacing w:after="0" w:line="360" w:lineRule="auto"/>
        <w:rPr>
          <w:rFonts w:ascii="Arial" w:eastAsia="Arial" w:hAnsi="Arial" w:cs="Arial"/>
          <w:sz w:val="24"/>
          <w:szCs w:val="24"/>
        </w:rPr>
      </w:pPr>
      <w:r>
        <w:rPr>
          <w:rFonts w:ascii="Arial" w:eastAsia="Arial" w:hAnsi="Arial" w:cs="Arial"/>
          <w:sz w:val="24"/>
          <w:szCs w:val="24"/>
        </w:rPr>
        <w:t>clear focus on real-world interventions (excluding purely theoretical models)</w:t>
      </w:r>
    </w:p>
    <w:p w:rsidR="00753C1A" w:rsidRDefault="00753C1A" w:rsidP="00753C1A">
      <w:pPr>
        <w:numPr>
          <w:ilvl w:val="0"/>
          <w:numId w:val="11"/>
        </w:numPr>
        <w:spacing w:after="0" w:line="360" w:lineRule="auto"/>
        <w:rPr>
          <w:rFonts w:ascii="Arial" w:eastAsia="Arial" w:hAnsi="Arial" w:cs="Arial"/>
          <w:sz w:val="24"/>
          <w:szCs w:val="24"/>
        </w:rPr>
      </w:pPr>
      <w:r>
        <w:rPr>
          <w:rFonts w:ascii="Arial" w:eastAsia="Arial" w:hAnsi="Arial" w:cs="Arial"/>
          <w:sz w:val="24"/>
          <w:szCs w:val="24"/>
        </w:rPr>
        <w:t>applicability to agricultural, forested, or mixed-use landscapes</w:t>
      </w:r>
    </w:p>
    <w:p w:rsidR="00753C1A" w:rsidRDefault="00753C1A" w:rsidP="00753C1A">
      <w:pPr>
        <w:numPr>
          <w:ilvl w:val="0"/>
          <w:numId w:val="11"/>
        </w:numPr>
        <w:spacing w:after="240" w:line="360" w:lineRule="auto"/>
        <w:rPr>
          <w:rFonts w:ascii="Arial" w:eastAsia="Arial" w:hAnsi="Arial" w:cs="Arial"/>
          <w:sz w:val="24"/>
          <w:szCs w:val="24"/>
        </w:rPr>
      </w:pPr>
      <w:r>
        <w:rPr>
          <w:rFonts w:ascii="Arial" w:eastAsia="Arial" w:hAnsi="Arial" w:cs="Arial"/>
          <w:sz w:val="24"/>
          <w:szCs w:val="24"/>
        </w:rPr>
        <w:lastRenderedPageBreak/>
        <w:t>availability of detailed descriptions regarding actors, technologies, operational mechanisms, and governance structures</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Sources were identified through targeted searches in academic databases (e.g., Web of Science, Scopus) and through grey literature repositories of UN agencies, humanitarian demining organizations, and relevant NGOs. Additional documents were selected based on expert recommendations and citation tracking from foundational works.</w:t>
      </w:r>
    </w:p>
    <w:p w:rsidR="00753C1A" w:rsidRDefault="00753C1A" w:rsidP="00753C1A">
      <w:pPr>
        <w:pStyle w:val="Heading4"/>
        <w:pBdr>
          <w:top w:val="nil"/>
          <w:left w:val="nil"/>
          <w:bottom w:val="nil"/>
          <w:right w:val="nil"/>
          <w:between w:val="nil"/>
        </w:pBdr>
        <w:rPr>
          <w:rFonts w:ascii="Arial" w:eastAsia="Arial" w:hAnsi="Arial" w:cs="Arial"/>
          <w:color w:val="506E96"/>
          <w:sz w:val="24"/>
          <w:szCs w:val="24"/>
        </w:rPr>
      </w:pPr>
      <w:r>
        <w:rPr>
          <w:rFonts w:ascii="Arial" w:eastAsia="Arial" w:hAnsi="Arial" w:cs="Arial"/>
          <w:color w:val="506E96"/>
          <w:sz w:val="24"/>
          <w:szCs w:val="24"/>
        </w:rPr>
        <w:t>S2.3.2. Coding process and thematic extraction</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The selected documents were analyzed using Taguette, an open-source qualitative data analysis software designed to facilitate transparent and reproducible thematic coding (Rampin and Rampin 2021). The analysis followed an inductive coding approach (Thomas 2006), in which codes and categories were derived directly from the material rather than based on pre-existing theoretical frameworks.</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We initially conducted open coding by reading each document and highlighting excerpts that described strategic interventions, mechanisms of action, actor constellations, technological applications, or governance structures related to mine action and landscape recovery. Each excerpt was assigned one or more free-text codes representing its core function or characteristic.</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Following the open coding phase, codes were iteratively reviewed and grouped into thematic clusters based on shared operational logics. During this phase, emphasis was placed on identifying the dominant logic of intervention for each strategy, defined as the primary functional mechanism through which the intervention sought to achieve demining and land recovery goals.</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During the initial clustering phase, 12 thematic mini-clusters were identified. These included, among others, manual clearance, mechanical clearance, drone-based surveying, AI-assisted risk mapping, community risk education, victim assistance, soil remediation, forest rehabilitation, governance reforms, and post-clearance land zoning. Through iterative synthesis, clusters sharing similar dominant intervention logics were merged to ensure mutual exclusivity and functional coherence. For example, risk education and victim assistance initiatives were merged into a broader category of community-based approaches, while drone-based surveying and AI-</w:t>
      </w:r>
      <w:r>
        <w:rPr>
          <w:rFonts w:ascii="Arial" w:eastAsia="Arial" w:hAnsi="Arial" w:cs="Arial"/>
          <w:sz w:val="24"/>
          <w:szCs w:val="24"/>
        </w:rPr>
        <w:lastRenderedPageBreak/>
        <w:t>assisted mapping were merged under remote sensing and mapping. This consolidation process ultimately resulted in the seven strategy types presented in the main article (Table 1).</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Thematic clusters emerging from the data were organized according to their dominant intervention focus. Table Strategies 1 lists the major thematic clusters identified and summarizes their typical characteristics.</w:t>
      </w:r>
    </w:p>
    <w:p w:rsidR="00753C1A" w:rsidRDefault="00753C1A" w:rsidP="00753C1A">
      <w:pPr>
        <w:spacing w:before="240" w:after="240" w:line="360" w:lineRule="auto"/>
        <w:jc w:val="both"/>
        <w:rPr>
          <w:rFonts w:ascii="Arial" w:eastAsia="Arial" w:hAnsi="Arial" w:cs="Arial"/>
          <w:sz w:val="24"/>
          <w:szCs w:val="24"/>
        </w:rPr>
      </w:pPr>
    </w:p>
    <w:p w:rsidR="00753C1A" w:rsidRDefault="00753C1A" w:rsidP="00753C1A">
      <w:pPr>
        <w:spacing w:before="240" w:after="240" w:line="360" w:lineRule="auto"/>
        <w:jc w:val="both"/>
        <w:rPr>
          <w:rFonts w:ascii="Arial" w:eastAsia="Arial" w:hAnsi="Arial" w:cs="Arial"/>
          <w:sz w:val="16"/>
          <w:szCs w:val="16"/>
        </w:rPr>
      </w:pPr>
      <w:r>
        <w:rPr>
          <w:rFonts w:ascii="Arial" w:eastAsia="Arial" w:hAnsi="Arial" w:cs="Arial"/>
          <w:sz w:val="16"/>
          <w:szCs w:val="16"/>
        </w:rPr>
        <w:t>Table Strategies 1. I</w:t>
      </w:r>
      <w:r>
        <w:rPr>
          <w:rFonts w:ascii="Arial" w:eastAsia="Arial" w:hAnsi="Arial" w:cs="Arial"/>
          <w:b/>
          <w:bCs/>
          <w:sz w:val="16"/>
          <w:szCs w:val="16"/>
        </w:rPr>
        <w:t>nitial thematic clusters and merged categories.</w:t>
      </w:r>
      <w:r>
        <w:rPr>
          <w:rFonts w:ascii="Arial" w:eastAsia="Arial" w:hAnsi="Arial" w:cs="Arial"/>
          <w:sz w:val="16"/>
          <w:szCs w:val="16"/>
        </w:rPr>
        <w:t xml:space="preserve"> </w:t>
      </w:r>
    </w:p>
    <w:tbl>
      <w:tblPr>
        <w:tblW w:w="8835" w:type="dxa"/>
        <w:tblBorders>
          <w:top w:val="nil"/>
          <w:left w:val="nil"/>
          <w:bottom w:val="nil"/>
          <w:right w:val="nil"/>
          <w:insideH w:val="nil"/>
          <w:insideV w:val="nil"/>
        </w:tblBorders>
        <w:tblLayout w:type="fixed"/>
        <w:tblLook w:val="0600" w:firstRow="0" w:lastRow="0" w:firstColumn="0" w:lastColumn="0" w:noHBand="1" w:noVBand="1"/>
      </w:tblPr>
      <w:tblGrid>
        <w:gridCol w:w="2985"/>
        <w:gridCol w:w="2370"/>
        <w:gridCol w:w="3480"/>
      </w:tblGrid>
      <w:tr w:rsidR="00753C1A" w:rsidTr="003A5549">
        <w:trPr>
          <w:trHeight w:val="660"/>
        </w:trPr>
        <w:tc>
          <w:tcPr>
            <w:tcW w:w="2985" w:type="dxa"/>
            <w:tcBorders>
              <w:top w:val="nil"/>
              <w:left w:val="nil"/>
              <w:bottom w:val="nil"/>
              <w:right w:val="nil"/>
            </w:tcBorders>
            <w:shd w:val="clear" w:color="auto" w:fill="A6A6A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t>Initial Cluster</w:t>
            </w:r>
          </w:p>
        </w:tc>
        <w:tc>
          <w:tcPr>
            <w:tcW w:w="2370" w:type="dxa"/>
            <w:tcBorders>
              <w:top w:val="nil"/>
              <w:left w:val="nil"/>
              <w:bottom w:val="nil"/>
              <w:right w:val="nil"/>
            </w:tcBorders>
            <w:shd w:val="clear" w:color="auto" w:fill="A6A6A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t>Merged Into Final Strategy Type</w:t>
            </w:r>
          </w:p>
        </w:tc>
        <w:tc>
          <w:tcPr>
            <w:tcW w:w="3480" w:type="dxa"/>
            <w:tcBorders>
              <w:top w:val="nil"/>
              <w:left w:val="nil"/>
              <w:bottom w:val="nil"/>
              <w:right w:val="nil"/>
            </w:tcBorders>
            <w:shd w:val="clear" w:color="auto" w:fill="A6A6A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t>Rationale for Merging</w:t>
            </w:r>
          </w:p>
        </w:tc>
      </w:tr>
      <w:tr w:rsidR="00753C1A" w:rsidTr="003A5549">
        <w:trPr>
          <w:trHeight w:val="660"/>
        </w:trPr>
        <w:tc>
          <w:tcPr>
            <w:tcW w:w="2985" w:type="dxa"/>
            <w:tcBorders>
              <w:top w:val="single" w:sz="5" w:space="0" w:color="FFFFFF"/>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Manual Clearance</w:t>
            </w:r>
          </w:p>
        </w:tc>
        <w:tc>
          <w:tcPr>
            <w:tcW w:w="2370" w:type="dxa"/>
            <w:tcBorders>
              <w:top w:val="single" w:sz="5" w:space="0" w:color="FFFFFF"/>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Manual Demining</w:t>
            </w:r>
          </w:p>
        </w:tc>
        <w:tc>
          <w:tcPr>
            <w:tcW w:w="3480" w:type="dxa"/>
            <w:tcBorders>
              <w:top w:val="single" w:sz="5" w:space="0" w:color="FFFFFF"/>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distinct operational logic: human-based demining</w:t>
            </w:r>
          </w:p>
        </w:tc>
      </w:tr>
      <w:tr w:rsidR="00753C1A" w:rsidTr="003A5549">
        <w:trPr>
          <w:trHeight w:val="660"/>
        </w:trPr>
        <w:tc>
          <w:tcPr>
            <w:tcW w:w="298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Mechanical Clearance</w:t>
            </w:r>
          </w:p>
        </w:tc>
        <w:tc>
          <w:tcPr>
            <w:tcW w:w="237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Mechanical Demining</w:t>
            </w:r>
          </w:p>
        </w:tc>
        <w:tc>
          <w:tcPr>
            <w:tcW w:w="348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machine-assisted demining requires different logistics, risks</w:t>
            </w:r>
          </w:p>
        </w:tc>
      </w:tr>
      <w:tr w:rsidR="00753C1A" w:rsidTr="003A5549">
        <w:trPr>
          <w:trHeight w:val="660"/>
        </w:trPr>
        <w:tc>
          <w:tcPr>
            <w:tcW w:w="298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Drone-Based Surveying</w:t>
            </w:r>
          </w:p>
        </w:tc>
        <w:tc>
          <w:tcPr>
            <w:tcW w:w="237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Remote Sensing &amp; Mapping</w:t>
            </w:r>
          </w:p>
        </w:tc>
        <w:tc>
          <w:tcPr>
            <w:tcW w:w="348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technology-assisted hazard detection</w:t>
            </w:r>
          </w:p>
        </w:tc>
      </w:tr>
      <w:tr w:rsidR="00753C1A" w:rsidTr="003A5549">
        <w:trPr>
          <w:trHeight w:val="660"/>
        </w:trPr>
        <w:tc>
          <w:tcPr>
            <w:tcW w:w="298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AI-Assisted Risk Mapping</w:t>
            </w:r>
          </w:p>
        </w:tc>
        <w:tc>
          <w:tcPr>
            <w:tcW w:w="237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Remote Sensing &amp; Mapping</w:t>
            </w:r>
          </w:p>
        </w:tc>
        <w:tc>
          <w:tcPr>
            <w:tcW w:w="348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same dominant logic: remote detection and mapping</w:t>
            </w:r>
          </w:p>
        </w:tc>
      </w:tr>
      <w:tr w:rsidR="00753C1A" w:rsidTr="003A5549">
        <w:trPr>
          <w:trHeight w:val="660"/>
        </w:trPr>
        <w:tc>
          <w:tcPr>
            <w:tcW w:w="298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Community Risk Education</w:t>
            </w:r>
          </w:p>
        </w:tc>
        <w:tc>
          <w:tcPr>
            <w:tcW w:w="237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Community-Based Approaches</w:t>
            </w:r>
          </w:p>
        </w:tc>
        <w:tc>
          <w:tcPr>
            <w:tcW w:w="348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community empowerment focus</w:t>
            </w:r>
          </w:p>
        </w:tc>
      </w:tr>
      <w:tr w:rsidR="00753C1A" w:rsidTr="003A5549">
        <w:trPr>
          <w:trHeight w:val="660"/>
        </w:trPr>
        <w:tc>
          <w:tcPr>
            <w:tcW w:w="298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Victim Assistance Programs</w:t>
            </w:r>
          </w:p>
        </w:tc>
        <w:tc>
          <w:tcPr>
            <w:tcW w:w="237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Community-Based Approaches</w:t>
            </w:r>
          </w:p>
        </w:tc>
        <w:tc>
          <w:tcPr>
            <w:tcW w:w="348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shared local engagement, resilience strengthening</w:t>
            </w:r>
          </w:p>
        </w:tc>
      </w:tr>
      <w:tr w:rsidR="00753C1A" w:rsidTr="003A5549">
        <w:trPr>
          <w:trHeight w:val="660"/>
        </w:trPr>
        <w:tc>
          <w:tcPr>
            <w:tcW w:w="298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Soil Remediation</w:t>
            </w:r>
          </w:p>
        </w:tc>
        <w:tc>
          <w:tcPr>
            <w:tcW w:w="237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Ecological Remediation</w:t>
            </w:r>
          </w:p>
        </w:tc>
        <w:tc>
          <w:tcPr>
            <w:tcW w:w="348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post-clearance landscape rehabilitation</w:t>
            </w:r>
          </w:p>
        </w:tc>
      </w:tr>
      <w:tr w:rsidR="00753C1A" w:rsidTr="003A5549">
        <w:trPr>
          <w:trHeight w:val="660"/>
        </w:trPr>
        <w:tc>
          <w:tcPr>
            <w:tcW w:w="298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Forest Rehabilitation</w:t>
            </w:r>
          </w:p>
        </w:tc>
        <w:tc>
          <w:tcPr>
            <w:tcW w:w="237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Ecological Remediation</w:t>
            </w:r>
          </w:p>
        </w:tc>
        <w:tc>
          <w:tcPr>
            <w:tcW w:w="348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broader ecological recovery grouped with soil remediation</w:t>
            </w:r>
          </w:p>
        </w:tc>
      </w:tr>
      <w:tr w:rsidR="00753C1A" w:rsidTr="003A5549">
        <w:trPr>
          <w:trHeight w:val="660"/>
        </w:trPr>
        <w:tc>
          <w:tcPr>
            <w:tcW w:w="298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lastRenderedPageBreak/>
              <w:t>Governance Reforms (National Policy)</w:t>
            </w:r>
          </w:p>
        </w:tc>
        <w:tc>
          <w:tcPr>
            <w:tcW w:w="237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Legal/Institutional Frameworks</w:t>
            </w:r>
          </w:p>
        </w:tc>
        <w:tc>
          <w:tcPr>
            <w:tcW w:w="348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regulatory coordination dominant</w:t>
            </w:r>
          </w:p>
        </w:tc>
      </w:tr>
      <w:tr w:rsidR="00753C1A" w:rsidTr="003A5549">
        <w:trPr>
          <w:trHeight w:val="945"/>
        </w:trPr>
        <w:tc>
          <w:tcPr>
            <w:tcW w:w="298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Funding Mechanisms</w:t>
            </w:r>
          </w:p>
        </w:tc>
        <w:tc>
          <w:tcPr>
            <w:tcW w:w="237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Legal/Institutional Frameworks</w:t>
            </w:r>
          </w:p>
        </w:tc>
        <w:tc>
          <w:tcPr>
            <w:tcW w:w="348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integrated governance/coordination perspective</w:t>
            </w:r>
          </w:p>
        </w:tc>
      </w:tr>
      <w:tr w:rsidR="00753C1A" w:rsidTr="003A5549">
        <w:trPr>
          <w:trHeight w:val="660"/>
        </w:trPr>
        <w:tc>
          <w:tcPr>
            <w:tcW w:w="298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Land Restitution Policies</w:t>
            </w:r>
          </w:p>
        </w:tc>
        <w:tc>
          <w:tcPr>
            <w:tcW w:w="237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Post-Conflict Land Zoning</w:t>
            </w:r>
          </w:p>
        </w:tc>
        <w:tc>
          <w:tcPr>
            <w:tcW w:w="348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strategic designation of land use post-clearance</w:t>
            </w:r>
          </w:p>
        </w:tc>
      </w:tr>
      <w:tr w:rsidR="00753C1A" w:rsidTr="003A5549">
        <w:trPr>
          <w:trHeight w:val="660"/>
        </w:trPr>
        <w:tc>
          <w:tcPr>
            <w:tcW w:w="298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Zoning for Agriculture/Conservation</w:t>
            </w:r>
          </w:p>
        </w:tc>
        <w:tc>
          <w:tcPr>
            <w:tcW w:w="237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Post-Conflict Land Zoning</w:t>
            </w:r>
          </w:p>
        </w:tc>
        <w:tc>
          <w:tcPr>
            <w:tcW w:w="348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Planning and management of cleared landscapes</w:t>
            </w:r>
          </w:p>
        </w:tc>
      </w:tr>
    </w:tbl>
    <w:p w:rsidR="00753C1A" w:rsidRDefault="00753C1A" w:rsidP="00753C1A">
      <w:pPr>
        <w:spacing w:before="240" w:after="240" w:line="360" w:lineRule="auto"/>
        <w:jc w:val="both"/>
        <w:rPr>
          <w:rFonts w:ascii="Arial" w:eastAsia="Arial" w:hAnsi="Arial" w:cs="Arial"/>
          <w:sz w:val="24"/>
          <w:szCs w:val="24"/>
        </w:rPr>
      </w:pPr>
    </w:p>
    <w:p w:rsidR="00753C1A" w:rsidRDefault="00753C1A" w:rsidP="00753C1A">
      <w:pPr>
        <w:pStyle w:val="Heading4"/>
        <w:pBdr>
          <w:top w:val="nil"/>
          <w:left w:val="nil"/>
          <w:bottom w:val="nil"/>
          <w:right w:val="nil"/>
          <w:between w:val="nil"/>
        </w:pBdr>
        <w:rPr>
          <w:rFonts w:ascii="Arial" w:eastAsia="Arial" w:hAnsi="Arial" w:cs="Arial"/>
          <w:color w:val="506E96"/>
          <w:sz w:val="24"/>
          <w:szCs w:val="24"/>
        </w:rPr>
      </w:pPr>
      <w:r>
        <w:rPr>
          <w:rFonts w:ascii="Arial" w:eastAsia="Arial" w:hAnsi="Arial" w:cs="Arial"/>
          <w:color w:val="506E96"/>
          <w:sz w:val="24"/>
          <w:szCs w:val="24"/>
        </w:rPr>
        <w:t>S2.3.3. Definition and application of dominant logic of intervention</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The classification of strategies into broader types was based on the principle of dominant logic of intervention, defined as the primary functional mechanism through which a strategy achieves its intended objectives. This concept draws on the notion of dominant logic as introduced by Prahalad and Bettis (1986). Adapted to the context of strategy typology, dominant logic refers to the main pathway through which an intervention delivers its intended impact, independent of specific technologies, implementing actors, or geographic settings.</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The identification of the primary functional mechanism for each strategy was based on the triangulation of three assessment criteria:</w:t>
      </w:r>
    </w:p>
    <w:p w:rsidR="00753C1A" w:rsidRDefault="00753C1A" w:rsidP="00753C1A">
      <w:pPr>
        <w:spacing w:before="240" w:after="240" w:line="360" w:lineRule="auto"/>
        <w:ind w:left="1080" w:hanging="360"/>
        <w:jc w:val="both"/>
        <w:rPr>
          <w:rFonts w:ascii="Arial" w:eastAsia="Arial" w:hAnsi="Arial" w:cs="Arial"/>
          <w:sz w:val="24"/>
          <w:szCs w:val="24"/>
        </w:rPr>
      </w:pPr>
      <w:r>
        <w:rPr>
          <w:rFonts w:ascii="Arial" w:eastAsia="Arial" w:hAnsi="Arial" w:cs="Arial"/>
          <w:sz w:val="24"/>
          <w:szCs w:val="24"/>
        </w:rPr>
        <w:t>1.</w:t>
      </w:r>
      <w:r>
        <w:rPr>
          <w:rFonts w:ascii="Arial" w:eastAsia="Arial" w:hAnsi="Arial" w:cs="Arial"/>
          <w:sz w:val="14"/>
          <w:szCs w:val="14"/>
        </w:rPr>
        <w:t xml:space="preserve"> </w:t>
      </w:r>
      <w:r>
        <w:rPr>
          <w:rFonts w:ascii="Arial" w:eastAsia="Arial" w:hAnsi="Arial" w:cs="Arial"/>
          <w:sz w:val="24"/>
          <w:szCs w:val="24"/>
        </w:rPr>
        <w:t>Purpose alignment: Determining which core problem or goal the strategy is explicitly designed to address.</w:t>
      </w:r>
    </w:p>
    <w:p w:rsidR="00753C1A" w:rsidRDefault="00753C1A" w:rsidP="00753C1A">
      <w:pPr>
        <w:spacing w:before="240" w:after="240" w:line="360" w:lineRule="auto"/>
        <w:ind w:left="1080" w:hanging="360"/>
        <w:jc w:val="both"/>
        <w:rPr>
          <w:rFonts w:ascii="Arial" w:eastAsia="Arial" w:hAnsi="Arial" w:cs="Arial"/>
          <w:sz w:val="24"/>
          <w:szCs w:val="24"/>
        </w:rPr>
      </w:pPr>
      <w:r>
        <w:rPr>
          <w:rFonts w:ascii="Arial" w:eastAsia="Arial" w:hAnsi="Arial" w:cs="Arial"/>
          <w:sz w:val="24"/>
          <w:szCs w:val="24"/>
        </w:rPr>
        <w:t>2.</w:t>
      </w:r>
      <w:r>
        <w:rPr>
          <w:rFonts w:ascii="Arial" w:eastAsia="Arial" w:hAnsi="Arial" w:cs="Arial"/>
          <w:sz w:val="14"/>
          <w:szCs w:val="14"/>
        </w:rPr>
        <w:t xml:space="preserve"> </w:t>
      </w:r>
      <w:r>
        <w:rPr>
          <w:rFonts w:ascii="Arial" w:eastAsia="Arial" w:hAnsi="Arial" w:cs="Arial"/>
          <w:sz w:val="24"/>
          <w:szCs w:val="24"/>
        </w:rPr>
        <w:t>Operational emphasis: Identifying the dominant activity or process highlighted during implementation.</w:t>
      </w:r>
    </w:p>
    <w:p w:rsidR="00753C1A" w:rsidRDefault="00753C1A" w:rsidP="00753C1A">
      <w:pPr>
        <w:spacing w:before="240" w:after="240" w:line="360" w:lineRule="auto"/>
        <w:ind w:left="1080" w:hanging="360"/>
        <w:jc w:val="both"/>
        <w:rPr>
          <w:rFonts w:ascii="Arial" w:eastAsia="Arial" w:hAnsi="Arial" w:cs="Arial"/>
          <w:sz w:val="24"/>
          <w:szCs w:val="24"/>
        </w:rPr>
      </w:pPr>
      <w:r>
        <w:rPr>
          <w:rFonts w:ascii="Arial" w:eastAsia="Arial" w:hAnsi="Arial" w:cs="Arial"/>
          <w:sz w:val="24"/>
          <w:szCs w:val="24"/>
        </w:rPr>
        <w:t>3.</w:t>
      </w:r>
      <w:r>
        <w:rPr>
          <w:rFonts w:ascii="Arial" w:eastAsia="Arial" w:hAnsi="Arial" w:cs="Arial"/>
          <w:sz w:val="14"/>
          <w:szCs w:val="14"/>
        </w:rPr>
        <w:t xml:space="preserve"> </w:t>
      </w:r>
      <w:r>
        <w:rPr>
          <w:rFonts w:ascii="Arial" w:eastAsia="Arial" w:hAnsi="Arial" w:cs="Arial"/>
          <w:sz w:val="24"/>
          <w:szCs w:val="24"/>
        </w:rPr>
        <w:t>Resource allocation focus: Analyzing where the majority of resources are directed.</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A mechanism was considered dominant when at least two of these three criteria converged on the same operational logic.</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lastRenderedPageBreak/>
        <w:t>To systematically determine the dominant logic of intervention, these three complementary assessment criteria were selected because they capture the main facets through which strategic interventions are typically structured and executed. Together, they provide a robust, triangulated basis for assessing the principal functional mechanism underlying each strategy, minimizing classification bias and enhancing the coherence of the typology (Table Strategies 2).</w:t>
      </w:r>
    </w:p>
    <w:p w:rsidR="00753C1A" w:rsidRDefault="00753C1A" w:rsidP="00753C1A">
      <w:pPr>
        <w:spacing w:before="240" w:after="240" w:line="360" w:lineRule="auto"/>
        <w:jc w:val="both"/>
        <w:rPr>
          <w:rFonts w:ascii="Arial" w:eastAsia="Arial" w:hAnsi="Arial" w:cs="Arial"/>
          <w:sz w:val="16"/>
          <w:szCs w:val="16"/>
        </w:rPr>
      </w:pPr>
      <w:r>
        <w:rPr>
          <w:rFonts w:ascii="Arial" w:eastAsia="Arial" w:hAnsi="Arial" w:cs="Arial"/>
          <w:sz w:val="16"/>
          <w:szCs w:val="16"/>
        </w:rPr>
        <w:t>Table Strategies 2. Strategy types and their dominant logic of intervention.</w:t>
      </w:r>
    </w:p>
    <w:tbl>
      <w:tblPr>
        <w:tblW w:w="8850" w:type="dxa"/>
        <w:tblBorders>
          <w:top w:val="nil"/>
          <w:left w:val="nil"/>
          <w:bottom w:val="nil"/>
          <w:right w:val="nil"/>
          <w:insideH w:val="nil"/>
          <w:insideV w:val="nil"/>
        </w:tblBorders>
        <w:tblLayout w:type="fixed"/>
        <w:tblLook w:val="0600" w:firstRow="0" w:lastRow="0" w:firstColumn="0" w:lastColumn="0" w:noHBand="1" w:noVBand="1"/>
      </w:tblPr>
      <w:tblGrid>
        <w:gridCol w:w="2235"/>
        <w:gridCol w:w="3090"/>
        <w:gridCol w:w="3525"/>
      </w:tblGrid>
      <w:tr w:rsidR="00753C1A" w:rsidTr="003A5549">
        <w:trPr>
          <w:trHeight w:val="660"/>
        </w:trPr>
        <w:tc>
          <w:tcPr>
            <w:tcW w:w="2235" w:type="dxa"/>
            <w:tcBorders>
              <w:top w:val="nil"/>
              <w:left w:val="nil"/>
              <w:bottom w:val="nil"/>
              <w:right w:val="nil"/>
            </w:tcBorders>
            <w:shd w:val="clear" w:color="auto" w:fill="A6A6A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t>Strategy type</w:t>
            </w:r>
          </w:p>
        </w:tc>
        <w:tc>
          <w:tcPr>
            <w:tcW w:w="3090" w:type="dxa"/>
            <w:tcBorders>
              <w:top w:val="nil"/>
              <w:left w:val="nil"/>
              <w:bottom w:val="nil"/>
              <w:right w:val="nil"/>
            </w:tcBorders>
            <w:shd w:val="clear" w:color="auto" w:fill="A6A6A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t>Dominant logic of intervention</w:t>
            </w:r>
          </w:p>
        </w:tc>
        <w:tc>
          <w:tcPr>
            <w:tcW w:w="3525" w:type="dxa"/>
            <w:tcBorders>
              <w:top w:val="nil"/>
              <w:left w:val="nil"/>
              <w:bottom w:val="nil"/>
              <w:right w:val="nil"/>
            </w:tcBorders>
            <w:shd w:val="clear" w:color="auto" w:fill="A6A6A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t>Description</w:t>
            </w:r>
          </w:p>
        </w:tc>
      </w:tr>
      <w:tr w:rsidR="00753C1A" w:rsidTr="003A5549">
        <w:trPr>
          <w:trHeight w:val="1245"/>
        </w:trPr>
        <w:tc>
          <w:tcPr>
            <w:tcW w:w="2235" w:type="dxa"/>
            <w:tcBorders>
              <w:top w:val="single" w:sz="5" w:space="0" w:color="FFFFFF"/>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Manual Demining</w:t>
            </w:r>
          </w:p>
        </w:tc>
        <w:tc>
          <w:tcPr>
            <w:tcW w:w="3090" w:type="dxa"/>
            <w:tcBorders>
              <w:top w:val="single" w:sz="5" w:space="0" w:color="FFFFFF"/>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human-operated physical clearance of explosive hazards using detection equipment</w:t>
            </w:r>
          </w:p>
        </w:tc>
        <w:tc>
          <w:tcPr>
            <w:tcW w:w="3525" w:type="dxa"/>
            <w:tcBorders>
              <w:top w:val="single" w:sz="5" w:space="0" w:color="FFFFFF"/>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direct human action to locate, detect, and neutralize landmines and ERW</w:t>
            </w:r>
          </w:p>
        </w:tc>
      </w:tr>
      <w:tr w:rsidR="00753C1A" w:rsidTr="003A5549">
        <w:trPr>
          <w:trHeight w:val="945"/>
        </w:trPr>
        <w:tc>
          <w:tcPr>
            <w:tcW w:w="223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Mechanical Demining</w:t>
            </w:r>
          </w:p>
        </w:tc>
        <w:tc>
          <w:tcPr>
            <w:tcW w:w="309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machine-assisted clearance through mechanical force</w:t>
            </w:r>
          </w:p>
        </w:tc>
        <w:tc>
          <w:tcPr>
            <w:tcW w:w="352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use of flails, tillers, armored vehicles to clear contaminated land at larger scales</w:t>
            </w:r>
          </w:p>
        </w:tc>
      </w:tr>
      <w:tr w:rsidR="00753C1A" w:rsidTr="003A5549">
        <w:trPr>
          <w:trHeight w:val="945"/>
        </w:trPr>
        <w:tc>
          <w:tcPr>
            <w:tcW w:w="223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Remote Sensing and Mapping</w:t>
            </w:r>
          </w:p>
        </w:tc>
        <w:tc>
          <w:tcPr>
            <w:tcW w:w="309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remote detection, surveying, and mapping using UAVs, satellites, AI</w:t>
            </w:r>
          </w:p>
        </w:tc>
        <w:tc>
          <w:tcPr>
            <w:tcW w:w="352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remote identification/ prioritization of hazardous areas for clearance</w:t>
            </w:r>
          </w:p>
        </w:tc>
      </w:tr>
      <w:tr w:rsidR="00753C1A" w:rsidTr="003A5549">
        <w:trPr>
          <w:trHeight w:val="945"/>
        </w:trPr>
        <w:tc>
          <w:tcPr>
            <w:tcW w:w="223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Community-Based Approaches</w:t>
            </w:r>
          </w:p>
        </w:tc>
        <w:tc>
          <w:tcPr>
            <w:tcW w:w="309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empowerment of local communities to manage mine risks</w:t>
            </w:r>
          </w:p>
        </w:tc>
        <w:tc>
          <w:tcPr>
            <w:tcW w:w="352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focus on education, risk awareness, victim-centered recovery at the community level</w:t>
            </w:r>
          </w:p>
        </w:tc>
      </w:tr>
      <w:tr w:rsidR="00753C1A" w:rsidTr="003A5549">
        <w:trPr>
          <w:trHeight w:val="945"/>
        </w:trPr>
        <w:tc>
          <w:tcPr>
            <w:tcW w:w="223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Ecological Remediation</w:t>
            </w:r>
          </w:p>
        </w:tc>
        <w:tc>
          <w:tcPr>
            <w:tcW w:w="309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restoration of ecological functions post-clearance</w:t>
            </w:r>
          </w:p>
        </w:tc>
        <w:tc>
          <w:tcPr>
            <w:tcW w:w="352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rehabilitation of soils, ecosystems, land productivity after demining</w:t>
            </w:r>
          </w:p>
        </w:tc>
      </w:tr>
      <w:tr w:rsidR="00753C1A" w:rsidTr="003A5549">
        <w:trPr>
          <w:trHeight w:val="1245"/>
        </w:trPr>
        <w:tc>
          <w:tcPr>
            <w:tcW w:w="223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Legal/Institutional Frameworks</w:t>
            </w:r>
          </w:p>
        </w:tc>
        <w:tc>
          <w:tcPr>
            <w:tcW w:w="309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establishment of governance structures and standards</w:t>
            </w:r>
          </w:p>
        </w:tc>
        <w:tc>
          <w:tcPr>
            <w:tcW w:w="352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development of coherent policies, legal frameworks, and coordination platforms for mine action</w:t>
            </w:r>
          </w:p>
        </w:tc>
      </w:tr>
      <w:tr w:rsidR="00753C1A" w:rsidTr="003A5549">
        <w:trPr>
          <w:trHeight w:val="1245"/>
        </w:trPr>
        <w:tc>
          <w:tcPr>
            <w:tcW w:w="223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Post-Conflict Land Zoning</w:t>
            </w:r>
          </w:p>
        </w:tc>
        <w:tc>
          <w:tcPr>
            <w:tcW w:w="309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strategic designation of land use categories post-clearance</w:t>
            </w:r>
          </w:p>
        </w:tc>
        <w:tc>
          <w:tcPr>
            <w:tcW w:w="352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planning and allocation of cleared landscapes for safe agricultural, conservation, or development purposes</w:t>
            </w:r>
          </w:p>
        </w:tc>
      </w:tr>
    </w:tbl>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 xml:space="preserve"> </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Assessment matrices for classification criteria (see Table Strategies 3, 4, 5)</w:t>
      </w:r>
    </w:p>
    <w:p w:rsidR="00753C1A" w:rsidRDefault="00753C1A" w:rsidP="00753C1A">
      <w:pPr>
        <w:spacing w:before="240" w:after="240" w:line="360" w:lineRule="auto"/>
        <w:jc w:val="both"/>
        <w:rPr>
          <w:rFonts w:ascii="Arial" w:eastAsia="Arial" w:hAnsi="Arial" w:cs="Arial"/>
          <w:sz w:val="16"/>
          <w:szCs w:val="16"/>
        </w:rPr>
      </w:pPr>
      <w:r>
        <w:rPr>
          <w:rFonts w:ascii="Arial" w:eastAsia="Arial" w:hAnsi="Arial" w:cs="Arial"/>
          <w:sz w:val="16"/>
          <w:szCs w:val="16"/>
        </w:rPr>
        <w:lastRenderedPageBreak/>
        <w:t>Table Strategies 3. Purpose alignment: core goals of strategy types.</w:t>
      </w:r>
    </w:p>
    <w:tbl>
      <w:tblPr>
        <w:tblW w:w="8835" w:type="dxa"/>
        <w:tblBorders>
          <w:top w:val="nil"/>
          <w:left w:val="nil"/>
          <w:bottom w:val="nil"/>
          <w:right w:val="nil"/>
          <w:insideH w:val="nil"/>
          <w:insideV w:val="nil"/>
        </w:tblBorders>
        <w:tblLayout w:type="fixed"/>
        <w:tblLook w:val="0600" w:firstRow="0" w:lastRow="0" w:firstColumn="0" w:lastColumn="0" w:noHBand="1" w:noVBand="1"/>
      </w:tblPr>
      <w:tblGrid>
        <w:gridCol w:w="2685"/>
        <w:gridCol w:w="6150"/>
      </w:tblGrid>
      <w:tr w:rsidR="00753C1A" w:rsidTr="003A5549">
        <w:trPr>
          <w:trHeight w:val="375"/>
        </w:trPr>
        <w:tc>
          <w:tcPr>
            <w:tcW w:w="2685" w:type="dxa"/>
            <w:tcBorders>
              <w:top w:val="nil"/>
              <w:left w:val="nil"/>
              <w:bottom w:val="nil"/>
              <w:right w:val="nil"/>
            </w:tcBorders>
            <w:shd w:val="clear" w:color="auto" w:fill="A6A6A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t>Strategy type</w:t>
            </w:r>
          </w:p>
        </w:tc>
        <w:tc>
          <w:tcPr>
            <w:tcW w:w="6150" w:type="dxa"/>
            <w:tcBorders>
              <w:top w:val="nil"/>
              <w:left w:val="nil"/>
              <w:bottom w:val="nil"/>
              <w:right w:val="nil"/>
            </w:tcBorders>
            <w:shd w:val="clear" w:color="auto" w:fill="A6A6A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t>Core purpose</w:t>
            </w:r>
          </w:p>
        </w:tc>
      </w:tr>
      <w:tr w:rsidR="00753C1A" w:rsidTr="003A5549">
        <w:trPr>
          <w:trHeight w:val="660"/>
        </w:trPr>
        <w:tc>
          <w:tcPr>
            <w:tcW w:w="2685" w:type="dxa"/>
            <w:tcBorders>
              <w:top w:val="single" w:sz="5" w:space="0" w:color="FFFFFF"/>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Manual Demining</w:t>
            </w:r>
          </w:p>
        </w:tc>
        <w:tc>
          <w:tcPr>
            <w:tcW w:w="6150" w:type="dxa"/>
            <w:tcBorders>
              <w:top w:val="single" w:sz="5" w:space="0" w:color="FFFFFF"/>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remove landmines and ERW through human-operated clearance to enable safe land access</w:t>
            </w:r>
          </w:p>
        </w:tc>
      </w:tr>
      <w:tr w:rsidR="00753C1A" w:rsidTr="003A5549">
        <w:trPr>
          <w:trHeight w:val="660"/>
        </w:trPr>
        <w:tc>
          <w:tcPr>
            <w:tcW w:w="268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Mechanical Demining</w:t>
            </w:r>
          </w:p>
        </w:tc>
        <w:tc>
          <w:tcPr>
            <w:tcW w:w="615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accelerate clearance of large contaminated areas using mechanical means</w:t>
            </w:r>
          </w:p>
        </w:tc>
      </w:tr>
      <w:tr w:rsidR="00753C1A" w:rsidTr="003A5549">
        <w:trPr>
          <w:trHeight w:val="660"/>
        </w:trPr>
        <w:tc>
          <w:tcPr>
            <w:tcW w:w="268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Remote Sensing and Mapping</w:t>
            </w:r>
          </w:p>
        </w:tc>
        <w:tc>
          <w:tcPr>
            <w:tcW w:w="615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identify and prioritize hazardous areas remotely to guide clearance operations</w:t>
            </w:r>
          </w:p>
        </w:tc>
      </w:tr>
      <w:tr w:rsidR="00753C1A" w:rsidTr="003A5549">
        <w:trPr>
          <w:trHeight w:val="660"/>
        </w:trPr>
        <w:tc>
          <w:tcPr>
            <w:tcW w:w="268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Community-Based Approaches</w:t>
            </w:r>
          </w:p>
        </w:tc>
        <w:tc>
          <w:tcPr>
            <w:tcW w:w="615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empower local communities to recognize, manage, and reduce mine-related risks</w:t>
            </w:r>
          </w:p>
        </w:tc>
      </w:tr>
      <w:tr w:rsidR="00753C1A" w:rsidTr="003A5549">
        <w:trPr>
          <w:trHeight w:val="660"/>
        </w:trPr>
        <w:tc>
          <w:tcPr>
            <w:tcW w:w="268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Ecological Remediation</w:t>
            </w:r>
          </w:p>
        </w:tc>
        <w:tc>
          <w:tcPr>
            <w:tcW w:w="615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restore soil health, vegetation, and ecological functions after clearance</w:t>
            </w:r>
          </w:p>
        </w:tc>
      </w:tr>
      <w:tr w:rsidR="00753C1A" w:rsidTr="003A5549">
        <w:trPr>
          <w:trHeight w:val="660"/>
        </w:trPr>
        <w:tc>
          <w:tcPr>
            <w:tcW w:w="268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Legal/Institutional Frameworks</w:t>
            </w:r>
          </w:p>
        </w:tc>
        <w:tc>
          <w:tcPr>
            <w:tcW w:w="615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establish governance, regulatory frameworks, and coordination structures for mine action</w:t>
            </w:r>
          </w:p>
        </w:tc>
      </w:tr>
      <w:tr w:rsidR="00753C1A" w:rsidTr="003A5549">
        <w:trPr>
          <w:trHeight w:val="18"/>
        </w:trPr>
        <w:tc>
          <w:tcPr>
            <w:tcW w:w="268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Post-Conflict Land Zoning</w:t>
            </w:r>
          </w:p>
        </w:tc>
        <w:tc>
          <w:tcPr>
            <w:tcW w:w="615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strategically designate land use categories after clearance to ensure safe and sustainable recovery</w:t>
            </w:r>
          </w:p>
        </w:tc>
      </w:tr>
    </w:tbl>
    <w:p w:rsidR="00753C1A" w:rsidRDefault="00753C1A" w:rsidP="00753C1A">
      <w:pPr>
        <w:spacing w:before="240" w:after="240" w:line="360" w:lineRule="auto"/>
        <w:jc w:val="both"/>
        <w:rPr>
          <w:rFonts w:ascii="Arial" w:eastAsia="Arial" w:hAnsi="Arial" w:cs="Arial"/>
          <w:sz w:val="24"/>
          <w:szCs w:val="24"/>
        </w:rPr>
      </w:pPr>
    </w:p>
    <w:p w:rsidR="00753C1A" w:rsidRDefault="00753C1A" w:rsidP="00753C1A">
      <w:pPr>
        <w:spacing w:before="240" w:after="240" w:line="360" w:lineRule="auto"/>
        <w:jc w:val="both"/>
        <w:rPr>
          <w:rFonts w:ascii="Arial" w:eastAsia="Arial" w:hAnsi="Arial" w:cs="Arial"/>
          <w:sz w:val="24"/>
          <w:szCs w:val="24"/>
        </w:rPr>
      </w:pPr>
    </w:p>
    <w:p w:rsidR="00753C1A" w:rsidRDefault="00753C1A" w:rsidP="00753C1A">
      <w:pPr>
        <w:spacing w:before="240" w:after="240" w:line="360" w:lineRule="auto"/>
        <w:jc w:val="both"/>
        <w:rPr>
          <w:rFonts w:ascii="Arial" w:eastAsia="Arial" w:hAnsi="Arial" w:cs="Arial"/>
          <w:sz w:val="16"/>
          <w:szCs w:val="16"/>
        </w:rPr>
      </w:pPr>
      <w:r>
        <w:rPr>
          <w:rFonts w:ascii="Arial" w:eastAsia="Arial" w:hAnsi="Arial" w:cs="Arial"/>
          <w:sz w:val="16"/>
          <w:szCs w:val="16"/>
        </w:rPr>
        <w:t>Table Strategies 4. Operational emphasis: main activities of strategy types.</w:t>
      </w:r>
    </w:p>
    <w:tbl>
      <w:tblPr>
        <w:tblW w:w="8835" w:type="dxa"/>
        <w:tblBorders>
          <w:top w:val="nil"/>
          <w:left w:val="nil"/>
          <w:bottom w:val="nil"/>
          <w:right w:val="nil"/>
          <w:insideH w:val="nil"/>
          <w:insideV w:val="nil"/>
        </w:tblBorders>
        <w:tblLayout w:type="fixed"/>
        <w:tblLook w:val="0600" w:firstRow="0" w:lastRow="0" w:firstColumn="0" w:lastColumn="0" w:noHBand="1" w:noVBand="1"/>
      </w:tblPr>
      <w:tblGrid>
        <w:gridCol w:w="2595"/>
        <w:gridCol w:w="6240"/>
      </w:tblGrid>
      <w:tr w:rsidR="00753C1A" w:rsidTr="003A5549">
        <w:trPr>
          <w:trHeight w:val="375"/>
        </w:trPr>
        <w:tc>
          <w:tcPr>
            <w:tcW w:w="2595" w:type="dxa"/>
            <w:tcBorders>
              <w:top w:val="nil"/>
              <w:left w:val="nil"/>
              <w:bottom w:val="nil"/>
              <w:right w:val="nil"/>
            </w:tcBorders>
            <w:shd w:val="clear" w:color="auto" w:fill="A6A6A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t>Strategy Type</w:t>
            </w:r>
          </w:p>
        </w:tc>
        <w:tc>
          <w:tcPr>
            <w:tcW w:w="6240" w:type="dxa"/>
            <w:tcBorders>
              <w:top w:val="nil"/>
              <w:left w:val="nil"/>
              <w:bottom w:val="nil"/>
              <w:right w:val="nil"/>
            </w:tcBorders>
            <w:shd w:val="clear" w:color="auto" w:fill="A6A6A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t xml:space="preserve">Main </w:t>
            </w:r>
            <w:r>
              <w:rPr>
                <w:rFonts w:ascii="Arial" w:eastAsia="Arial" w:hAnsi="Arial" w:cs="Arial"/>
                <w:sz w:val="16"/>
                <w:szCs w:val="16"/>
              </w:rPr>
              <w:t>o</w:t>
            </w:r>
            <w:r>
              <w:rPr>
                <w:rFonts w:ascii="Arial" w:eastAsia="Arial" w:hAnsi="Arial" w:cs="Arial"/>
                <w:b/>
                <w:bCs/>
                <w:sz w:val="16"/>
                <w:szCs w:val="16"/>
              </w:rPr>
              <w:t xml:space="preserve">perational </w:t>
            </w:r>
            <w:r>
              <w:rPr>
                <w:rFonts w:ascii="Arial" w:eastAsia="Arial" w:hAnsi="Arial" w:cs="Arial"/>
                <w:sz w:val="16"/>
                <w:szCs w:val="16"/>
              </w:rPr>
              <w:t>A</w:t>
            </w:r>
            <w:r>
              <w:rPr>
                <w:rFonts w:ascii="Arial" w:eastAsia="Arial" w:hAnsi="Arial" w:cs="Arial"/>
                <w:b/>
                <w:bCs/>
                <w:sz w:val="16"/>
                <w:szCs w:val="16"/>
              </w:rPr>
              <w:t>ctivity</w:t>
            </w:r>
          </w:p>
        </w:tc>
      </w:tr>
      <w:tr w:rsidR="00753C1A" w:rsidTr="003A5549">
        <w:trPr>
          <w:trHeight w:val="660"/>
        </w:trPr>
        <w:tc>
          <w:tcPr>
            <w:tcW w:w="2595" w:type="dxa"/>
            <w:tcBorders>
              <w:top w:val="single" w:sz="5" w:space="0" w:color="FFFFFF"/>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Manual Demining</w:t>
            </w:r>
          </w:p>
        </w:tc>
        <w:tc>
          <w:tcPr>
            <w:tcW w:w="6240" w:type="dxa"/>
            <w:tcBorders>
              <w:top w:val="single" w:sz="5" w:space="0" w:color="FFFFFF"/>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human-led detection and neutralization of explosive hazards using probes, detectors, and manual tools</w:t>
            </w:r>
          </w:p>
        </w:tc>
      </w:tr>
      <w:tr w:rsidR="00753C1A" w:rsidTr="003A5549">
        <w:trPr>
          <w:trHeight w:val="660"/>
        </w:trPr>
        <w:tc>
          <w:tcPr>
            <w:tcW w:w="259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Mechanical Demining</w:t>
            </w:r>
          </w:p>
        </w:tc>
        <w:tc>
          <w:tcPr>
            <w:tcW w:w="624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deployment of flails, tillers, and other machinery to disturb soil and detonate or expose explosives</w:t>
            </w:r>
          </w:p>
        </w:tc>
      </w:tr>
      <w:tr w:rsidR="00753C1A" w:rsidTr="003A5549">
        <w:trPr>
          <w:trHeight w:val="660"/>
        </w:trPr>
        <w:tc>
          <w:tcPr>
            <w:tcW w:w="259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Remote Sensing and Mapping</w:t>
            </w:r>
          </w:p>
        </w:tc>
        <w:tc>
          <w:tcPr>
            <w:tcW w:w="624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use of UAVs, satellites, GIS, and AI for contamination surveying and land classification</w:t>
            </w:r>
          </w:p>
        </w:tc>
      </w:tr>
      <w:tr w:rsidR="00753C1A" w:rsidTr="003A5549">
        <w:trPr>
          <w:trHeight w:val="660"/>
        </w:trPr>
        <w:tc>
          <w:tcPr>
            <w:tcW w:w="259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lastRenderedPageBreak/>
              <w:t>Community-Based Approaches</w:t>
            </w:r>
          </w:p>
        </w:tc>
        <w:tc>
          <w:tcPr>
            <w:tcW w:w="624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local education programs, public risk awareness campaigns, victim support activities</w:t>
            </w:r>
          </w:p>
        </w:tc>
      </w:tr>
      <w:tr w:rsidR="00753C1A" w:rsidTr="003A5549">
        <w:trPr>
          <w:trHeight w:val="660"/>
        </w:trPr>
        <w:tc>
          <w:tcPr>
            <w:tcW w:w="259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Ecological Remediation</w:t>
            </w:r>
          </w:p>
        </w:tc>
        <w:tc>
          <w:tcPr>
            <w:tcW w:w="624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application of soil restoration techniques, phytoremediation, reforestation, and regenerative agriculture</w:t>
            </w:r>
          </w:p>
        </w:tc>
      </w:tr>
      <w:tr w:rsidR="00753C1A" w:rsidTr="003A5549">
        <w:trPr>
          <w:trHeight w:val="660"/>
        </w:trPr>
        <w:tc>
          <w:tcPr>
            <w:tcW w:w="259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Legal/Institutional Frameworks</w:t>
            </w:r>
          </w:p>
        </w:tc>
        <w:tc>
          <w:tcPr>
            <w:tcW w:w="624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development and enforcement of mine action standards, coordination mechanisms, and legal frameworks</w:t>
            </w:r>
          </w:p>
        </w:tc>
      </w:tr>
      <w:tr w:rsidR="00753C1A" w:rsidTr="003A5549">
        <w:trPr>
          <w:trHeight w:val="660"/>
        </w:trPr>
        <w:tc>
          <w:tcPr>
            <w:tcW w:w="259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Post-Conflict Land Zoning</w:t>
            </w:r>
          </w:p>
        </w:tc>
        <w:tc>
          <w:tcPr>
            <w:tcW w:w="624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planning and allocation of cleared land for agriculture, conservation, or exclusion zones</w:t>
            </w:r>
          </w:p>
        </w:tc>
      </w:tr>
    </w:tbl>
    <w:p w:rsidR="00753C1A" w:rsidRDefault="00753C1A" w:rsidP="00753C1A">
      <w:pPr>
        <w:spacing w:before="240" w:after="240" w:line="360" w:lineRule="auto"/>
        <w:jc w:val="both"/>
        <w:rPr>
          <w:rFonts w:ascii="Arial" w:eastAsia="Arial" w:hAnsi="Arial" w:cs="Arial"/>
          <w:sz w:val="24"/>
          <w:szCs w:val="24"/>
        </w:rPr>
      </w:pPr>
    </w:p>
    <w:p w:rsidR="00753C1A" w:rsidRDefault="00753C1A" w:rsidP="00753C1A">
      <w:pPr>
        <w:spacing w:before="240" w:after="240" w:line="360" w:lineRule="auto"/>
        <w:jc w:val="both"/>
        <w:rPr>
          <w:rFonts w:ascii="Arial" w:eastAsia="Arial" w:hAnsi="Arial" w:cs="Arial"/>
          <w:sz w:val="16"/>
          <w:szCs w:val="16"/>
        </w:rPr>
      </w:pPr>
      <w:r>
        <w:rPr>
          <w:rFonts w:ascii="Arial" w:eastAsia="Arial" w:hAnsi="Arial" w:cs="Arial"/>
          <w:sz w:val="16"/>
          <w:szCs w:val="16"/>
        </w:rPr>
        <w:t>Table Strategies 5. Resource allocation focus: main resource targets of strategy types.</w:t>
      </w:r>
    </w:p>
    <w:tbl>
      <w:tblPr>
        <w:tblW w:w="8850" w:type="dxa"/>
        <w:tblBorders>
          <w:top w:val="nil"/>
          <w:left w:val="nil"/>
          <w:bottom w:val="nil"/>
          <w:right w:val="nil"/>
          <w:insideH w:val="nil"/>
          <w:insideV w:val="nil"/>
        </w:tblBorders>
        <w:tblLayout w:type="fixed"/>
        <w:tblLook w:val="0600" w:firstRow="0" w:lastRow="0" w:firstColumn="0" w:lastColumn="0" w:noHBand="1" w:noVBand="1"/>
      </w:tblPr>
      <w:tblGrid>
        <w:gridCol w:w="2610"/>
        <w:gridCol w:w="6240"/>
      </w:tblGrid>
      <w:tr w:rsidR="00753C1A" w:rsidTr="003A5549">
        <w:trPr>
          <w:trHeight w:val="375"/>
        </w:trPr>
        <w:tc>
          <w:tcPr>
            <w:tcW w:w="2610" w:type="dxa"/>
            <w:tcBorders>
              <w:top w:val="nil"/>
              <w:left w:val="nil"/>
              <w:bottom w:val="nil"/>
              <w:right w:val="nil"/>
            </w:tcBorders>
            <w:shd w:val="clear" w:color="auto" w:fill="A6A6A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t>Strategy type</w:t>
            </w:r>
          </w:p>
        </w:tc>
        <w:tc>
          <w:tcPr>
            <w:tcW w:w="6240" w:type="dxa"/>
            <w:tcBorders>
              <w:top w:val="nil"/>
              <w:left w:val="nil"/>
              <w:bottom w:val="nil"/>
              <w:right w:val="nil"/>
            </w:tcBorders>
            <w:shd w:val="clear" w:color="auto" w:fill="A6A6A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t>Primary resource focus</w:t>
            </w:r>
          </w:p>
        </w:tc>
      </w:tr>
      <w:tr w:rsidR="00753C1A" w:rsidTr="003A5549">
        <w:trPr>
          <w:trHeight w:val="375"/>
        </w:trPr>
        <w:tc>
          <w:tcPr>
            <w:tcW w:w="2610" w:type="dxa"/>
            <w:tcBorders>
              <w:top w:val="single" w:sz="5" w:space="0" w:color="FFFFFF"/>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Manual Demining</w:t>
            </w:r>
          </w:p>
        </w:tc>
        <w:tc>
          <w:tcPr>
            <w:tcW w:w="6240" w:type="dxa"/>
            <w:tcBorders>
              <w:top w:val="single" w:sz="5" w:space="0" w:color="FFFFFF"/>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human labor, clearance teams, protective equipment</w:t>
            </w:r>
          </w:p>
        </w:tc>
      </w:tr>
      <w:tr w:rsidR="00753C1A" w:rsidTr="003A5549">
        <w:trPr>
          <w:trHeight w:val="660"/>
        </w:trPr>
        <w:tc>
          <w:tcPr>
            <w:tcW w:w="261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Mechanical Demining</w:t>
            </w:r>
          </w:p>
        </w:tc>
        <w:tc>
          <w:tcPr>
            <w:tcW w:w="624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heavy machinery, engineering resources, maintenance facilities</w:t>
            </w:r>
          </w:p>
        </w:tc>
      </w:tr>
      <w:tr w:rsidR="00753C1A" w:rsidTr="003A5549">
        <w:trPr>
          <w:trHeight w:val="660"/>
        </w:trPr>
        <w:tc>
          <w:tcPr>
            <w:tcW w:w="261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Remote Sensing and Mapping</w:t>
            </w:r>
          </w:p>
        </w:tc>
        <w:tc>
          <w:tcPr>
            <w:tcW w:w="624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UAV technology, AI algorithms, spatial analysis software, remote sensing experts</w:t>
            </w:r>
          </w:p>
        </w:tc>
      </w:tr>
      <w:tr w:rsidR="00753C1A" w:rsidTr="003A5549">
        <w:trPr>
          <w:trHeight w:val="660"/>
        </w:trPr>
        <w:tc>
          <w:tcPr>
            <w:tcW w:w="261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Community-Based Approaches</w:t>
            </w:r>
          </w:p>
        </w:tc>
        <w:tc>
          <w:tcPr>
            <w:tcW w:w="624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community mobilizers, educational materials, local media, healthcare and rehabilitation services</w:t>
            </w:r>
          </w:p>
        </w:tc>
      </w:tr>
      <w:tr w:rsidR="00753C1A" w:rsidTr="003A5549">
        <w:trPr>
          <w:trHeight w:val="660"/>
        </w:trPr>
        <w:tc>
          <w:tcPr>
            <w:tcW w:w="261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Ecological Remediation</w:t>
            </w:r>
          </w:p>
        </w:tc>
        <w:tc>
          <w:tcPr>
            <w:tcW w:w="624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soil enhancement technologies, native plants, environmental expertise, long-term land management funding</w:t>
            </w:r>
          </w:p>
        </w:tc>
      </w:tr>
      <w:tr w:rsidR="00753C1A" w:rsidTr="003A5549">
        <w:trPr>
          <w:trHeight w:val="660"/>
        </w:trPr>
        <w:tc>
          <w:tcPr>
            <w:tcW w:w="261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Legal/Institutional Frameworks</w:t>
            </w:r>
          </w:p>
        </w:tc>
        <w:tc>
          <w:tcPr>
            <w:tcW w:w="624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institutional development support, policy advisors, governance infrastructure</w:t>
            </w:r>
          </w:p>
        </w:tc>
      </w:tr>
      <w:tr w:rsidR="00753C1A" w:rsidTr="003A5549">
        <w:trPr>
          <w:trHeight w:val="660"/>
        </w:trPr>
        <w:tc>
          <w:tcPr>
            <w:tcW w:w="261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Post-Conflict Land Zoning</w:t>
            </w:r>
          </w:p>
        </w:tc>
        <w:tc>
          <w:tcPr>
            <w:tcW w:w="624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land-use planners, cadastral data systems, participatory decision-making processes</w:t>
            </w:r>
          </w:p>
        </w:tc>
      </w:tr>
    </w:tbl>
    <w:p w:rsidR="00753C1A" w:rsidRDefault="00753C1A" w:rsidP="00753C1A">
      <w:pPr>
        <w:spacing w:before="240" w:after="240" w:line="360" w:lineRule="auto"/>
        <w:jc w:val="both"/>
        <w:rPr>
          <w:rFonts w:ascii="Arial" w:eastAsia="Arial" w:hAnsi="Arial" w:cs="Arial"/>
          <w:sz w:val="24"/>
          <w:szCs w:val="24"/>
        </w:rPr>
      </w:pPr>
    </w:p>
    <w:p w:rsidR="00753C1A" w:rsidRDefault="00753C1A" w:rsidP="00753C1A">
      <w:pPr>
        <w:pStyle w:val="Heading4"/>
        <w:pBdr>
          <w:top w:val="nil"/>
          <w:left w:val="nil"/>
          <w:bottom w:val="nil"/>
          <w:right w:val="nil"/>
          <w:between w:val="nil"/>
        </w:pBdr>
        <w:rPr>
          <w:rFonts w:ascii="Arial" w:eastAsia="Arial" w:hAnsi="Arial" w:cs="Arial"/>
          <w:color w:val="506E96"/>
          <w:sz w:val="24"/>
          <w:szCs w:val="24"/>
        </w:rPr>
      </w:pPr>
      <w:r>
        <w:rPr>
          <w:rFonts w:ascii="Arial" w:eastAsia="Arial" w:hAnsi="Arial" w:cs="Arial"/>
          <w:color w:val="506E96"/>
          <w:sz w:val="24"/>
          <w:szCs w:val="24"/>
        </w:rPr>
        <w:lastRenderedPageBreak/>
        <w:t>S2.3.4. Typology construction</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Following the thematic clustering and identification of dominant logics of intervention, the final step involved the synthesis of strategy types. Initial coding and clustering produced approximately 10 to 12 thematic mini-clusters, which were iteratively reviewed and consolidated to ensure mutual exclusivity, functional coherence, and comprehensive coverage.</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The consolidation of thematic clusters into final strategy types was guided by four criteria:</w:t>
      </w:r>
    </w:p>
    <w:p w:rsidR="00753C1A" w:rsidRDefault="00753C1A" w:rsidP="00753C1A">
      <w:pPr>
        <w:numPr>
          <w:ilvl w:val="0"/>
          <w:numId w:val="4"/>
        </w:numPr>
        <w:spacing w:after="0" w:line="360" w:lineRule="auto"/>
        <w:rPr>
          <w:rFonts w:ascii="Arial" w:eastAsia="Arial" w:hAnsi="Arial" w:cs="Arial"/>
          <w:sz w:val="24"/>
          <w:szCs w:val="24"/>
        </w:rPr>
      </w:pPr>
      <w:r>
        <w:rPr>
          <w:rFonts w:ascii="Arial" w:eastAsia="Arial" w:hAnsi="Arial" w:cs="Arial"/>
          <w:sz w:val="24"/>
          <w:szCs w:val="24"/>
        </w:rPr>
        <w:t>Dominant functional mechanism: Strategies were grouped based on a clear, shared operational logic, ensuring internal conceptual clarity (as described in Section 4).</w:t>
      </w:r>
    </w:p>
    <w:p w:rsidR="00753C1A" w:rsidRDefault="00753C1A" w:rsidP="00753C1A">
      <w:pPr>
        <w:numPr>
          <w:ilvl w:val="0"/>
          <w:numId w:val="4"/>
        </w:numPr>
        <w:spacing w:after="0" w:line="360" w:lineRule="auto"/>
        <w:rPr>
          <w:rFonts w:ascii="Arial" w:eastAsia="Arial" w:hAnsi="Arial" w:cs="Arial"/>
          <w:sz w:val="24"/>
          <w:szCs w:val="24"/>
        </w:rPr>
      </w:pPr>
      <w:r>
        <w:rPr>
          <w:rFonts w:ascii="Arial" w:eastAsia="Arial" w:hAnsi="Arial" w:cs="Arial"/>
          <w:sz w:val="24"/>
          <w:szCs w:val="24"/>
        </w:rPr>
        <w:t>Mutual exclusivity: Each strategy was unambiguously assigned to a single type. Mutual exclusivity was assessed through full pairwise comparison of strategy types to ensure no overlaps.</w:t>
      </w:r>
    </w:p>
    <w:p w:rsidR="00753C1A" w:rsidRDefault="00753C1A" w:rsidP="00753C1A">
      <w:pPr>
        <w:numPr>
          <w:ilvl w:val="0"/>
          <w:numId w:val="4"/>
        </w:numPr>
        <w:spacing w:after="0" w:line="360" w:lineRule="auto"/>
        <w:rPr>
          <w:rFonts w:ascii="Arial" w:eastAsia="Arial" w:hAnsi="Arial" w:cs="Arial"/>
          <w:sz w:val="24"/>
          <w:szCs w:val="24"/>
        </w:rPr>
      </w:pPr>
      <w:r>
        <w:rPr>
          <w:rFonts w:ascii="Arial" w:eastAsia="Arial" w:hAnsi="Arial" w:cs="Arial"/>
          <w:sz w:val="24"/>
          <w:szCs w:val="24"/>
        </w:rPr>
        <w:t>Functional coherence: Strategies grouped into each type exhibited consistent similarities across purpose, operational emphasis, and resource allocation dimensions.</w:t>
      </w:r>
    </w:p>
    <w:p w:rsidR="00753C1A" w:rsidRDefault="00753C1A" w:rsidP="00753C1A">
      <w:pPr>
        <w:numPr>
          <w:ilvl w:val="0"/>
          <w:numId w:val="4"/>
        </w:numPr>
        <w:spacing w:after="240" w:line="360" w:lineRule="auto"/>
        <w:rPr>
          <w:rFonts w:ascii="Arial" w:eastAsia="Arial" w:hAnsi="Arial" w:cs="Arial"/>
          <w:sz w:val="24"/>
          <w:szCs w:val="24"/>
        </w:rPr>
      </w:pPr>
      <w:r>
        <w:rPr>
          <w:rFonts w:ascii="Arial" w:eastAsia="Arial" w:hAnsi="Arial" w:cs="Arial"/>
          <w:sz w:val="24"/>
          <w:szCs w:val="24"/>
        </w:rPr>
        <w:t>Comprehensive coverage: The typology covers the full diversity of observed strategic interventions across agricultural, forested, and mixed-use post-conflict landscapes.</w:t>
      </w:r>
    </w:p>
    <w:p w:rsidR="00753C1A" w:rsidRDefault="00753C1A" w:rsidP="00753C1A">
      <w:pPr>
        <w:spacing w:before="240" w:after="240" w:line="360" w:lineRule="auto"/>
        <w:jc w:val="both"/>
        <w:rPr>
          <w:rFonts w:ascii="Arial" w:eastAsia="Arial" w:hAnsi="Arial" w:cs="Arial"/>
          <w:sz w:val="24"/>
          <w:szCs w:val="24"/>
        </w:rPr>
      </w:pP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Quality control steps (see Tables Strategies 6, 7, 8):</w:t>
      </w:r>
    </w:p>
    <w:p w:rsidR="00753C1A" w:rsidRDefault="00753C1A" w:rsidP="00753C1A">
      <w:pPr>
        <w:spacing w:before="240" w:after="240" w:line="360" w:lineRule="auto"/>
        <w:jc w:val="both"/>
        <w:rPr>
          <w:rFonts w:ascii="Arial" w:eastAsia="Arial" w:hAnsi="Arial" w:cs="Arial"/>
          <w:sz w:val="16"/>
          <w:szCs w:val="16"/>
        </w:rPr>
      </w:pPr>
      <w:r>
        <w:rPr>
          <w:rFonts w:ascii="Arial" w:eastAsia="Arial" w:hAnsi="Arial" w:cs="Arial"/>
          <w:sz w:val="16"/>
          <w:szCs w:val="16"/>
        </w:rPr>
        <w:t>Table Strategies 6. Full pairwise mutual exclusivity check.</w:t>
      </w:r>
    </w:p>
    <w:tbl>
      <w:tblPr>
        <w:tblW w:w="8835" w:type="dxa"/>
        <w:tblBorders>
          <w:top w:val="nil"/>
          <w:left w:val="nil"/>
          <w:bottom w:val="nil"/>
          <w:right w:val="nil"/>
          <w:insideH w:val="nil"/>
          <w:insideV w:val="nil"/>
        </w:tblBorders>
        <w:tblLayout w:type="fixed"/>
        <w:tblLook w:val="0600" w:firstRow="0" w:lastRow="0" w:firstColumn="0" w:lastColumn="0" w:noHBand="1" w:noVBand="1"/>
      </w:tblPr>
      <w:tblGrid>
        <w:gridCol w:w="2325"/>
        <w:gridCol w:w="2325"/>
        <w:gridCol w:w="1350"/>
        <w:gridCol w:w="2835"/>
      </w:tblGrid>
      <w:tr w:rsidR="00753C1A" w:rsidTr="003A5549">
        <w:trPr>
          <w:trHeight w:val="660"/>
        </w:trPr>
        <w:tc>
          <w:tcPr>
            <w:tcW w:w="2325" w:type="dxa"/>
            <w:tcBorders>
              <w:top w:val="nil"/>
              <w:left w:val="nil"/>
              <w:bottom w:val="nil"/>
              <w:right w:val="nil"/>
            </w:tcBorders>
            <w:shd w:val="clear" w:color="auto" w:fill="A6A6A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t>Type 1</w:t>
            </w:r>
          </w:p>
        </w:tc>
        <w:tc>
          <w:tcPr>
            <w:tcW w:w="2325" w:type="dxa"/>
            <w:tcBorders>
              <w:top w:val="nil"/>
              <w:left w:val="nil"/>
              <w:bottom w:val="nil"/>
              <w:right w:val="nil"/>
            </w:tcBorders>
            <w:shd w:val="clear" w:color="auto" w:fill="A6A6A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t>Type 2</w:t>
            </w:r>
          </w:p>
        </w:tc>
        <w:tc>
          <w:tcPr>
            <w:tcW w:w="1350" w:type="dxa"/>
            <w:tcBorders>
              <w:top w:val="nil"/>
              <w:left w:val="nil"/>
              <w:bottom w:val="nil"/>
              <w:right w:val="nil"/>
            </w:tcBorders>
            <w:shd w:val="clear" w:color="auto" w:fill="A6A6A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b/>
                <w:bCs/>
                <w:sz w:val="16"/>
                <w:szCs w:val="16"/>
              </w:rPr>
            </w:pPr>
            <w:r>
              <w:rPr>
                <w:rFonts w:ascii="Arial" w:eastAsia="Arial" w:hAnsi="Arial" w:cs="Arial"/>
                <w:b/>
                <w:bCs/>
                <w:sz w:val="16"/>
                <w:szCs w:val="16"/>
              </w:rPr>
              <w:t>Risk of Overlap?</w:t>
            </w:r>
          </w:p>
        </w:tc>
        <w:tc>
          <w:tcPr>
            <w:tcW w:w="2835" w:type="dxa"/>
            <w:tcBorders>
              <w:top w:val="nil"/>
              <w:left w:val="nil"/>
              <w:bottom w:val="nil"/>
              <w:right w:val="nil"/>
            </w:tcBorders>
            <w:shd w:val="clear" w:color="auto" w:fill="A6A6A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t>Resolution</w:t>
            </w:r>
          </w:p>
        </w:tc>
      </w:tr>
      <w:tr w:rsidR="00753C1A" w:rsidTr="003A5549">
        <w:trPr>
          <w:trHeight w:val="660"/>
        </w:trPr>
        <w:tc>
          <w:tcPr>
            <w:tcW w:w="2325" w:type="dxa"/>
            <w:tcBorders>
              <w:top w:val="single" w:sz="5" w:space="0" w:color="FFFFFF"/>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Manual Demining</w:t>
            </w:r>
          </w:p>
        </w:tc>
        <w:tc>
          <w:tcPr>
            <w:tcW w:w="2325" w:type="dxa"/>
            <w:tcBorders>
              <w:top w:val="single" w:sz="5" w:space="0" w:color="FFFFFF"/>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Mechanical Demining</w:t>
            </w:r>
          </w:p>
        </w:tc>
        <w:tc>
          <w:tcPr>
            <w:tcW w:w="1350" w:type="dxa"/>
            <w:tcBorders>
              <w:top w:val="single" w:sz="5" w:space="0" w:color="FFFFFF"/>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no</w:t>
            </w:r>
          </w:p>
        </w:tc>
        <w:tc>
          <w:tcPr>
            <w:tcW w:w="2835" w:type="dxa"/>
            <w:tcBorders>
              <w:top w:val="single" w:sz="5" w:space="0" w:color="FFFFFF"/>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different operational methods</w:t>
            </w:r>
          </w:p>
        </w:tc>
      </w:tr>
      <w:tr w:rsidR="00753C1A" w:rsidTr="003A5549">
        <w:trPr>
          <w:trHeight w:val="660"/>
        </w:trPr>
        <w:tc>
          <w:tcPr>
            <w:tcW w:w="232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Manual Demining</w:t>
            </w:r>
          </w:p>
        </w:tc>
        <w:tc>
          <w:tcPr>
            <w:tcW w:w="232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Remote Sensing and Mapping</w:t>
            </w:r>
          </w:p>
        </w:tc>
        <w:tc>
          <w:tcPr>
            <w:tcW w:w="135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no</w:t>
            </w:r>
          </w:p>
        </w:tc>
        <w:tc>
          <w:tcPr>
            <w:tcW w:w="283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different phases</w:t>
            </w:r>
          </w:p>
        </w:tc>
      </w:tr>
      <w:tr w:rsidR="00753C1A" w:rsidTr="003A5549">
        <w:trPr>
          <w:trHeight w:val="660"/>
        </w:trPr>
        <w:tc>
          <w:tcPr>
            <w:tcW w:w="232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lastRenderedPageBreak/>
              <w:t>Manual Demining</w:t>
            </w:r>
          </w:p>
        </w:tc>
        <w:tc>
          <w:tcPr>
            <w:tcW w:w="232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Community-Based Approaches</w:t>
            </w:r>
          </w:p>
        </w:tc>
        <w:tc>
          <w:tcPr>
            <w:tcW w:w="135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no</w:t>
            </w:r>
          </w:p>
        </w:tc>
        <w:tc>
          <w:tcPr>
            <w:tcW w:w="283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different logics</w:t>
            </w:r>
          </w:p>
        </w:tc>
      </w:tr>
      <w:tr w:rsidR="00753C1A" w:rsidTr="003A5549">
        <w:trPr>
          <w:trHeight w:val="660"/>
        </w:trPr>
        <w:tc>
          <w:tcPr>
            <w:tcW w:w="232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Manual Demining</w:t>
            </w:r>
          </w:p>
        </w:tc>
        <w:tc>
          <w:tcPr>
            <w:tcW w:w="232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Ecological Remediation</w:t>
            </w:r>
          </w:p>
        </w:tc>
        <w:tc>
          <w:tcPr>
            <w:tcW w:w="135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no</w:t>
            </w:r>
          </w:p>
        </w:tc>
        <w:tc>
          <w:tcPr>
            <w:tcW w:w="283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different objectives</w:t>
            </w:r>
          </w:p>
        </w:tc>
      </w:tr>
      <w:tr w:rsidR="00753C1A" w:rsidTr="003A5549">
        <w:trPr>
          <w:trHeight w:val="660"/>
        </w:trPr>
        <w:tc>
          <w:tcPr>
            <w:tcW w:w="232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Manual Demining</w:t>
            </w:r>
          </w:p>
        </w:tc>
        <w:tc>
          <w:tcPr>
            <w:tcW w:w="232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Legal/Institutional Frameworks</w:t>
            </w:r>
          </w:p>
        </w:tc>
        <w:tc>
          <w:tcPr>
            <w:tcW w:w="135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no</w:t>
            </w:r>
          </w:p>
        </w:tc>
        <w:tc>
          <w:tcPr>
            <w:tcW w:w="283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different scale</w:t>
            </w:r>
          </w:p>
        </w:tc>
      </w:tr>
      <w:tr w:rsidR="00753C1A" w:rsidTr="003A5549">
        <w:trPr>
          <w:trHeight w:val="660"/>
        </w:trPr>
        <w:tc>
          <w:tcPr>
            <w:tcW w:w="232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Manual Demining</w:t>
            </w:r>
          </w:p>
        </w:tc>
        <w:tc>
          <w:tcPr>
            <w:tcW w:w="232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Post-Conflict Land Zoning</w:t>
            </w:r>
          </w:p>
        </w:tc>
        <w:tc>
          <w:tcPr>
            <w:tcW w:w="135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no</w:t>
            </w:r>
          </w:p>
        </w:tc>
        <w:tc>
          <w:tcPr>
            <w:tcW w:w="283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different purpose</w:t>
            </w:r>
          </w:p>
        </w:tc>
      </w:tr>
      <w:tr w:rsidR="00753C1A" w:rsidTr="003A5549">
        <w:trPr>
          <w:trHeight w:val="660"/>
        </w:trPr>
        <w:tc>
          <w:tcPr>
            <w:tcW w:w="232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Mechanical Demining</w:t>
            </w:r>
          </w:p>
        </w:tc>
        <w:tc>
          <w:tcPr>
            <w:tcW w:w="232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Remote Sensing and Mapping</w:t>
            </w:r>
          </w:p>
        </w:tc>
        <w:tc>
          <w:tcPr>
            <w:tcW w:w="135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no</w:t>
            </w:r>
          </w:p>
        </w:tc>
        <w:tc>
          <w:tcPr>
            <w:tcW w:w="283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different phases</w:t>
            </w:r>
          </w:p>
        </w:tc>
      </w:tr>
      <w:tr w:rsidR="00753C1A" w:rsidTr="003A5549">
        <w:trPr>
          <w:trHeight w:val="660"/>
        </w:trPr>
        <w:tc>
          <w:tcPr>
            <w:tcW w:w="232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Mechanical Demining</w:t>
            </w:r>
          </w:p>
        </w:tc>
        <w:tc>
          <w:tcPr>
            <w:tcW w:w="232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Community-Based Approaches</w:t>
            </w:r>
          </w:p>
        </w:tc>
        <w:tc>
          <w:tcPr>
            <w:tcW w:w="135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no</w:t>
            </w:r>
          </w:p>
        </w:tc>
        <w:tc>
          <w:tcPr>
            <w:tcW w:w="283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different domains</w:t>
            </w:r>
          </w:p>
        </w:tc>
      </w:tr>
      <w:tr w:rsidR="00753C1A" w:rsidTr="003A5549">
        <w:trPr>
          <w:trHeight w:val="660"/>
        </w:trPr>
        <w:tc>
          <w:tcPr>
            <w:tcW w:w="232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Mechanical Demining</w:t>
            </w:r>
          </w:p>
        </w:tc>
        <w:tc>
          <w:tcPr>
            <w:tcW w:w="232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Ecological Remediation</w:t>
            </w:r>
          </w:p>
        </w:tc>
        <w:tc>
          <w:tcPr>
            <w:tcW w:w="135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no</w:t>
            </w:r>
          </w:p>
        </w:tc>
        <w:tc>
          <w:tcPr>
            <w:tcW w:w="283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different goals</w:t>
            </w:r>
          </w:p>
        </w:tc>
      </w:tr>
      <w:tr w:rsidR="00753C1A" w:rsidTr="003A5549">
        <w:trPr>
          <w:trHeight w:val="660"/>
        </w:trPr>
        <w:tc>
          <w:tcPr>
            <w:tcW w:w="232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Mechanical Demining</w:t>
            </w:r>
          </w:p>
        </w:tc>
        <w:tc>
          <w:tcPr>
            <w:tcW w:w="232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Legal/Institutional Frameworks</w:t>
            </w:r>
          </w:p>
        </w:tc>
        <w:tc>
          <w:tcPr>
            <w:tcW w:w="135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no</w:t>
            </w:r>
          </w:p>
        </w:tc>
        <w:tc>
          <w:tcPr>
            <w:tcW w:w="283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different scope</w:t>
            </w:r>
          </w:p>
        </w:tc>
      </w:tr>
      <w:tr w:rsidR="00753C1A" w:rsidTr="003A5549">
        <w:trPr>
          <w:trHeight w:val="660"/>
        </w:trPr>
        <w:tc>
          <w:tcPr>
            <w:tcW w:w="232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Mechanical Demining</w:t>
            </w:r>
          </w:p>
        </w:tc>
        <w:tc>
          <w:tcPr>
            <w:tcW w:w="232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Post-Conflict Land Zoning</w:t>
            </w:r>
          </w:p>
        </w:tc>
        <w:tc>
          <w:tcPr>
            <w:tcW w:w="135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no</w:t>
            </w:r>
          </w:p>
        </w:tc>
        <w:tc>
          <w:tcPr>
            <w:tcW w:w="283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different functional mechanism</w:t>
            </w:r>
          </w:p>
        </w:tc>
      </w:tr>
      <w:tr w:rsidR="00753C1A" w:rsidTr="003A5549">
        <w:trPr>
          <w:trHeight w:val="660"/>
        </w:trPr>
        <w:tc>
          <w:tcPr>
            <w:tcW w:w="232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Remote Sensing and Mapping</w:t>
            </w:r>
          </w:p>
        </w:tc>
        <w:tc>
          <w:tcPr>
            <w:tcW w:w="232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Community-Based Approaches</w:t>
            </w:r>
          </w:p>
        </w:tc>
        <w:tc>
          <w:tcPr>
            <w:tcW w:w="135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no</w:t>
            </w:r>
          </w:p>
        </w:tc>
        <w:tc>
          <w:tcPr>
            <w:tcW w:w="283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surveying vs education</w:t>
            </w:r>
          </w:p>
        </w:tc>
      </w:tr>
      <w:tr w:rsidR="00753C1A" w:rsidTr="003A5549">
        <w:trPr>
          <w:trHeight w:val="660"/>
        </w:trPr>
        <w:tc>
          <w:tcPr>
            <w:tcW w:w="232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Remote Sensing and Mapping</w:t>
            </w:r>
          </w:p>
        </w:tc>
        <w:tc>
          <w:tcPr>
            <w:tcW w:w="232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Ecological Remediation</w:t>
            </w:r>
          </w:p>
        </w:tc>
        <w:tc>
          <w:tcPr>
            <w:tcW w:w="135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no</w:t>
            </w:r>
          </w:p>
        </w:tc>
        <w:tc>
          <w:tcPr>
            <w:tcW w:w="283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technology vs rehabilitation</w:t>
            </w:r>
          </w:p>
        </w:tc>
      </w:tr>
      <w:tr w:rsidR="00753C1A" w:rsidTr="003A5549">
        <w:trPr>
          <w:trHeight w:val="660"/>
        </w:trPr>
        <w:tc>
          <w:tcPr>
            <w:tcW w:w="232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Remote Sensing and Mapping</w:t>
            </w:r>
          </w:p>
        </w:tc>
        <w:tc>
          <w:tcPr>
            <w:tcW w:w="232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Legal/Institutional Frameworks</w:t>
            </w:r>
          </w:p>
        </w:tc>
        <w:tc>
          <w:tcPr>
            <w:tcW w:w="135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no</w:t>
            </w:r>
          </w:p>
        </w:tc>
        <w:tc>
          <w:tcPr>
            <w:tcW w:w="283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operational vs governance</w:t>
            </w:r>
          </w:p>
        </w:tc>
      </w:tr>
      <w:tr w:rsidR="00753C1A" w:rsidTr="003A5549">
        <w:trPr>
          <w:trHeight w:val="660"/>
        </w:trPr>
        <w:tc>
          <w:tcPr>
            <w:tcW w:w="232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Remote Sensing and Mapping</w:t>
            </w:r>
          </w:p>
        </w:tc>
        <w:tc>
          <w:tcPr>
            <w:tcW w:w="232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Post-Conflict Land Zoning</w:t>
            </w:r>
          </w:p>
        </w:tc>
        <w:tc>
          <w:tcPr>
            <w:tcW w:w="135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no</w:t>
            </w:r>
          </w:p>
        </w:tc>
        <w:tc>
          <w:tcPr>
            <w:tcW w:w="283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surveying vs planning</w:t>
            </w:r>
          </w:p>
        </w:tc>
      </w:tr>
      <w:tr w:rsidR="00753C1A" w:rsidTr="003A5549">
        <w:trPr>
          <w:trHeight w:val="660"/>
        </w:trPr>
        <w:tc>
          <w:tcPr>
            <w:tcW w:w="232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lastRenderedPageBreak/>
              <w:t>Community-Based Approaches</w:t>
            </w:r>
          </w:p>
        </w:tc>
        <w:tc>
          <w:tcPr>
            <w:tcW w:w="232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Ecological Remediation</w:t>
            </w:r>
          </w:p>
        </w:tc>
        <w:tc>
          <w:tcPr>
            <w:tcW w:w="135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no</w:t>
            </w:r>
          </w:p>
        </w:tc>
        <w:tc>
          <w:tcPr>
            <w:tcW w:w="283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social resilience vs ecology</w:t>
            </w:r>
          </w:p>
        </w:tc>
      </w:tr>
      <w:tr w:rsidR="00753C1A" w:rsidTr="003A5549">
        <w:trPr>
          <w:trHeight w:val="945"/>
        </w:trPr>
        <w:tc>
          <w:tcPr>
            <w:tcW w:w="232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Community-Based Approaches</w:t>
            </w:r>
          </w:p>
        </w:tc>
        <w:tc>
          <w:tcPr>
            <w:tcW w:w="232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Legal/Institutional Frameworks</w:t>
            </w:r>
          </w:p>
        </w:tc>
        <w:tc>
          <w:tcPr>
            <w:tcW w:w="135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yes</w:t>
            </w:r>
          </w:p>
        </w:tc>
        <w:tc>
          <w:tcPr>
            <w:tcW w:w="283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some interaction resolved based on primary action mechanism</w:t>
            </w:r>
          </w:p>
        </w:tc>
      </w:tr>
      <w:tr w:rsidR="00753C1A" w:rsidTr="003A5549">
        <w:trPr>
          <w:trHeight w:val="660"/>
        </w:trPr>
        <w:tc>
          <w:tcPr>
            <w:tcW w:w="232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Community-Based Approaches</w:t>
            </w:r>
          </w:p>
        </w:tc>
        <w:tc>
          <w:tcPr>
            <w:tcW w:w="232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Post-Conflict Land Zoning</w:t>
            </w:r>
          </w:p>
        </w:tc>
        <w:tc>
          <w:tcPr>
            <w:tcW w:w="135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no</w:t>
            </w:r>
          </w:p>
        </w:tc>
        <w:tc>
          <w:tcPr>
            <w:tcW w:w="283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social vs land use focus</w:t>
            </w:r>
          </w:p>
        </w:tc>
      </w:tr>
      <w:tr w:rsidR="00753C1A" w:rsidTr="003A5549">
        <w:trPr>
          <w:trHeight w:val="660"/>
        </w:trPr>
        <w:tc>
          <w:tcPr>
            <w:tcW w:w="232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Ecological Remediation</w:t>
            </w:r>
          </w:p>
        </w:tc>
        <w:tc>
          <w:tcPr>
            <w:tcW w:w="232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Legal/Institutional Frameworks</w:t>
            </w:r>
          </w:p>
        </w:tc>
        <w:tc>
          <w:tcPr>
            <w:tcW w:w="135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no</w:t>
            </w:r>
          </w:p>
        </w:tc>
        <w:tc>
          <w:tcPr>
            <w:tcW w:w="283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ecology vs governance</w:t>
            </w:r>
          </w:p>
        </w:tc>
      </w:tr>
      <w:tr w:rsidR="00753C1A" w:rsidTr="003A5549">
        <w:trPr>
          <w:trHeight w:val="660"/>
        </w:trPr>
        <w:tc>
          <w:tcPr>
            <w:tcW w:w="232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Ecological Remediation</w:t>
            </w:r>
          </w:p>
        </w:tc>
        <w:tc>
          <w:tcPr>
            <w:tcW w:w="232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Post-Conflict Land Zoning</w:t>
            </w:r>
          </w:p>
        </w:tc>
        <w:tc>
          <w:tcPr>
            <w:tcW w:w="135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no</w:t>
            </w:r>
          </w:p>
        </w:tc>
        <w:tc>
          <w:tcPr>
            <w:tcW w:w="283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ecology vs land zoning</w:t>
            </w:r>
          </w:p>
        </w:tc>
      </w:tr>
      <w:tr w:rsidR="00753C1A" w:rsidTr="003A5549">
        <w:trPr>
          <w:trHeight w:val="660"/>
        </w:trPr>
        <w:tc>
          <w:tcPr>
            <w:tcW w:w="232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Legal/Institutional Frameworks</w:t>
            </w:r>
          </w:p>
        </w:tc>
        <w:tc>
          <w:tcPr>
            <w:tcW w:w="232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Post-Conflict Land Zoning</w:t>
            </w:r>
          </w:p>
        </w:tc>
        <w:tc>
          <w:tcPr>
            <w:tcW w:w="135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no</w:t>
            </w:r>
          </w:p>
        </w:tc>
        <w:tc>
          <w:tcPr>
            <w:tcW w:w="283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governance vs land-use planning</w:t>
            </w:r>
          </w:p>
        </w:tc>
      </w:tr>
    </w:tbl>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 xml:space="preserve"> </w:t>
      </w:r>
    </w:p>
    <w:p w:rsidR="00753C1A" w:rsidRDefault="00753C1A" w:rsidP="00753C1A">
      <w:pPr>
        <w:spacing w:before="240" w:after="240" w:line="360" w:lineRule="auto"/>
        <w:jc w:val="both"/>
        <w:rPr>
          <w:rFonts w:ascii="Arial" w:eastAsia="Arial" w:hAnsi="Arial" w:cs="Arial"/>
          <w:sz w:val="16"/>
          <w:szCs w:val="16"/>
        </w:rPr>
      </w:pPr>
      <w:r>
        <w:rPr>
          <w:rFonts w:ascii="Arial" w:eastAsia="Arial" w:hAnsi="Arial" w:cs="Arial"/>
          <w:sz w:val="16"/>
          <w:szCs w:val="16"/>
        </w:rPr>
        <w:t>Table Strategies 7. Functional coherence review.</w:t>
      </w:r>
    </w:p>
    <w:tbl>
      <w:tblPr>
        <w:tblW w:w="8835" w:type="dxa"/>
        <w:tblBorders>
          <w:top w:val="nil"/>
          <w:left w:val="nil"/>
          <w:bottom w:val="nil"/>
          <w:right w:val="nil"/>
          <w:insideH w:val="nil"/>
          <w:insideV w:val="nil"/>
        </w:tblBorders>
        <w:tblLayout w:type="fixed"/>
        <w:tblLook w:val="0600" w:firstRow="0" w:lastRow="0" w:firstColumn="0" w:lastColumn="0" w:noHBand="1" w:noVBand="1"/>
      </w:tblPr>
      <w:tblGrid>
        <w:gridCol w:w="2400"/>
        <w:gridCol w:w="2190"/>
        <w:gridCol w:w="4245"/>
      </w:tblGrid>
      <w:tr w:rsidR="00753C1A" w:rsidTr="003A5549">
        <w:trPr>
          <w:trHeight w:val="945"/>
        </w:trPr>
        <w:tc>
          <w:tcPr>
            <w:tcW w:w="2400" w:type="dxa"/>
            <w:tcBorders>
              <w:top w:val="nil"/>
              <w:left w:val="nil"/>
              <w:bottom w:val="nil"/>
              <w:right w:val="nil"/>
            </w:tcBorders>
            <w:shd w:val="clear" w:color="auto" w:fill="A6A6A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t>Strategy Type</w:t>
            </w:r>
          </w:p>
        </w:tc>
        <w:tc>
          <w:tcPr>
            <w:tcW w:w="2190" w:type="dxa"/>
            <w:tcBorders>
              <w:top w:val="nil"/>
              <w:left w:val="nil"/>
              <w:bottom w:val="nil"/>
              <w:right w:val="nil"/>
            </w:tcBorders>
            <w:shd w:val="clear" w:color="auto" w:fill="A6A6A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t>Initial internal diversity observed?</w:t>
            </w:r>
          </w:p>
        </w:tc>
        <w:tc>
          <w:tcPr>
            <w:tcW w:w="4245" w:type="dxa"/>
            <w:tcBorders>
              <w:top w:val="nil"/>
              <w:left w:val="nil"/>
              <w:bottom w:val="nil"/>
              <w:right w:val="nil"/>
            </w:tcBorders>
            <w:shd w:val="clear" w:color="auto" w:fill="A6A6A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t>Resolution/ decision</w:t>
            </w:r>
          </w:p>
        </w:tc>
      </w:tr>
      <w:tr w:rsidR="00753C1A" w:rsidTr="003A5549">
        <w:trPr>
          <w:trHeight w:val="375"/>
        </w:trPr>
        <w:tc>
          <w:tcPr>
            <w:tcW w:w="2400" w:type="dxa"/>
            <w:tcBorders>
              <w:top w:val="single" w:sz="5" w:space="0" w:color="FFFFFF"/>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Manual Demining</w:t>
            </w:r>
          </w:p>
        </w:tc>
        <w:tc>
          <w:tcPr>
            <w:tcW w:w="2190" w:type="dxa"/>
            <w:tcBorders>
              <w:top w:val="single" w:sz="5" w:space="0" w:color="FFFFFF"/>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no</w:t>
            </w:r>
          </w:p>
        </w:tc>
        <w:tc>
          <w:tcPr>
            <w:tcW w:w="4245" w:type="dxa"/>
            <w:tcBorders>
              <w:top w:val="single" w:sz="5" w:space="0" w:color="FFFFFF"/>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coherent group</w:t>
            </w:r>
          </w:p>
        </w:tc>
      </w:tr>
      <w:tr w:rsidR="00753C1A" w:rsidTr="003A5549">
        <w:trPr>
          <w:trHeight w:val="375"/>
        </w:trPr>
        <w:tc>
          <w:tcPr>
            <w:tcW w:w="240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Mechanical Demining</w:t>
            </w:r>
          </w:p>
        </w:tc>
        <w:tc>
          <w:tcPr>
            <w:tcW w:w="219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no</w:t>
            </w:r>
          </w:p>
        </w:tc>
        <w:tc>
          <w:tcPr>
            <w:tcW w:w="424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coherent group</w:t>
            </w:r>
          </w:p>
        </w:tc>
      </w:tr>
      <w:tr w:rsidR="00753C1A" w:rsidTr="003A5549">
        <w:trPr>
          <w:trHeight w:val="660"/>
        </w:trPr>
        <w:tc>
          <w:tcPr>
            <w:tcW w:w="240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Remote Sensing and Mapping</w:t>
            </w:r>
          </w:p>
        </w:tc>
        <w:tc>
          <w:tcPr>
            <w:tcW w:w="219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yes</w:t>
            </w:r>
          </w:p>
        </w:tc>
        <w:tc>
          <w:tcPr>
            <w:tcW w:w="424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unified UAVs, AI, GIS under remote detection logic</w:t>
            </w:r>
          </w:p>
        </w:tc>
      </w:tr>
      <w:tr w:rsidR="00753C1A" w:rsidTr="003A5549">
        <w:trPr>
          <w:trHeight w:val="660"/>
        </w:trPr>
        <w:tc>
          <w:tcPr>
            <w:tcW w:w="240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Community-Based Approaches</w:t>
            </w:r>
          </w:p>
        </w:tc>
        <w:tc>
          <w:tcPr>
            <w:tcW w:w="219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yes</w:t>
            </w:r>
          </w:p>
        </w:tc>
        <w:tc>
          <w:tcPr>
            <w:tcW w:w="424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unified risk education and victim support under community empowerment logic</w:t>
            </w:r>
          </w:p>
        </w:tc>
      </w:tr>
      <w:tr w:rsidR="00753C1A" w:rsidTr="003A5549">
        <w:trPr>
          <w:trHeight w:val="660"/>
        </w:trPr>
        <w:tc>
          <w:tcPr>
            <w:tcW w:w="240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Ecological Remediation</w:t>
            </w:r>
          </w:p>
        </w:tc>
        <w:tc>
          <w:tcPr>
            <w:tcW w:w="219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no</w:t>
            </w:r>
          </w:p>
        </w:tc>
        <w:tc>
          <w:tcPr>
            <w:tcW w:w="424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coherent group</w:t>
            </w:r>
          </w:p>
        </w:tc>
      </w:tr>
      <w:tr w:rsidR="00753C1A" w:rsidTr="003A5549">
        <w:trPr>
          <w:trHeight w:val="660"/>
        </w:trPr>
        <w:tc>
          <w:tcPr>
            <w:tcW w:w="240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lastRenderedPageBreak/>
              <w:t>Legal/Institutional Frameworks</w:t>
            </w:r>
          </w:p>
        </w:tc>
        <w:tc>
          <w:tcPr>
            <w:tcW w:w="219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yes</w:t>
            </w:r>
          </w:p>
        </w:tc>
        <w:tc>
          <w:tcPr>
            <w:tcW w:w="424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unified policy and funding coordination under governance logic</w:t>
            </w:r>
          </w:p>
        </w:tc>
      </w:tr>
      <w:tr w:rsidR="00753C1A" w:rsidTr="003A5549">
        <w:trPr>
          <w:trHeight w:val="660"/>
        </w:trPr>
        <w:tc>
          <w:tcPr>
            <w:tcW w:w="240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Post-Conflict Land Zoning</w:t>
            </w:r>
          </w:p>
        </w:tc>
        <w:tc>
          <w:tcPr>
            <w:tcW w:w="219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no</w:t>
            </w:r>
          </w:p>
        </w:tc>
        <w:tc>
          <w:tcPr>
            <w:tcW w:w="424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coherent group</w:t>
            </w:r>
          </w:p>
        </w:tc>
      </w:tr>
    </w:tbl>
    <w:p w:rsidR="00753C1A" w:rsidRDefault="00753C1A" w:rsidP="00753C1A">
      <w:pPr>
        <w:spacing w:before="240" w:after="240" w:line="360" w:lineRule="auto"/>
        <w:jc w:val="both"/>
        <w:rPr>
          <w:rFonts w:ascii="Arial" w:eastAsia="Arial" w:hAnsi="Arial" w:cs="Arial"/>
          <w:sz w:val="24"/>
          <w:szCs w:val="24"/>
        </w:rPr>
      </w:pPr>
    </w:p>
    <w:p w:rsidR="00753C1A" w:rsidRDefault="00753C1A" w:rsidP="00753C1A">
      <w:pPr>
        <w:spacing w:before="240" w:after="240" w:line="360" w:lineRule="auto"/>
        <w:jc w:val="both"/>
        <w:rPr>
          <w:rFonts w:ascii="Arial" w:eastAsia="Arial" w:hAnsi="Arial" w:cs="Arial"/>
          <w:sz w:val="16"/>
          <w:szCs w:val="16"/>
        </w:rPr>
      </w:pPr>
      <w:r>
        <w:rPr>
          <w:rFonts w:ascii="Arial" w:eastAsia="Arial" w:hAnsi="Arial" w:cs="Arial"/>
          <w:sz w:val="16"/>
          <w:szCs w:val="16"/>
        </w:rPr>
        <w:t>Table Strategies 8. Expanded comprehensive coverage.</w:t>
      </w:r>
    </w:p>
    <w:tbl>
      <w:tblPr>
        <w:tblW w:w="8835" w:type="dxa"/>
        <w:tblBorders>
          <w:top w:val="nil"/>
          <w:left w:val="nil"/>
          <w:bottom w:val="nil"/>
          <w:right w:val="nil"/>
          <w:insideH w:val="nil"/>
          <w:insideV w:val="nil"/>
        </w:tblBorders>
        <w:tblLayout w:type="fixed"/>
        <w:tblLook w:val="0600" w:firstRow="0" w:lastRow="0" w:firstColumn="0" w:lastColumn="0" w:noHBand="1" w:noVBand="1"/>
      </w:tblPr>
      <w:tblGrid>
        <w:gridCol w:w="3255"/>
        <w:gridCol w:w="1890"/>
        <w:gridCol w:w="3690"/>
      </w:tblGrid>
      <w:tr w:rsidR="00753C1A" w:rsidTr="003A5549">
        <w:trPr>
          <w:trHeight w:val="660"/>
        </w:trPr>
        <w:tc>
          <w:tcPr>
            <w:tcW w:w="3255" w:type="dxa"/>
            <w:tcBorders>
              <w:top w:val="nil"/>
              <w:left w:val="nil"/>
              <w:bottom w:val="nil"/>
              <w:right w:val="nil"/>
            </w:tcBorders>
            <w:shd w:val="clear" w:color="auto" w:fill="A6A6A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t>Landscape or functional domain</w:t>
            </w:r>
          </w:p>
        </w:tc>
        <w:tc>
          <w:tcPr>
            <w:tcW w:w="1890" w:type="dxa"/>
            <w:tcBorders>
              <w:top w:val="nil"/>
              <w:left w:val="nil"/>
              <w:bottom w:val="nil"/>
              <w:right w:val="nil"/>
            </w:tcBorders>
            <w:shd w:val="clear" w:color="auto" w:fill="A6A6A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t>Represented in typology?</w:t>
            </w:r>
          </w:p>
        </w:tc>
        <w:tc>
          <w:tcPr>
            <w:tcW w:w="3690" w:type="dxa"/>
            <w:tcBorders>
              <w:top w:val="nil"/>
              <w:left w:val="nil"/>
              <w:bottom w:val="nil"/>
              <w:right w:val="nil"/>
            </w:tcBorders>
            <w:shd w:val="clear" w:color="auto" w:fill="A6A6A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t>Primary strategy type(s) addressing It</w:t>
            </w:r>
          </w:p>
        </w:tc>
      </w:tr>
      <w:tr w:rsidR="00753C1A" w:rsidTr="003A5549">
        <w:trPr>
          <w:trHeight w:val="660"/>
        </w:trPr>
        <w:tc>
          <w:tcPr>
            <w:tcW w:w="3255" w:type="dxa"/>
            <w:tcBorders>
              <w:top w:val="single" w:sz="5" w:space="0" w:color="FFFFFF"/>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Manual agricultural demining (Cambodia, Angola)</w:t>
            </w:r>
          </w:p>
        </w:tc>
        <w:tc>
          <w:tcPr>
            <w:tcW w:w="1890" w:type="dxa"/>
            <w:tcBorders>
              <w:top w:val="single" w:sz="5" w:space="0" w:color="FFFFFF"/>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yes</w:t>
            </w:r>
          </w:p>
        </w:tc>
        <w:tc>
          <w:tcPr>
            <w:tcW w:w="3690" w:type="dxa"/>
            <w:tcBorders>
              <w:top w:val="single" w:sz="5" w:space="0" w:color="FFFFFF"/>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Manual Demining</w:t>
            </w:r>
          </w:p>
        </w:tc>
      </w:tr>
      <w:tr w:rsidR="00753C1A" w:rsidTr="003A5549">
        <w:trPr>
          <w:trHeight w:val="660"/>
        </w:trPr>
        <w:tc>
          <w:tcPr>
            <w:tcW w:w="325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Mechanized clearance of large fields (Cambodia)</w:t>
            </w:r>
          </w:p>
        </w:tc>
        <w:tc>
          <w:tcPr>
            <w:tcW w:w="189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yes</w:t>
            </w:r>
          </w:p>
        </w:tc>
        <w:tc>
          <w:tcPr>
            <w:tcW w:w="369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Mechanical Demining</w:t>
            </w:r>
          </w:p>
        </w:tc>
      </w:tr>
      <w:tr w:rsidR="00753C1A" w:rsidTr="003A5549">
        <w:trPr>
          <w:trHeight w:val="660"/>
        </w:trPr>
        <w:tc>
          <w:tcPr>
            <w:tcW w:w="325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Remote risk surveying (Colombia, Ukraine)</w:t>
            </w:r>
          </w:p>
        </w:tc>
        <w:tc>
          <w:tcPr>
            <w:tcW w:w="189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yes</w:t>
            </w:r>
          </w:p>
        </w:tc>
        <w:tc>
          <w:tcPr>
            <w:tcW w:w="369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Remote Sensing and Mapping</w:t>
            </w:r>
          </w:p>
        </w:tc>
      </w:tr>
      <w:tr w:rsidR="00753C1A" w:rsidTr="003A5549">
        <w:trPr>
          <w:trHeight w:val="660"/>
        </w:trPr>
        <w:tc>
          <w:tcPr>
            <w:tcW w:w="325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Community mine risk education (Laos, Mozambique)</w:t>
            </w:r>
          </w:p>
        </w:tc>
        <w:tc>
          <w:tcPr>
            <w:tcW w:w="189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yes</w:t>
            </w:r>
          </w:p>
        </w:tc>
        <w:tc>
          <w:tcPr>
            <w:tcW w:w="369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Community-Based Approaches</w:t>
            </w:r>
          </w:p>
        </w:tc>
      </w:tr>
      <w:tr w:rsidR="00753C1A" w:rsidTr="003A5549">
        <w:trPr>
          <w:trHeight w:val="660"/>
        </w:trPr>
        <w:tc>
          <w:tcPr>
            <w:tcW w:w="325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Victim support and community reintegration (Ukraine)</w:t>
            </w:r>
          </w:p>
        </w:tc>
        <w:tc>
          <w:tcPr>
            <w:tcW w:w="189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yes</w:t>
            </w:r>
          </w:p>
        </w:tc>
        <w:tc>
          <w:tcPr>
            <w:tcW w:w="369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Community-Based Approaches</w:t>
            </w:r>
          </w:p>
        </w:tc>
      </w:tr>
      <w:tr w:rsidR="00753C1A" w:rsidTr="003A5549">
        <w:trPr>
          <w:trHeight w:val="945"/>
        </w:trPr>
        <w:tc>
          <w:tcPr>
            <w:tcW w:w="325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Soil and ecological restoration after clearance (Belgium, Angola)</w:t>
            </w:r>
          </w:p>
        </w:tc>
        <w:tc>
          <w:tcPr>
            <w:tcW w:w="189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yes</w:t>
            </w:r>
          </w:p>
        </w:tc>
        <w:tc>
          <w:tcPr>
            <w:tcW w:w="369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Ecological Remediation</w:t>
            </w:r>
          </w:p>
        </w:tc>
      </w:tr>
      <w:tr w:rsidR="00753C1A" w:rsidTr="003A5549">
        <w:trPr>
          <w:trHeight w:val="660"/>
        </w:trPr>
        <w:tc>
          <w:tcPr>
            <w:tcW w:w="325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Post-clearance forest rehabilitation (Colombia)</w:t>
            </w:r>
          </w:p>
        </w:tc>
        <w:tc>
          <w:tcPr>
            <w:tcW w:w="189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yes</w:t>
            </w:r>
          </w:p>
        </w:tc>
        <w:tc>
          <w:tcPr>
            <w:tcW w:w="369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Ecological Remediation</w:t>
            </w:r>
          </w:p>
        </w:tc>
      </w:tr>
      <w:tr w:rsidR="00753C1A" w:rsidTr="003A5549">
        <w:trPr>
          <w:trHeight w:val="945"/>
        </w:trPr>
        <w:tc>
          <w:tcPr>
            <w:tcW w:w="325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National governance coordination of demining (Cambodia, Ukraine)</w:t>
            </w:r>
          </w:p>
        </w:tc>
        <w:tc>
          <w:tcPr>
            <w:tcW w:w="189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yes</w:t>
            </w:r>
          </w:p>
        </w:tc>
        <w:tc>
          <w:tcPr>
            <w:tcW w:w="369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Legal/Institutional Frameworks</w:t>
            </w:r>
          </w:p>
        </w:tc>
      </w:tr>
      <w:tr w:rsidR="00753C1A" w:rsidTr="003A5549">
        <w:trPr>
          <w:trHeight w:val="945"/>
        </w:trPr>
        <w:tc>
          <w:tcPr>
            <w:tcW w:w="325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Public-private partnership zoning post-war (France "Zone Rouge")</w:t>
            </w:r>
          </w:p>
        </w:tc>
        <w:tc>
          <w:tcPr>
            <w:tcW w:w="189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yes</w:t>
            </w:r>
          </w:p>
        </w:tc>
        <w:tc>
          <w:tcPr>
            <w:tcW w:w="369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Post-Conflict Land Zoning</w:t>
            </w:r>
          </w:p>
        </w:tc>
      </w:tr>
      <w:tr w:rsidR="00753C1A" w:rsidTr="003A5549">
        <w:trPr>
          <w:trHeight w:val="945"/>
        </w:trPr>
        <w:tc>
          <w:tcPr>
            <w:tcW w:w="325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lastRenderedPageBreak/>
              <w:t>Agricultural productivity recovery post-demining (Ukraine)</w:t>
            </w:r>
          </w:p>
        </w:tc>
        <w:tc>
          <w:tcPr>
            <w:tcW w:w="189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yes</w:t>
            </w:r>
          </w:p>
        </w:tc>
        <w:tc>
          <w:tcPr>
            <w:tcW w:w="369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Multiple types: Manual Demining, Ecological Remediation, Land Zoning</w:t>
            </w:r>
          </w:p>
        </w:tc>
      </w:tr>
    </w:tbl>
    <w:p w:rsidR="00753C1A" w:rsidRDefault="00753C1A" w:rsidP="00753C1A">
      <w:pPr>
        <w:spacing w:before="240" w:after="240" w:line="360" w:lineRule="auto"/>
        <w:jc w:val="both"/>
        <w:rPr>
          <w:rFonts w:ascii="Arial" w:eastAsia="Arial" w:hAnsi="Arial" w:cs="Arial"/>
          <w:sz w:val="24"/>
          <w:szCs w:val="24"/>
        </w:rPr>
      </w:pPr>
    </w:p>
    <w:p w:rsidR="00753C1A" w:rsidRDefault="00753C1A" w:rsidP="00753C1A">
      <w:pPr>
        <w:pStyle w:val="Heading3"/>
        <w:rPr>
          <w:rFonts w:ascii="Arial" w:eastAsia="Arial" w:hAnsi="Arial" w:cs="Arial"/>
          <w:sz w:val="24"/>
          <w:szCs w:val="24"/>
        </w:rPr>
      </w:pPr>
      <w:r>
        <w:rPr>
          <w:rFonts w:ascii="Arial" w:eastAsia="Arial" w:hAnsi="Arial" w:cs="Arial"/>
          <w:sz w:val="24"/>
          <w:szCs w:val="24"/>
        </w:rPr>
        <w:t>References S2</w:t>
      </w:r>
    </w:p>
    <w:p w:rsidR="00753C1A" w:rsidRDefault="00753C1A" w:rsidP="00753C1A">
      <w:pPr>
        <w:widowControl w:val="0"/>
        <w:spacing w:after="240" w:line="360" w:lineRule="auto"/>
        <w:ind w:left="720" w:hanging="720"/>
        <w:rPr>
          <w:rFonts w:ascii="Arial" w:eastAsia="Arial" w:hAnsi="Arial" w:cs="Arial"/>
          <w:sz w:val="24"/>
          <w:szCs w:val="24"/>
        </w:rPr>
      </w:pPr>
      <w:bookmarkStart w:id="7" w:name="_heading=h.92ibi4dev6ew" w:colFirst="0" w:colLast="0"/>
      <w:bookmarkEnd w:id="7"/>
      <w:r>
        <w:rPr>
          <w:rFonts w:ascii="Arial" w:eastAsia="Arial" w:hAnsi="Arial" w:cs="Arial"/>
          <w:sz w:val="24"/>
          <w:szCs w:val="24"/>
        </w:rPr>
        <w:t>Alvarez MD (2003) Forests in the time of violence: conservation implications of the Colombian war. Journal of Sustainable Forestry 16: https://doi.org/10.1300/J091v16n03_03</w:t>
      </w:r>
    </w:p>
    <w:p w:rsidR="00753C1A" w:rsidRDefault="00753C1A" w:rsidP="00753C1A">
      <w:pPr>
        <w:widowControl w:val="0"/>
        <w:spacing w:after="240" w:line="360" w:lineRule="auto"/>
        <w:ind w:left="720" w:hanging="720"/>
        <w:rPr>
          <w:rFonts w:ascii="Arial" w:eastAsia="Arial" w:hAnsi="Arial" w:cs="Arial"/>
          <w:sz w:val="24"/>
          <w:szCs w:val="24"/>
        </w:rPr>
      </w:pPr>
      <w:r>
        <w:rPr>
          <w:rFonts w:ascii="Arial" w:eastAsia="Arial" w:hAnsi="Arial" w:cs="Arial"/>
          <w:sz w:val="24"/>
          <w:szCs w:val="24"/>
        </w:rPr>
        <w:t xml:space="preserve">APOPO (2024). APOPO Annual Report 2024. Morogoro, Tanzania. Available at: </w:t>
      </w:r>
      <w:hyperlink r:id="rId5">
        <w:r>
          <w:rPr>
            <w:rFonts w:ascii="Arial" w:eastAsia="Arial" w:hAnsi="Arial" w:cs="Arial"/>
            <w:sz w:val="24"/>
            <w:szCs w:val="24"/>
          </w:rPr>
          <w:t>https://apopo.org/wp-content/uploads/2025/05/APOPO-Annual-Report-2024.pdf</w:t>
        </w:r>
      </w:hyperlink>
    </w:p>
    <w:p w:rsidR="00753C1A" w:rsidRDefault="00753C1A" w:rsidP="00753C1A">
      <w:pPr>
        <w:widowControl w:val="0"/>
        <w:spacing w:after="240" w:line="360" w:lineRule="auto"/>
        <w:ind w:left="720" w:hanging="720"/>
        <w:rPr>
          <w:rFonts w:ascii="Arial" w:eastAsia="Arial" w:hAnsi="Arial" w:cs="Arial"/>
          <w:sz w:val="24"/>
          <w:szCs w:val="24"/>
        </w:rPr>
      </w:pPr>
      <w:r>
        <w:rPr>
          <w:rFonts w:ascii="Arial" w:eastAsia="Arial" w:hAnsi="Arial" w:cs="Arial"/>
          <w:sz w:val="24"/>
          <w:szCs w:val="24"/>
        </w:rPr>
        <w:t>Baselt I, Skejic A, Zindovic B, Bender J (2023) Geologically-driven migration of landmines and explosive remnants of war—a feature focusing on the Western Balkans. Geosciences 13:178. https://doi.org/10.3390/geosciences13060178</w:t>
      </w:r>
    </w:p>
    <w:p w:rsidR="00753C1A" w:rsidRDefault="00753C1A" w:rsidP="00753C1A">
      <w:pPr>
        <w:widowControl w:val="0"/>
        <w:spacing w:after="240" w:line="360" w:lineRule="auto"/>
        <w:ind w:left="720" w:hanging="720"/>
        <w:rPr>
          <w:rFonts w:ascii="Arial" w:eastAsia="Arial" w:hAnsi="Arial" w:cs="Arial"/>
          <w:sz w:val="24"/>
          <w:szCs w:val="24"/>
        </w:rPr>
      </w:pPr>
      <w:r>
        <w:rPr>
          <w:rFonts w:ascii="Arial" w:eastAsia="Arial" w:hAnsi="Arial" w:cs="Arial"/>
          <w:sz w:val="24"/>
          <w:szCs w:val="24"/>
        </w:rPr>
        <w:t>Bautista-Cespedes OV, Willemen L, Castro-Nunez A, Groen TA (2021) The effects of armed conflict on forest cover changes across temporal and spatial scales in the Colombian Amazon. Regional environmental change 21:. https://doi.org/10.1007/s10113-021-01770-6</w:t>
      </w:r>
    </w:p>
    <w:p w:rsidR="00753C1A" w:rsidRDefault="00753C1A" w:rsidP="00753C1A">
      <w:pPr>
        <w:widowControl w:val="0"/>
        <w:spacing w:after="240" w:line="360" w:lineRule="auto"/>
        <w:ind w:left="720" w:hanging="720"/>
        <w:rPr>
          <w:rFonts w:ascii="Arial" w:eastAsia="Arial" w:hAnsi="Arial" w:cs="Arial"/>
          <w:sz w:val="24"/>
          <w:szCs w:val="24"/>
        </w:rPr>
      </w:pPr>
      <w:r>
        <w:rPr>
          <w:rFonts w:ascii="Arial" w:eastAsia="Arial" w:hAnsi="Arial" w:cs="Arial"/>
          <w:sz w:val="24"/>
          <w:szCs w:val="24"/>
        </w:rPr>
        <w:t xml:space="preserve">BHMAC (Bosnia and Herzegovina Mine Action Centre) (2023). Current mine situation and suspected hazardous areas. Sarajevo. Available at: </w:t>
      </w:r>
      <w:hyperlink r:id="rId6">
        <w:r>
          <w:rPr>
            <w:rFonts w:ascii="Arial" w:eastAsia="Arial" w:hAnsi="Arial" w:cs="Arial"/>
            <w:sz w:val="24"/>
            <w:szCs w:val="24"/>
          </w:rPr>
          <w:t>https://www.bhmac.org/</w:t>
        </w:r>
      </w:hyperlink>
    </w:p>
    <w:p w:rsidR="00753C1A" w:rsidRDefault="00753C1A" w:rsidP="00753C1A">
      <w:pPr>
        <w:widowControl w:val="0"/>
        <w:spacing w:after="240" w:line="360" w:lineRule="auto"/>
        <w:ind w:left="720" w:hanging="720"/>
        <w:rPr>
          <w:rFonts w:ascii="Arial" w:eastAsia="Arial" w:hAnsi="Arial" w:cs="Arial"/>
          <w:sz w:val="24"/>
          <w:szCs w:val="24"/>
        </w:rPr>
      </w:pPr>
      <w:r>
        <w:rPr>
          <w:rFonts w:ascii="Arial" w:eastAsia="Arial" w:hAnsi="Arial" w:cs="Arial"/>
          <w:sz w:val="24"/>
          <w:szCs w:val="24"/>
        </w:rPr>
        <w:t>Castro-Nunez A, Mertz O, Buritica A, Sosa CC, Lee ST (2017a) Land related grievances shape tropical forest-cover in areas affected by armed-conflict. Appl Geogr 85:39–50. </w:t>
      </w:r>
      <w:hyperlink r:id="rId7">
        <w:r>
          <w:rPr>
            <w:rFonts w:ascii="Arial" w:eastAsia="Arial" w:hAnsi="Arial" w:cs="Arial"/>
            <w:sz w:val="24"/>
            <w:szCs w:val="24"/>
          </w:rPr>
          <w:t>https://doi.org/10.1016/j.apgeog.2017.05.007</w:t>
        </w:r>
      </w:hyperlink>
    </w:p>
    <w:p w:rsidR="00753C1A" w:rsidRDefault="00753C1A" w:rsidP="00753C1A">
      <w:pPr>
        <w:widowControl w:val="0"/>
        <w:spacing w:after="240" w:line="360" w:lineRule="auto"/>
        <w:ind w:left="720" w:hanging="720"/>
        <w:rPr>
          <w:rFonts w:ascii="Arial" w:eastAsia="Arial" w:hAnsi="Arial" w:cs="Arial"/>
          <w:sz w:val="24"/>
          <w:szCs w:val="24"/>
        </w:rPr>
      </w:pPr>
      <w:r>
        <w:rPr>
          <w:rFonts w:ascii="Arial" w:eastAsia="Arial" w:hAnsi="Arial" w:cs="Arial"/>
          <w:sz w:val="24"/>
          <w:szCs w:val="24"/>
        </w:rPr>
        <w:t xml:space="preserve">Cambodian Mine Action Centre (CMAC) (2023). Annual report 2023. Phnom Penh. Available at: </w:t>
      </w:r>
      <w:hyperlink r:id="rId8">
        <w:r>
          <w:rPr>
            <w:rFonts w:ascii="Arial" w:eastAsia="Arial" w:hAnsi="Arial" w:cs="Arial"/>
            <w:sz w:val="24"/>
            <w:szCs w:val="24"/>
          </w:rPr>
          <w:t>https://www.cmac.gov.kh</w:t>
        </w:r>
      </w:hyperlink>
    </w:p>
    <w:p w:rsidR="00753C1A" w:rsidRDefault="00753C1A" w:rsidP="00753C1A">
      <w:pPr>
        <w:widowControl w:val="0"/>
        <w:spacing w:after="240" w:line="360" w:lineRule="auto"/>
        <w:ind w:left="720" w:hanging="720"/>
        <w:rPr>
          <w:rFonts w:ascii="Arial" w:eastAsia="Arial" w:hAnsi="Arial" w:cs="Arial"/>
          <w:sz w:val="24"/>
          <w:szCs w:val="24"/>
        </w:rPr>
      </w:pPr>
      <w:r>
        <w:rPr>
          <w:rFonts w:ascii="Arial" w:eastAsia="Arial" w:hAnsi="Arial" w:cs="Arial"/>
          <w:sz w:val="24"/>
          <w:szCs w:val="24"/>
        </w:rPr>
        <w:t xml:space="preserve">FSD (Swiss Foundation for Mine Action) (2021). Annual Report 2021. Geneva. Available at: </w:t>
      </w:r>
      <w:hyperlink r:id="rId9">
        <w:r>
          <w:rPr>
            <w:rFonts w:ascii="Arial" w:eastAsia="Arial" w:hAnsi="Arial" w:cs="Arial"/>
            <w:sz w:val="24"/>
            <w:szCs w:val="24"/>
          </w:rPr>
          <w:t>https://fsd.ch</w:t>
        </w:r>
      </w:hyperlink>
    </w:p>
    <w:p w:rsidR="00753C1A" w:rsidRDefault="00753C1A" w:rsidP="00753C1A">
      <w:pPr>
        <w:widowControl w:val="0"/>
        <w:spacing w:after="240" w:line="360" w:lineRule="auto"/>
        <w:ind w:left="720" w:hanging="720"/>
        <w:rPr>
          <w:rFonts w:ascii="Arial" w:eastAsia="Arial" w:hAnsi="Arial" w:cs="Arial"/>
          <w:sz w:val="24"/>
          <w:szCs w:val="24"/>
        </w:rPr>
      </w:pPr>
      <w:r>
        <w:rPr>
          <w:rFonts w:ascii="Arial" w:eastAsia="Arial" w:hAnsi="Arial" w:cs="Arial"/>
          <w:sz w:val="24"/>
          <w:szCs w:val="24"/>
        </w:rPr>
        <w:t xml:space="preserve">Harris G (2000) The economics of landmine clearance: case study of Cambodia. </w:t>
      </w:r>
      <w:r>
        <w:rPr>
          <w:rFonts w:ascii="Arial" w:eastAsia="Arial" w:hAnsi="Arial" w:cs="Arial"/>
          <w:sz w:val="24"/>
          <w:szCs w:val="24"/>
        </w:rPr>
        <w:lastRenderedPageBreak/>
        <w:t>Journal of international development 12:219–225. https://doi.org/10.1002/(SICI)1099-1328(200003)12:2</w:t>
      </w:r>
    </w:p>
    <w:p w:rsidR="00753C1A" w:rsidRDefault="00753C1A" w:rsidP="00753C1A">
      <w:pPr>
        <w:widowControl w:val="0"/>
        <w:spacing w:after="240" w:line="360" w:lineRule="auto"/>
        <w:ind w:left="720" w:hanging="720"/>
        <w:rPr>
          <w:rFonts w:ascii="Arial" w:eastAsia="Arial" w:hAnsi="Arial" w:cs="Arial"/>
          <w:sz w:val="24"/>
          <w:szCs w:val="24"/>
        </w:rPr>
      </w:pPr>
      <w:r>
        <w:rPr>
          <w:rFonts w:ascii="Arial" w:eastAsia="Arial" w:hAnsi="Arial" w:cs="Arial"/>
          <w:sz w:val="24"/>
          <w:szCs w:val="24"/>
        </w:rPr>
        <w:t>Hoffmann C, Márquez JRG, Krueger T (2018) A local perspective on drivers and measures to slow deforestation in the Andean-Amazonian foothills of Colombia. Land use policy 77:379–391. https://doi.org/10.1016/j.landusepol.2018.04.043</w:t>
      </w:r>
    </w:p>
    <w:p w:rsidR="00753C1A" w:rsidRDefault="00753C1A" w:rsidP="00753C1A">
      <w:pPr>
        <w:widowControl w:val="0"/>
        <w:spacing w:after="240" w:line="360" w:lineRule="auto"/>
        <w:ind w:left="720" w:hanging="720"/>
        <w:rPr>
          <w:rFonts w:ascii="Arial" w:eastAsia="Arial" w:hAnsi="Arial" w:cs="Arial"/>
          <w:sz w:val="24"/>
          <w:szCs w:val="24"/>
        </w:rPr>
      </w:pPr>
      <w:r>
        <w:rPr>
          <w:rFonts w:ascii="Arial" w:eastAsia="Arial" w:hAnsi="Arial" w:cs="Arial"/>
          <w:sz w:val="24"/>
          <w:szCs w:val="24"/>
        </w:rPr>
        <w:t>Kohama S, Ohtsuki K, Tominaga Y (2020) Bombing and Mining in War: Evidence from Cambodia. Journal of Global Security Studies 5:319–338. https://doi.org/10.1093/jogss/ogz046</w:t>
      </w:r>
    </w:p>
    <w:p w:rsidR="00753C1A" w:rsidRDefault="00753C1A" w:rsidP="00753C1A">
      <w:pPr>
        <w:widowControl w:val="0"/>
        <w:spacing w:after="240" w:line="360" w:lineRule="auto"/>
        <w:ind w:left="720" w:hanging="720"/>
        <w:rPr>
          <w:rFonts w:ascii="Arial" w:eastAsia="Arial" w:hAnsi="Arial" w:cs="Arial"/>
          <w:sz w:val="24"/>
          <w:szCs w:val="24"/>
        </w:rPr>
      </w:pPr>
      <w:r>
        <w:rPr>
          <w:rFonts w:ascii="Arial" w:eastAsia="Arial" w:hAnsi="Arial" w:cs="Arial"/>
          <w:sz w:val="24"/>
          <w:szCs w:val="24"/>
        </w:rPr>
        <w:t>Le Billon P (2000) The political ecology of transition in Cambodia 1989–1999: war, peace and forest exploitation. Development and change 31:. https://doi.org/10.1111/1467-7660.00177</w:t>
      </w:r>
    </w:p>
    <w:p w:rsidR="00753C1A" w:rsidRDefault="00753C1A" w:rsidP="00753C1A">
      <w:pPr>
        <w:widowControl w:val="0"/>
        <w:spacing w:after="240" w:line="360" w:lineRule="auto"/>
        <w:ind w:left="720" w:hanging="720"/>
        <w:rPr>
          <w:rFonts w:ascii="Arial" w:eastAsia="Arial" w:hAnsi="Arial" w:cs="Arial"/>
          <w:sz w:val="24"/>
          <w:szCs w:val="24"/>
        </w:rPr>
      </w:pPr>
      <w:r>
        <w:rPr>
          <w:rFonts w:ascii="Arial" w:eastAsia="Arial" w:hAnsi="Arial" w:cs="Arial"/>
          <w:sz w:val="24"/>
          <w:szCs w:val="24"/>
        </w:rPr>
        <w:t>Mine Action Review (2022) Clearing The Mines 2022. Mine Action Review. Geneva. https://www.mineactionreview.org/assets/downloads/5268_NPA_Clearing_the_Mines_2022_Web_ART_LV.pdf</w:t>
      </w:r>
    </w:p>
    <w:p w:rsidR="00753C1A" w:rsidRDefault="00753C1A" w:rsidP="00753C1A">
      <w:pPr>
        <w:widowControl w:val="0"/>
        <w:spacing w:after="240" w:line="360" w:lineRule="auto"/>
        <w:ind w:left="720" w:hanging="720"/>
        <w:rPr>
          <w:rFonts w:ascii="Arial" w:eastAsia="Arial" w:hAnsi="Arial" w:cs="Arial"/>
          <w:sz w:val="24"/>
          <w:szCs w:val="24"/>
        </w:rPr>
      </w:pPr>
      <w:r>
        <w:rPr>
          <w:rFonts w:ascii="Arial" w:eastAsia="Arial" w:hAnsi="Arial" w:cs="Arial"/>
          <w:sz w:val="24"/>
          <w:szCs w:val="24"/>
        </w:rPr>
        <w:t>Popay, J., Roberts, H., Sowden, A., Petticrew, M., Arai, L., Rodgers, M., Britten, N., Roen, K. and Duffy, S., 2006. Guidance on the conduct of narrative synthesis in systematic reviews. </w:t>
      </w:r>
      <w:r>
        <w:rPr>
          <w:rFonts w:ascii="Arial" w:eastAsia="Arial" w:hAnsi="Arial" w:cs="Arial"/>
          <w:i/>
          <w:iCs/>
          <w:sz w:val="24"/>
          <w:szCs w:val="24"/>
        </w:rPr>
        <w:t>A product from the ESRC methods programme Version</w:t>
      </w:r>
      <w:r>
        <w:rPr>
          <w:rFonts w:ascii="Arial" w:eastAsia="Arial" w:hAnsi="Arial" w:cs="Arial"/>
          <w:sz w:val="24"/>
          <w:szCs w:val="24"/>
        </w:rPr>
        <w:t>, </w:t>
      </w:r>
      <w:r>
        <w:rPr>
          <w:rFonts w:ascii="Arial" w:eastAsia="Arial" w:hAnsi="Arial" w:cs="Arial"/>
          <w:i/>
          <w:iCs/>
          <w:sz w:val="24"/>
          <w:szCs w:val="24"/>
        </w:rPr>
        <w:t>1</w:t>
      </w:r>
      <w:r>
        <w:rPr>
          <w:rFonts w:ascii="Arial" w:eastAsia="Arial" w:hAnsi="Arial" w:cs="Arial"/>
          <w:sz w:val="24"/>
          <w:szCs w:val="24"/>
        </w:rPr>
        <w:t>(1), p.b92.</w:t>
      </w:r>
    </w:p>
    <w:p w:rsidR="00753C1A" w:rsidRDefault="00753C1A" w:rsidP="00753C1A">
      <w:pPr>
        <w:widowControl w:val="0"/>
        <w:spacing w:after="240" w:line="360" w:lineRule="auto"/>
        <w:ind w:left="720" w:hanging="720"/>
        <w:rPr>
          <w:rFonts w:ascii="Arial" w:eastAsia="Arial" w:hAnsi="Arial" w:cs="Arial"/>
          <w:sz w:val="24"/>
          <w:szCs w:val="24"/>
        </w:rPr>
      </w:pPr>
      <w:r>
        <w:rPr>
          <w:rFonts w:ascii="Arial" w:eastAsia="Arial" w:hAnsi="Arial" w:cs="Arial"/>
          <w:sz w:val="24"/>
          <w:szCs w:val="24"/>
        </w:rPr>
        <w:t>Prahalad, C. K., &amp; Bettis, R. A. (1986). The dominant logic: A new linkage between diversity and performance. Strategic Management Journal, 7(6), 485–501.</w:t>
      </w:r>
    </w:p>
    <w:p w:rsidR="00753C1A" w:rsidRDefault="00753C1A" w:rsidP="00753C1A">
      <w:pPr>
        <w:widowControl w:val="0"/>
        <w:spacing w:after="240" w:line="360" w:lineRule="auto"/>
        <w:ind w:left="720" w:hanging="720"/>
        <w:rPr>
          <w:rFonts w:ascii="Arial" w:eastAsia="Arial" w:hAnsi="Arial" w:cs="Arial"/>
          <w:sz w:val="24"/>
          <w:szCs w:val="24"/>
        </w:rPr>
      </w:pPr>
      <w:r>
        <w:rPr>
          <w:rFonts w:ascii="Arial" w:eastAsia="Arial" w:hAnsi="Arial" w:cs="Arial"/>
          <w:sz w:val="24"/>
          <w:szCs w:val="24"/>
        </w:rPr>
        <w:t>Rampin, R., &amp; Rampin, V. (2021). Taguette: Open-source qualitative data analysis. Journal of Open Source Software, 6(68), 3522. https://doi.org/10.21105/joss.03522</w:t>
      </w:r>
    </w:p>
    <w:p w:rsidR="00753C1A" w:rsidRDefault="00753C1A" w:rsidP="00753C1A">
      <w:pPr>
        <w:widowControl w:val="0"/>
        <w:spacing w:after="240" w:line="360" w:lineRule="auto"/>
        <w:ind w:left="720" w:hanging="720"/>
        <w:rPr>
          <w:rFonts w:ascii="Arial" w:eastAsia="Arial" w:hAnsi="Arial" w:cs="Arial"/>
          <w:sz w:val="24"/>
          <w:szCs w:val="24"/>
        </w:rPr>
      </w:pPr>
      <w:r>
        <w:rPr>
          <w:rFonts w:ascii="Arial" w:eastAsia="Arial" w:hAnsi="Arial" w:cs="Arial"/>
          <w:sz w:val="24"/>
          <w:szCs w:val="24"/>
        </w:rPr>
        <w:t xml:space="preserve">Stelstra, T. (2023). The continuous challenge of demining the Bosnian forests. EUSTAFOR. </w:t>
      </w:r>
      <w:hyperlink r:id="rId10">
        <w:r>
          <w:rPr>
            <w:rFonts w:ascii="Arial" w:eastAsia="Arial" w:hAnsi="Arial" w:cs="Arial"/>
            <w:sz w:val="24"/>
            <w:szCs w:val="24"/>
          </w:rPr>
          <w:t>https://eustafor.eu/the-continuous-challenge-of-demining-the-bosnian-forests/</w:t>
        </w:r>
      </w:hyperlink>
    </w:p>
    <w:p w:rsidR="00753C1A" w:rsidRDefault="00753C1A" w:rsidP="00753C1A">
      <w:pPr>
        <w:widowControl w:val="0"/>
        <w:spacing w:after="240" w:line="360" w:lineRule="auto"/>
        <w:ind w:left="720" w:hanging="720"/>
        <w:rPr>
          <w:rFonts w:ascii="Arial" w:eastAsia="Arial" w:hAnsi="Arial" w:cs="Arial"/>
          <w:sz w:val="24"/>
          <w:szCs w:val="24"/>
        </w:rPr>
      </w:pPr>
      <w:r>
        <w:rPr>
          <w:rFonts w:ascii="Arial" w:eastAsia="Arial" w:hAnsi="Arial" w:cs="Arial"/>
          <w:sz w:val="24"/>
          <w:szCs w:val="24"/>
        </w:rPr>
        <w:t>Thomas, D.R., 2006. A general inductive approach for analyzing qualitative evaluation data. </w:t>
      </w:r>
      <w:r>
        <w:rPr>
          <w:rFonts w:ascii="Arial" w:eastAsia="Arial" w:hAnsi="Arial" w:cs="Arial"/>
          <w:i/>
          <w:iCs/>
          <w:sz w:val="24"/>
          <w:szCs w:val="24"/>
        </w:rPr>
        <w:t>American journal of evaluation</w:t>
      </w:r>
      <w:r>
        <w:rPr>
          <w:rFonts w:ascii="Arial" w:eastAsia="Arial" w:hAnsi="Arial" w:cs="Arial"/>
          <w:sz w:val="24"/>
          <w:szCs w:val="24"/>
        </w:rPr>
        <w:t>, </w:t>
      </w:r>
      <w:r>
        <w:rPr>
          <w:rFonts w:ascii="Arial" w:eastAsia="Arial" w:hAnsi="Arial" w:cs="Arial"/>
          <w:i/>
          <w:iCs/>
          <w:sz w:val="24"/>
          <w:szCs w:val="24"/>
        </w:rPr>
        <w:t>27</w:t>
      </w:r>
      <w:r>
        <w:rPr>
          <w:rFonts w:ascii="Arial" w:eastAsia="Arial" w:hAnsi="Arial" w:cs="Arial"/>
          <w:sz w:val="24"/>
          <w:szCs w:val="24"/>
        </w:rPr>
        <w:t xml:space="preserve">(2), pp.237-246. </w:t>
      </w:r>
      <w:r>
        <w:rPr>
          <w:rFonts w:ascii="Arial" w:eastAsia="Arial" w:hAnsi="Arial" w:cs="Arial"/>
          <w:sz w:val="24"/>
          <w:szCs w:val="24"/>
        </w:rPr>
        <w:lastRenderedPageBreak/>
        <w:t>https://doi.org/10.1177/1098214005283748</w:t>
      </w:r>
    </w:p>
    <w:p w:rsidR="00753C1A" w:rsidRDefault="00753C1A" w:rsidP="00753C1A">
      <w:pPr>
        <w:widowControl w:val="0"/>
        <w:spacing w:after="240" w:line="360" w:lineRule="auto"/>
        <w:ind w:left="720" w:hanging="720"/>
        <w:rPr>
          <w:rFonts w:ascii="Arial" w:eastAsia="Arial" w:hAnsi="Arial" w:cs="Arial"/>
          <w:sz w:val="24"/>
          <w:szCs w:val="24"/>
        </w:rPr>
      </w:pPr>
      <w:r>
        <w:rPr>
          <w:rFonts w:ascii="Arial" w:eastAsia="Arial" w:hAnsi="Arial" w:cs="Arial"/>
          <w:sz w:val="24"/>
          <w:szCs w:val="24"/>
        </w:rPr>
        <w:t>United Nations (1997). Convention on the Prohibition of the Use, Stockpiling, Production and Transfer of Anti-Personnel Mines and on Their Destruction (Anti-Personnel Mine Ban Convention). Ottawa.</w:t>
      </w:r>
    </w:p>
    <w:p w:rsidR="00753C1A" w:rsidRDefault="00753C1A" w:rsidP="00753C1A">
      <w:pPr>
        <w:widowControl w:val="0"/>
        <w:spacing w:after="240" w:line="360" w:lineRule="auto"/>
        <w:ind w:left="720" w:hanging="720"/>
        <w:rPr>
          <w:rFonts w:ascii="Arial" w:eastAsia="Arial" w:hAnsi="Arial" w:cs="Arial"/>
          <w:sz w:val="24"/>
          <w:szCs w:val="24"/>
        </w:rPr>
      </w:pPr>
      <w:r>
        <w:rPr>
          <w:rFonts w:ascii="Arial" w:eastAsia="Arial" w:hAnsi="Arial" w:cs="Arial"/>
          <w:sz w:val="24"/>
          <w:szCs w:val="24"/>
        </w:rPr>
        <w:t>UNDP (United Nations Development Programme) (2024). Mine action and recovery in Ukraine. Kyiv. Available at: https://ukraine.un.org/en/294804-ukraine-community-recovery-fund-report-2024</w:t>
      </w:r>
    </w:p>
    <w:p w:rsidR="00753C1A" w:rsidRDefault="00753C1A" w:rsidP="00753C1A">
      <w:pPr>
        <w:widowControl w:val="0"/>
        <w:spacing w:after="240" w:line="360" w:lineRule="auto"/>
        <w:ind w:left="720" w:hanging="720"/>
        <w:rPr>
          <w:rFonts w:ascii="Arial" w:eastAsia="Arial" w:hAnsi="Arial" w:cs="Arial"/>
          <w:sz w:val="24"/>
          <w:szCs w:val="24"/>
        </w:rPr>
      </w:pPr>
      <w:sdt>
        <w:sdtPr>
          <w:tag w:val="goog_rdk_365"/>
          <w:id w:val="-1037253587"/>
        </w:sdtPr>
        <w:sdtContent>
          <w:r>
            <w:rPr>
              <w:rFonts w:ascii="Arial Unicode MS" w:eastAsia="Arial Unicode MS" w:hAnsi="Arial Unicode MS" w:cs="Arial Unicode MS"/>
              <w:sz w:val="24"/>
              <w:szCs w:val="24"/>
            </w:rPr>
            <w:t>World Bank; Ukraine, Government of; European Union; Nations, United. Ukraine, Third Rapid Damage and Needs Assessment (RDNA3) : February 2022−December 2023 (English). Washington, D.C. World Bank Group. http://documents.worldbank.org/curated/en/099021324115085807</w:t>
          </w:r>
        </w:sdtContent>
      </w:sdt>
      <w:r>
        <w:br w:type="page"/>
      </w:r>
    </w:p>
    <w:p w:rsidR="00753C1A" w:rsidRDefault="00753C1A" w:rsidP="00753C1A">
      <w:pPr>
        <w:pStyle w:val="Heading2"/>
        <w:rPr>
          <w:rFonts w:ascii="Arial" w:eastAsia="Arial" w:hAnsi="Arial" w:cs="Arial"/>
          <w:sz w:val="24"/>
          <w:szCs w:val="24"/>
        </w:rPr>
      </w:pPr>
      <w:r>
        <w:rPr>
          <w:rFonts w:ascii="Arial" w:eastAsia="Arial" w:hAnsi="Arial" w:cs="Arial"/>
          <w:sz w:val="24"/>
          <w:szCs w:val="24"/>
        </w:rPr>
        <w:lastRenderedPageBreak/>
        <w:t>Supplementary Material S3: Stakeholders</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This section provides the methodological foundation and extended documentation for the stakeholder mapping presented in Results section 3.2 of the main text. It outlines the steps taken to identify relevant actors, classify their roles and interactions, and assess exposure to known governance risks. The approach is grounded in polycentric governance theory and draws on both Ukraine-specific sources and comparative post-conflict case studies. The section begins with Table Stakeholders 1, which presents a structured overview of actors involved in Ukraine’s mine action landscape, followed by detailed explanations of each analytical step and the underlying typology of conflict types.</w:t>
      </w:r>
    </w:p>
    <w:p w:rsidR="00753C1A" w:rsidRDefault="00753C1A" w:rsidP="00753C1A">
      <w:pPr>
        <w:spacing w:line="360" w:lineRule="auto"/>
        <w:jc w:val="both"/>
        <w:rPr>
          <w:rFonts w:ascii="Arial" w:eastAsia="Arial" w:hAnsi="Arial" w:cs="Arial"/>
          <w:sz w:val="24"/>
          <w:szCs w:val="24"/>
        </w:rPr>
      </w:pPr>
    </w:p>
    <w:p w:rsidR="00753C1A" w:rsidRDefault="00753C1A" w:rsidP="00753C1A">
      <w:pPr>
        <w:spacing w:line="360" w:lineRule="auto"/>
        <w:jc w:val="both"/>
        <w:rPr>
          <w:rFonts w:ascii="Arial" w:eastAsia="Arial" w:hAnsi="Arial" w:cs="Arial"/>
          <w:sz w:val="24"/>
          <w:szCs w:val="24"/>
        </w:rPr>
      </w:pPr>
      <w:r>
        <w:rPr>
          <w:rFonts w:ascii="Arial" w:eastAsia="Arial" w:hAnsi="Arial" w:cs="Arial"/>
          <w:sz w:val="16"/>
          <w:szCs w:val="16"/>
        </w:rPr>
        <w:t>Table Stakeholders 1. Stakeholder mapping for Ukraine's post-war demining and landscape recovery.</w:t>
      </w:r>
    </w:p>
    <w:tbl>
      <w:tblPr>
        <w:tblW w:w="8835" w:type="dxa"/>
        <w:tblBorders>
          <w:top w:val="nil"/>
          <w:left w:val="nil"/>
          <w:bottom w:val="nil"/>
          <w:right w:val="nil"/>
          <w:insideH w:val="nil"/>
          <w:insideV w:val="nil"/>
        </w:tblBorders>
        <w:tblLayout w:type="fixed"/>
        <w:tblLook w:val="0600" w:firstRow="0" w:lastRow="0" w:firstColumn="0" w:lastColumn="0" w:noHBand="1" w:noVBand="1"/>
      </w:tblPr>
      <w:tblGrid>
        <w:gridCol w:w="1740"/>
        <w:gridCol w:w="2340"/>
        <w:gridCol w:w="2430"/>
        <w:gridCol w:w="2325"/>
      </w:tblGrid>
      <w:tr w:rsidR="00753C1A" w:rsidTr="003A5549">
        <w:trPr>
          <w:trHeight w:val="435"/>
        </w:trPr>
        <w:tc>
          <w:tcPr>
            <w:tcW w:w="1740" w:type="dxa"/>
            <w:tcBorders>
              <w:top w:val="nil"/>
              <w:left w:val="nil"/>
              <w:bottom w:val="nil"/>
              <w:right w:val="nil"/>
            </w:tcBorders>
            <w:shd w:val="clear" w:color="auto" w:fill="A6A6A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t>Actor/ governance level</w:t>
            </w:r>
          </w:p>
        </w:tc>
        <w:tc>
          <w:tcPr>
            <w:tcW w:w="2340" w:type="dxa"/>
            <w:tcBorders>
              <w:top w:val="nil"/>
              <w:left w:val="nil"/>
              <w:bottom w:val="nil"/>
              <w:right w:val="nil"/>
            </w:tcBorders>
            <w:shd w:val="clear" w:color="auto" w:fill="A6A6A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t>Role in demining landscape</w:t>
            </w:r>
          </w:p>
        </w:tc>
        <w:tc>
          <w:tcPr>
            <w:tcW w:w="2430" w:type="dxa"/>
            <w:tcBorders>
              <w:top w:val="nil"/>
              <w:left w:val="nil"/>
              <w:bottom w:val="nil"/>
              <w:right w:val="nil"/>
            </w:tcBorders>
            <w:shd w:val="clear" w:color="auto" w:fill="A6A6A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t>Interaction scope (vertical / horizontal)</w:t>
            </w:r>
          </w:p>
        </w:tc>
        <w:tc>
          <w:tcPr>
            <w:tcW w:w="2325" w:type="dxa"/>
            <w:tcBorders>
              <w:top w:val="nil"/>
              <w:left w:val="nil"/>
              <w:bottom w:val="nil"/>
              <w:right w:val="nil"/>
            </w:tcBorders>
            <w:shd w:val="clear" w:color="auto" w:fill="A6A6A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t>Potential power dynamics and conflicts</w:t>
            </w:r>
          </w:p>
        </w:tc>
      </w:tr>
      <w:tr w:rsidR="00753C1A" w:rsidTr="003A5549">
        <w:trPr>
          <w:trHeight w:val="975"/>
        </w:trPr>
        <w:tc>
          <w:tcPr>
            <w:tcW w:w="1740" w:type="dxa"/>
            <w:tcBorders>
              <w:top w:val="single" w:sz="5" w:space="0" w:color="FFFFFF"/>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t>State Emergency Services (SESU)</w:t>
            </w:r>
          </w:p>
        </w:tc>
        <w:tc>
          <w:tcPr>
            <w:tcW w:w="2340" w:type="dxa"/>
            <w:tcBorders>
              <w:top w:val="single" w:sz="5" w:space="0" w:color="FFFFFF"/>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lead national body for humanitarian demining, manages operational demining, and coordinates provincial branches.</w:t>
            </w:r>
          </w:p>
        </w:tc>
        <w:tc>
          <w:tcPr>
            <w:tcW w:w="2430" w:type="dxa"/>
            <w:tcBorders>
              <w:top w:val="single" w:sz="5" w:space="0" w:color="FFFFFF"/>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vertical (central SESU -&gt; regional SESU); Horizontal (SESU units &lt;-&gt; NGOs, private companies)</w:t>
            </w:r>
          </w:p>
        </w:tc>
        <w:tc>
          <w:tcPr>
            <w:tcW w:w="2325" w:type="dxa"/>
            <w:tcBorders>
              <w:top w:val="single" w:sz="5" w:space="0" w:color="FFFFFF"/>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capacity gaps at oblast level; competition with Armed Forces over priority areas; resource strain.</w:t>
            </w:r>
          </w:p>
        </w:tc>
      </w:tr>
      <w:tr w:rsidR="00753C1A" w:rsidTr="003A5549">
        <w:trPr>
          <w:trHeight w:val="795"/>
        </w:trPr>
        <w:tc>
          <w:tcPr>
            <w:tcW w:w="174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t>Armed Forces of Ukraine</w:t>
            </w:r>
          </w:p>
        </w:tc>
        <w:tc>
          <w:tcPr>
            <w:tcW w:w="234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conduct demining in active and liberated conflict zones; oversee clearance in military zones.</w:t>
            </w:r>
          </w:p>
        </w:tc>
        <w:tc>
          <w:tcPr>
            <w:tcW w:w="243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vertical (military hierarchy); Horizontal (coordination with SESU, NGOs when allowed)</w:t>
            </w:r>
          </w:p>
        </w:tc>
        <w:tc>
          <w:tcPr>
            <w:tcW w:w="232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tension between security-driven and humanitarian priorities; limited transparency with civilian agencies.</w:t>
            </w:r>
          </w:p>
        </w:tc>
      </w:tr>
      <w:tr w:rsidR="00753C1A" w:rsidTr="003A5549">
        <w:trPr>
          <w:trHeight w:val="795"/>
        </w:trPr>
        <w:tc>
          <w:tcPr>
            <w:tcW w:w="174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t>National Mine Action Authority (NMAA)</w:t>
            </w:r>
          </w:p>
        </w:tc>
        <w:tc>
          <w:tcPr>
            <w:tcW w:w="234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defines mine action policy, standards, and oversees coordination between actors.</w:t>
            </w:r>
          </w:p>
        </w:tc>
        <w:tc>
          <w:tcPr>
            <w:tcW w:w="243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vertical (Ministries -&gt; field operators); Horizontal (with SESU, NGOs, donors)</w:t>
            </w:r>
          </w:p>
        </w:tc>
        <w:tc>
          <w:tcPr>
            <w:tcW w:w="232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overlapping mandates with SESU and MoD; competition for strategic leadership and funding flows.</w:t>
            </w:r>
          </w:p>
        </w:tc>
      </w:tr>
      <w:tr w:rsidR="00753C1A" w:rsidTr="003A5549">
        <w:trPr>
          <w:trHeight w:val="795"/>
        </w:trPr>
        <w:tc>
          <w:tcPr>
            <w:tcW w:w="174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t>Humanitarian Demining Centre (under SESU)</w:t>
            </w:r>
          </w:p>
        </w:tc>
        <w:tc>
          <w:tcPr>
            <w:tcW w:w="234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registers operators, supervises non-military mine action, quality control.</w:t>
            </w:r>
          </w:p>
        </w:tc>
        <w:tc>
          <w:tcPr>
            <w:tcW w:w="243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vertical (SESU central -&gt; provincial); Horizontal (with NGOs, private sector)</w:t>
            </w:r>
          </w:p>
        </w:tc>
        <w:tc>
          <w:tcPr>
            <w:tcW w:w="232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possible bureaucratic delays; tension with commercial operators demanding faster licensing.</w:t>
            </w:r>
          </w:p>
        </w:tc>
      </w:tr>
      <w:tr w:rsidR="00753C1A" w:rsidTr="003A5549">
        <w:trPr>
          <w:trHeight w:val="795"/>
        </w:trPr>
        <w:tc>
          <w:tcPr>
            <w:tcW w:w="174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lastRenderedPageBreak/>
              <w:t>HALO Trust (NGO)</w:t>
            </w:r>
          </w:p>
        </w:tc>
        <w:tc>
          <w:tcPr>
            <w:tcW w:w="234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carries out humanitarian clearance, risk education, drone-supported surveys.</w:t>
            </w:r>
          </w:p>
        </w:tc>
        <w:tc>
          <w:tcPr>
            <w:tcW w:w="243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horizontal (with SESU, NMAA, local communities)</w:t>
            </w:r>
          </w:p>
        </w:tc>
        <w:tc>
          <w:tcPr>
            <w:tcW w:w="232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risk of perceived donor-dependence; seen by some as bypassing government control.</w:t>
            </w:r>
          </w:p>
        </w:tc>
      </w:tr>
      <w:tr w:rsidR="00753C1A" w:rsidTr="003A5549">
        <w:trPr>
          <w:trHeight w:val="795"/>
        </w:trPr>
        <w:tc>
          <w:tcPr>
            <w:tcW w:w="174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t>Swiss Foundation for Mine Action (FSD)</w:t>
            </w:r>
          </w:p>
        </w:tc>
        <w:tc>
          <w:tcPr>
            <w:tcW w:w="234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focuses on technological innovation (e.g., UAVs, remote sensing) in clearance.</w:t>
            </w:r>
          </w:p>
        </w:tc>
        <w:tc>
          <w:tcPr>
            <w:tcW w:w="243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horizontal (technical partnerships with Ukrainian operators, NGOs)</w:t>
            </w:r>
          </w:p>
        </w:tc>
        <w:tc>
          <w:tcPr>
            <w:tcW w:w="232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technology outpacing regulatory frameworks; friction with traditional clearance teams.</w:t>
            </w:r>
          </w:p>
        </w:tc>
      </w:tr>
      <w:tr w:rsidR="00753C1A" w:rsidTr="003A5549">
        <w:trPr>
          <w:trHeight w:val="795"/>
        </w:trPr>
        <w:tc>
          <w:tcPr>
            <w:tcW w:w="174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t>Private Demining Companies</w:t>
            </w:r>
          </w:p>
        </w:tc>
        <w:tc>
          <w:tcPr>
            <w:tcW w:w="234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licensed entities providing commercial clearance services via ProZorro auctions.</w:t>
            </w:r>
          </w:p>
        </w:tc>
        <w:tc>
          <w:tcPr>
            <w:tcW w:w="243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vertical (licensed by NMAA); Horizontal (contracted by SESU, regional authorities)</w:t>
            </w:r>
          </w:p>
        </w:tc>
        <w:tc>
          <w:tcPr>
            <w:tcW w:w="232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profit vs. humanitarian imperatives; quality control risks, variable compliance with IMSMA data reporting.</w:t>
            </w:r>
          </w:p>
        </w:tc>
      </w:tr>
      <w:tr w:rsidR="00753C1A" w:rsidTr="003A5549">
        <w:trPr>
          <w:trHeight w:val="975"/>
        </w:trPr>
        <w:tc>
          <w:tcPr>
            <w:tcW w:w="174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t>Ministry of Economy (Ukraine)</w:t>
            </w:r>
          </w:p>
        </w:tc>
        <w:tc>
          <w:tcPr>
            <w:tcW w:w="234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leads integration of demining into economic recovery and land-use planning.</w:t>
            </w:r>
          </w:p>
        </w:tc>
        <w:tc>
          <w:tcPr>
            <w:tcW w:w="243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vertical (economic policy to local land use actors); Horizontal (coordination with agriculture, environment ministries)</w:t>
            </w:r>
          </w:p>
        </w:tc>
        <w:tc>
          <w:tcPr>
            <w:tcW w:w="232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pressure to prioritize economic productivity over environmental or community considerations.</w:t>
            </w:r>
          </w:p>
        </w:tc>
      </w:tr>
      <w:tr w:rsidR="00753C1A" w:rsidTr="003A5549">
        <w:trPr>
          <w:trHeight w:val="795"/>
        </w:trPr>
        <w:tc>
          <w:tcPr>
            <w:tcW w:w="174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t>UNDP Ukraine</w:t>
            </w:r>
          </w:p>
        </w:tc>
        <w:tc>
          <w:tcPr>
            <w:tcW w:w="234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coordinates international support through mine action cluster; capacity building and funding channeling.</w:t>
            </w:r>
          </w:p>
        </w:tc>
        <w:tc>
          <w:tcPr>
            <w:tcW w:w="243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horizontal (government &lt;-&gt; donors, NGOs); Vertical (global UNDP system -&gt; Ukraine)</w:t>
            </w:r>
          </w:p>
        </w:tc>
        <w:tc>
          <w:tcPr>
            <w:tcW w:w="232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risk of establishing parallel coordination systems; legitimacy concerns if national ownership weakens.</w:t>
            </w:r>
          </w:p>
        </w:tc>
      </w:tr>
      <w:tr w:rsidR="00753C1A" w:rsidTr="003A5549">
        <w:trPr>
          <w:trHeight w:val="795"/>
        </w:trPr>
        <w:tc>
          <w:tcPr>
            <w:tcW w:w="174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t>Donor States / Multilateral Agencies (EU, USAID, ECHO)</w:t>
            </w:r>
          </w:p>
        </w:tc>
        <w:tc>
          <w:tcPr>
            <w:tcW w:w="234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provide financial support, strategic direction, and technical expertise.</w:t>
            </w:r>
          </w:p>
        </w:tc>
        <w:tc>
          <w:tcPr>
            <w:tcW w:w="243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vertical (donor -&gt; project implementers); Horizontal (coordination among donors)</w:t>
            </w:r>
          </w:p>
        </w:tc>
        <w:tc>
          <w:tcPr>
            <w:tcW w:w="232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donor fragmentation; focus on short-term results over systemic, adaptive governance.</w:t>
            </w:r>
          </w:p>
        </w:tc>
      </w:tr>
      <w:tr w:rsidR="00753C1A" w:rsidTr="003A5549">
        <w:trPr>
          <w:trHeight w:val="795"/>
        </w:trPr>
        <w:tc>
          <w:tcPr>
            <w:tcW w:w="174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t>Local Communities and Farmers</w:t>
            </w:r>
          </w:p>
        </w:tc>
        <w:tc>
          <w:tcPr>
            <w:tcW w:w="234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primary land users and direct beneficiaries of clearance; informal reporting and monitoring.</w:t>
            </w:r>
          </w:p>
        </w:tc>
        <w:tc>
          <w:tcPr>
            <w:tcW w:w="243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local scale; informal governance; occasional participation in risk education programs.</w:t>
            </w:r>
          </w:p>
        </w:tc>
        <w:tc>
          <w:tcPr>
            <w:tcW w:w="232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often excluded from planning; disputes over land restitution after clearance; vulnerable to elite capture.</w:t>
            </w:r>
          </w:p>
        </w:tc>
      </w:tr>
    </w:tbl>
    <w:p w:rsidR="00753C1A" w:rsidRDefault="00753C1A" w:rsidP="00753C1A">
      <w:pPr>
        <w:spacing w:line="360" w:lineRule="auto"/>
        <w:jc w:val="both"/>
        <w:rPr>
          <w:rFonts w:ascii="Arial" w:eastAsia="Arial" w:hAnsi="Arial" w:cs="Arial"/>
          <w:sz w:val="24"/>
          <w:szCs w:val="24"/>
        </w:rPr>
      </w:pPr>
    </w:p>
    <w:p w:rsidR="00753C1A" w:rsidRDefault="00753C1A" w:rsidP="00753C1A">
      <w:pPr>
        <w:spacing w:after="240" w:line="360" w:lineRule="auto"/>
        <w:rPr>
          <w:rFonts w:ascii="Arial" w:eastAsia="Arial" w:hAnsi="Arial" w:cs="Arial"/>
          <w:sz w:val="24"/>
          <w:szCs w:val="24"/>
        </w:rPr>
      </w:pPr>
    </w:p>
    <w:p w:rsidR="00753C1A" w:rsidRDefault="00753C1A" w:rsidP="00753C1A">
      <w:pPr>
        <w:spacing w:line="360" w:lineRule="auto"/>
        <w:jc w:val="both"/>
        <w:rPr>
          <w:rFonts w:ascii="Arial" w:eastAsia="Arial" w:hAnsi="Arial" w:cs="Arial"/>
          <w:sz w:val="24"/>
          <w:szCs w:val="24"/>
        </w:rPr>
      </w:pPr>
      <w:r>
        <w:rPr>
          <w:rFonts w:ascii="Arial" w:eastAsia="Arial" w:hAnsi="Arial" w:cs="Arial"/>
          <w:sz w:val="24"/>
          <w:szCs w:val="24"/>
        </w:rPr>
        <w:t xml:space="preserve">Table Stakeholders 1 provides an overview of key stakeholders involved in Ukraine’s post-war demining and land recovery efforts, structured by governance level, primary roles, interaction scope, and potential power dynamics. This mapping reflects the </w:t>
      </w:r>
      <w:r>
        <w:rPr>
          <w:rFonts w:ascii="Arial" w:eastAsia="Arial" w:hAnsi="Arial" w:cs="Arial"/>
          <w:sz w:val="24"/>
          <w:szCs w:val="24"/>
        </w:rPr>
        <w:lastRenderedPageBreak/>
        <w:t>increasingly complex, multi-level governance environment emerging in Ukraine, where national, regional, and international actors operate across overlapping mandates. Role descriptions and conflict assessments were derived from the World Bank (2025) Ukraine Country Report and the Mine Action Review (2022), and triangulated with empirical insights from global demining cases in Cambodia, Colombia, Bosnia, and Croatia. Actor interactions are characterized using the lens of polycentric environmental governance, which emphasizes dispersed authority and the coordination challenges arising across sectors such as defense, humanitarian aid, environment, and economic recovery. The table highlights not only formal responsibilities, but also points of tension, such as fragmented mandates, donor-driven prioritization, or the exclusion of local communities, that shape the operational and strategic landscape of mine action. Acronyms used: SESU = State Emergency Services of Ukraine; NMAA = National Mine Action Authority; MoD = Ministry of Defence; UAV = Unmanned Aerial Vehicle; IMSMA = Information Management System for Mine Action.</w:t>
      </w:r>
    </w:p>
    <w:p w:rsidR="00753C1A" w:rsidRDefault="00753C1A" w:rsidP="00753C1A">
      <w:pPr>
        <w:spacing w:line="360" w:lineRule="auto"/>
        <w:jc w:val="both"/>
        <w:rPr>
          <w:rFonts w:ascii="Arial" w:eastAsia="Arial" w:hAnsi="Arial" w:cs="Arial"/>
          <w:sz w:val="24"/>
          <w:szCs w:val="24"/>
        </w:rPr>
      </w:pPr>
    </w:p>
    <w:p w:rsidR="00753C1A" w:rsidRDefault="00753C1A" w:rsidP="00753C1A">
      <w:pPr>
        <w:pStyle w:val="Heading3"/>
        <w:rPr>
          <w:rFonts w:ascii="Arial" w:eastAsia="Arial" w:hAnsi="Arial" w:cs="Arial"/>
          <w:b/>
          <w:bCs/>
          <w:color w:val="506E96"/>
          <w:sz w:val="24"/>
          <w:szCs w:val="24"/>
        </w:rPr>
      </w:pPr>
      <w:r>
        <w:rPr>
          <w:rFonts w:ascii="Arial" w:eastAsia="Arial" w:hAnsi="Arial" w:cs="Arial"/>
          <w:b/>
          <w:bCs/>
          <w:color w:val="506E96"/>
          <w:sz w:val="24"/>
          <w:szCs w:val="24"/>
        </w:rPr>
        <w:t>S3.1. Power dynamics and interactions</w:t>
      </w:r>
    </w:p>
    <w:p w:rsidR="00753C1A" w:rsidRDefault="00753C1A" w:rsidP="00753C1A">
      <w:pPr>
        <w:spacing w:line="360" w:lineRule="auto"/>
      </w:pPr>
    </w:p>
    <w:p w:rsidR="00753C1A" w:rsidRDefault="00753C1A" w:rsidP="00753C1A">
      <w:pPr>
        <w:spacing w:line="360" w:lineRule="auto"/>
        <w:rPr>
          <w:rFonts w:ascii="Arial" w:eastAsia="Arial" w:hAnsi="Arial" w:cs="Arial"/>
          <w:sz w:val="24"/>
          <w:szCs w:val="24"/>
        </w:rPr>
      </w:pPr>
      <w:r>
        <w:rPr>
          <w:rFonts w:ascii="Arial" w:eastAsia="Arial" w:hAnsi="Arial" w:cs="Arial"/>
          <w:sz w:val="24"/>
          <w:szCs w:val="24"/>
        </w:rPr>
        <w:t>This supplementary material details the procedure used to assess potential power dynamics and conflicts among stakeholders involved in Ukraine’s post-war mine action governance. Actor roles and interaction patterns were systematically matched against seven governance conflict types (cf. Table 1), synthesized from comparative studies of demining and post-conflict recovery in Cambodia, Colombia, Bosnia, and Croatia. Risks were identified by cross-referencing actor functions with empirically observed patterns of fragmentation, competition, exclusion, and misalignment characteristic of polycentric governance systems. Here we provide the list of conflict types and the full actor-to-conflict mapping table that inform the stakeholder overview presented in Section 4.3. (Table 3) of the main text.</w:t>
      </w:r>
    </w:p>
    <w:p w:rsidR="00753C1A" w:rsidRDefault="00753C1A" w:rsidP="00753C1A"/>
    <w:p w:rsidR="00753C1A" w:rsidRDefault="00753C1A" w:rsidP="00753C1A"/>
    <w:p w:rsidR="00753C1A" w:rsidRDefault="00753C1A" w:rsidP="00753C1A">
      <w:pPr>
        <w:pStyle w:val="Heading4"/>
        <w:rPr>
          <w:rFonts w:ascii="Arial" w:eastAsia="Arial" w:hAnsi="Arial" w:cs="Arial"/>
          <w:b/>
          <w:bCs/>
          <w:color w:val="506E96"/>
          <w:sz w:val="24"/>
          <w:szCs w:val="24"/>
        </w:rPr>
      </w:pPr>
      <w:r>
        <w:rPr>
          <w:rFonts w:ascii="Arial" w:eastAsia="Arial" w:hAnsi="Arial" w:cs="Arial"/>
          <w:b/>
          <w:bCs/>
          <w:color w:val="506E96"/>
          <w:sz w:val="24"/>
          <w:szCs w:val="24"/>
        </w:rPr>
        <w:t>S3.1.1. Actor extraction and categorization by governance level</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 xml:space="preserve">To construct the stakeholder overview, we first extracted all actors explicitly mentioned in the World Bank (2025) Ukraine Country Report and Mine Action Review (2022). </w:t>
      </w:r>
      <w:r>
        <w:rPr>
          <w:rFonts w:ascii="Arial" w:eastAsia="Arial" w:hAnsi="Arial" w:cs="Arial"/>
          <w:sz w:val="24"/>
          <w:szCs w:val="24"/>
        </w:rPr>
        <w:lastRenderedPageBreak/>
        <w:t>Actors were then categorized by their primary governance level (national, local, international), reflecting their formal mandate and sphere of authority in Ukraine's mine action landscape. This classification provides the initial structure for subsequent mapping (Table Stakeholders 2).</w:t>
      </w:r>
    </w:p>
    <w:p w:rsidR="00753C1A" w:rsidRDefault="00753C1A" w:rsidP="00753C1A">
      <w:pPr>
        <w:spacing w:line="360" w:lineRule="auto"/>
        <w:rPr>
          <w:rFonts w:ascii="Arial" w:eastAsia="Arial" w:hAnsi="Arial" w:cs="Arial"/>
          <w:sz w:val="16"/>
          <w:szCs w:val="16"/>
        </w:rPr>
      </w:pPr>
      <w:r>
        <w:rPr>
          <w:rFonts w:ascii="Arial" w:eastAsia="Arial" w:hAnsi="Arial" w:cs="Arial"/>
          <w:sz w:val="16"/>
          <w:szCs w:val="16"/>
        </w:rPr>
        <w:t>Table Stakeholders 2. Actor extraction and categorisation by governance level.</w:t>
      </w:r>
    </w:p>
    <w:tbl>
      <w:tblPr>
        <w:tblW w:w="6225" w:type="dxa"/>
        <w:tblBorders>
          <w:top w:val="nil"/>
          <w:left w:val="nil"/>
          <w:bottom w:val="nil"/>
          <w:right w:val="nil"/>
          <w:insideH w:val="nil"/>
          <w:insideV w:val="nil"/>
        </w:tblBorders>
        <w:tblLayout w:type="fixed"/>
        <w:tblLook w:val="0600" w:firstRow="0" w:lastRow="0" w:firstColumn="0" w:lastColumn="0" w:noHBand="1" w:noVBand="1"/>
      </w:tblPr>
      <w:tblGrid>
        <w:gridCol w:w="3420"/>
        <w:gridCol w:w="2805"/>
      </w:tblGrid>
      <w:tr w:rsidR="00753C1A" w:rsidTr="003A5549">
        <w:trPr>
          <w:trHeight w:val="270"/>
        </w:trPr>
        <w:tc>
          <w:tcPr>
            <w:tcW w:w="3420" w:type="dxa"/>
            <w:tcBorders>
              <w:top w:val="nil"/>
              <w:left w:val="nil"/>
              <w:bottom w:val="nil"/>
              <w:right w:val="nil"/>
            </w:tcBorders>
            <w:shd w:val="clear" w:color="auto" w:fill="A6A6A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b/>
                <w:bCs/>
                <w:sz w:val="16"/>
                <w:szCs w:val="16"/>
              </w:rPr>
            </w:pPr>
            <w:r>
              <w:rPr>
                <w:rFonts w:ascii="Arial" w:eastAsia="Arial" w:hAnsi="Arial" w:cs="Arial"/>
                <w:b/>
                <w:bCs/>
                <w:sz w:val="16"/>
                <w:szCs w:val="16"/>
              </w:rPr>
              <w:t>Actor name</w:t>
            </w:r>
          </w:p>
        </w:tc>
        <w:tc>
          <w:tcPr>
            <w:tcW w:w="2805" w:type="dxa"/>
            <w:tcBorders>
              <w:top w:val="nil"/>
              <w:left w:val="nil"/>
              <w:bottom w:val="nil"/>
              <w:right w:val="nil"/>
            </w:tcBorders>
            <w:shd w:val="clear" w:color="auto" w:fill="A6A6A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b/>
                <w:bCs/>
                <w:sz w:val="16"/>
                <w:szCs w:val="16"/>
              </w:rPr>
            </w:pPr>
            <w:r>
              <w:rPr>
                <w:rFonts w:ascii="Arial" w:eastAsia="Arial" w:hAnsi="Arial" w:cs="Arial"/>
                <w:b/>
                <w:bCs/>
                <w:sz w:val="16"/>
                <w:szCs w:val="16"/>
              </w:rPr>
              <w:t>Governance level</w:t>
            </w:r>
          </w:p>
        </w:tc>
      </w:tr>
      <w:tr w:rsidR="00753C1A" w:rsidTr="003A5549">
        <w:trPr>
          <w:trHeight w:val="270"/>
        </w:trPr>
        <w:tc>
          <w:tcPr>
            <w:tcW w:w="3420" w:type="dxa"/>
            <w:tcBorders>
              <w:top w:val="single" w:sz="5" w:space="0" w:color="FFFFFF"/>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t>State Emergency Services (SESU)</w:t>
            </w:r>
          </w:p>
        </w:tc>
        <w:tc>
          <w:tcPr>
            <w:tcW w:w="2805" w:type="dxa"/>
            <w:tcBorders>
              <w:top w:val="single" w:sz="5" w:space="0" w:color="FFFFFF"/>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t>national</w:t>
            </w:r>
          </w:p>
        </w:tc>
      </w:tr>
      <w:tr w:rsidR="00753C1A" w:rsidTr="003A5549">
        <w:trPr>
          <w:trHeight w:val="270"/>
        </w:trPr>
        <w:tc>
          <w:tcPr>
            <w:tcW w:w="342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t>Armed Forces of Ukraine</w:t>
            </w:r>
          </w:p>
        </w:tc>
        <w:tc>
          <w:tcPr>
            <w:tcW w:w="280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t>national</w:t>
            </w:r>
          </w:p>
        </w:tc>
      </w:tr>
      <w:tr w:rsidR="00753C1A" w:rsidTr="003A5549">
        <w:trPr>
          <w:trHeight w:val="270"/>
        </w:trPr>
        <w:tc>
          <w:tcPr>
            <w:tcW w:w="342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t>National Mine Action Authority (NMAA)</w:t>
            </w:r>
          </w:p>
        </w:tc>
        <w:tc>
          <w:tcPr>
            <w:tcW w:w="280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t>national</w:t>
            </w:r>
          </w:p>
        </w:tc>
      </w:tr>
      <w:tr w:rsidR="00753C1A" w:rsidTr="003A5549">
        <w:trPr>
          <w:trHeight w:val="270"/>
        </w:trPr>
        <w:tc>
          <w:tcPr>
            <w:tcW w:w="342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t>Humanitarian Demining Centre (under SESU)</w:t>
            </w:r>
          </w:p>
        </w:tc>
        <w:tc>
          <w:tcPr>
            <w:tcW w:w="280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t>national</w:t>
            </w:r>
          </w:p>
        </w:tc>
      </w:tr>
      <w:tr w:rsidR="00753C1A" w:rsidTr="003A5549">
        <w:trPr>
          <w:trHeight w:val="270"/>
        </w:trPr>
        <w:tc>
          <w:tcPr>
            <w:tcW w:w="342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t>HALO Trust (NGO)</w:t>
            </w:r>
          </w:p>
        </w:tc>
        <w:tc>
          <w:tcPr>
            <w:tcW w:w="280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t>international (operational in Ukraine)</w:t>
            </w:r>
          </w:p>
        </w:tc>
      </w:tr>
      <w:tr w:rsidR="00753C1A" w:rsidTr="003A5549">
        <w:trPr>
          <w:trHeight w:val="270"/>
        </w:trPr>
        <w:tc>
          <w:tcPr>
            <w:tcW w:w="342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t>Swiss Foundation for Mine Action (FSD)</w:t>
            </w:r>
          </w:p>
        </w:tc>
        <w:tc>
          <w:tcPr>
            <w:tcW w:w="280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t>international (operational in Ukraine)</w:t>
            </w:r>
          </w:p>
        </w:tc>
      </w:tr>
      <w:tr w:rsidR="00753C1A" w:rsidTr="003A5549">
        <w:trPr>
          <w:trHeight w:val="270"/>
        </w:trPr>
        <w:tc>
          <w:tcPr>
            <w:tcW w:w="342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t>Private Demining Companies</w:t>
            </w:r>
          </w:p>
        </w:tc>
        <w:tc>
          <w:tcPr>
            <w:tcW w:w="280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t>private sector (licensed nationally)</w:t>
            </w:r>
          </w:p>
        </w:tc>
      </w:tr>
      <w:tr w:rsidR="00753C1A" w:rsidTr="003A5549">
        <w:trPr>
          <w:trHeight w:val="270"/>
        </w:trPr>
        <w:tc>
          <w:tcPr>
            <w:tcW w:w="342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t>Ministry of Economy (Ukraine)</w:t>
            </w:r>
          </w:p>
        </w:tc>
        <w:tc>
          <w:tcPr>
            <w:tcW w:w="280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t>national</w:t>
            </w:r>
          </w:p>
        </w:tc>
      </w:tr>
      <w:tr w:rsidR="00753C1A" w:rsidTr="003A5549">
        <w:trPr>
          <w:trHeight w:val="270"/>
        </w:trPr>
        <w:tc>
          <w:tcPr>
            <w:tcW w:w="342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t>UNDP Ukraine</w:t>
            </w:r>
          </w:p>
        </w:tc>
        <w:tc>
          <w:tcPr>
            <w:tcW w:w="280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t>international organization</w:t>
            </w:r>
          </w:p>
        </w:tc>
      </w:tr>
      <w:tr w:rsidR="00753C1A" w:rsidTr="003A5549">
        <w:trPr>
          <w:trHeight w:val="270"/>
        </w:trPr>
        <w:tc>
          <w:tcPr>
            <w:tcW w:w="342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t>Donor States (EU, USAID, UN ECHO, etc.)</w:t>
            </w:r>
          </w:p>
        </w:tc>
        <w:tc>
          <w:tcPr>
            <w:tcW w:w="280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t>international (funders)</w:t>
            </w:r>
          </w:p>
        </w:tc>
      </w:tr>
      <w:tr w:rsidR="00753C1A" w:rsidTr="003A5549">
        <w:trPr>
          <w:trHeight w:val="270"/>
        </w:trPr>
        <w:tc>
          <w:tcPr>
            <w:tcW w:w="342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t>Local Communities and Farmers</w:t>
            </w:r>
          </w:p>
        </w:tc>
        <w:tc>
          <w:tcPr>
            <w:tcW w:w="280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t>local</w:t>
            </w:r>
          </w:p>
        </w:tc>
      </w:tr>
    </w:tbl>
    <w:p w:rsidR="00753C1A" w:rsidRDefault="00753C1A" w:rsidP="00753C1A">
      <w:pPr>
        <w:spacing w:line="360" w:lineRule="auto"/>
        <w:rPr>
          <w:rFonts w:ascii="Arial" w:eastAsia="Arial" w:hAnsi="Arial" w:cs="Arial"/>
          <w:sz w:val="16"/>
          <w:szCs w:val="16"/>
        </w:rPr>
      </w:pPr>
    </w:p>
    <w:p w:rsidR="00753C1A" w:rsidRDefault="00753C1A" w:rsidP="00753C1A">
      <w:pPr>
        <w:spacing w:line="360" w:lineRule="auto"/>
        <w:rPr>
          <w:rFonts w:ascii="Arial" w:eastAsia="Arial" w:hAnsi="Arial" w:cs="Arial"/>
          <w:sz w:val="16"/>
          <w:szCs w:val="16"/>
        </w:rPr>
      </w:pPr>
    </w:p>
    <w:p w:rsidR="00753C1A" w:rsidRDefault="00753C1A" w:rsidP="00753C1A">
      <w:pPr>
        <w:pStyle w:val="Heading4"/>
        <w:rPr>
          <w:rFonts w:ascii="Arial" w:eastAsia="Arial" w:hAnsi="Arial" w:cs="Arial"/>
          <w:b/>
          <w:bCs/>
          <w:color w:val="506E96"/>
          <w:sz w:val="24"/>
          <w:szCs w:val="24"/>
        </w:rPr>
      </w:pPr>
      <w:r>
        <w:rPr>
          <w:rFonts w:ascii="Arial" w:eastAsia="Arial" w:hAnsi="Arial" w:cs="Arial"/>
          <w:b/>
          <w:bCs/>
          <w:color w:val="506E96"/>
          <w:sz w:val="24"/>
          <w:szCs w:val="24"/>
        </w:rPr>
        <w:lastRenderedPageBreak/>
        <w:t>S3.1.2. Identifying main functions in mine action</w:t>
      </w:r>
    </w:p>
    <w:p w:rsidR="00753C1A" w:rsidRDefault="00753C1A" w:rsidP="00753C1A"/>
    <w:p w:rsidR="00753C1A" w:rsidRDefault="00753C1A" w:rsidP="00753C1A">
      <w:pPr>
        <w:spacing w:line="360" w:lineRule="auto"/>
        <w:rPr>
          <w:rFonts w:ascii="Arial" w:eastAsia="Arial" w:hAnsi="Arial" w:cs="Arial"/>
          <w:sz w:val="24"/>
          <w:szCs w:val="24"/>
        </w:rPr>
      </w:pPr>
      <w:r>
        <w:rPr>
          <w:rFonts w:ascii="Arial" w:eastAsia="Arial" w:hAnsi="Arial" w:cs="Arial"/>
          <w:sz w:val="24"/>
          <w:szCs w:val="24"/>
        </w:rPr>
        <w:t>Each actor’s main functions were identified based on descriptions of their operational focus, strategic role, or support activities in the two primary reports. Functions were grouped into four categories: operations, coordination, funding, and training, in line with established mine action sector frameworks. This functional attribution clarified how each actor contributes to demining and land recovery efforts (Table Stakeholders 3).</w:t>
      </w:r>
    </w:p>
    <w:p w:rsidR="00753C1A" w:rsidRDefault="00753C1A" w:rsidP="00753C1A">
      <w:pPr>
        <w:spacing w:line="360" w:lineRule="auto"/>
        <w:rPr>
          <w:rFonts w:ascii="Arial" w:eastAsia="Arial" w:hAnsi="Arial" w:cs="Arial"/>
          <w:sz w:val="16"/>
          <w:szCs w:val="16"/>
        </w:rPr>
      </w:pPr>
    </w:p>
    <w:p w:rsidR="00753C1A" w:rsidRDefault="00753C1A" w:rsidP="00753C1A">
      <w:pPr>
        <w:spacing w:line="360" w:lineRule="auto"/>
        <w:rPr>
          <w:rFonts w:ascii="Arial" w:eastAsia="Arial" w:hAnsi="Arial" w:cs="Arial"/>
          <w:sz w:val="16"/>
          <w:szCs w:val="16"/>
        </w:rPr>
      </w:pPr>
      <w:r>
        <w:rPr>
          <w:rFonts w:ascii="Arial" w:eastAsia="Arial" w:hAnsi="Arial" w:cs="Arial"/>
          <w:sz w:val="16"/>
          <w:szCs w:val="16"/>
        </w:rPr>
        <w:t>Table Stakeholders 3. Actors and main functions.</w:t>
      </w:r>
    </w:p>
    <w:tbl>
      <w:tblPr>
        <w:tblW w:w="8505" w:type="dxa"/>
        <w:tblBorders>
          <w:top w:val="nil"/>
          <w:left w:val="nil"/>
          <w:bottom w:val="nil"/>
          <w:right w:val="nil"/>
          <w:insideH w:val="nil"/>
          <w:insideV w:val="nil"/>
        </w:tblBorders>
        <w:tblLayout w:type="fixed"/>
        <w:tblLook w:val="0600" w:firstRow="0" w:lastRow="0" w:firstColumn="0" w:lastColumn="0" w:noHBand="1" w:noVBand="1"/>
      </w:tblPr>
      <w:tblGrid>
        <w:gridCol w:w="3015"/>
        <w:gridCol w:w="5490"/>
      </w:tblGrid>
      <w:tr w:rsidR="00753C1A" w:rsidTr="003A5549">
        <w:trPr>
          <w:trHeight w:val="270"/>
        </w:trPr>
        <w:tc>
          <w:tcPr>
            <w:tcW w:w="3015" w:type="dxa"/>
            <w:tcBorders>
              <w:top w:val="nil"/>
              <w:left w:val="nil"/>
              <w:bottom w:val="nil"/>
              <w:right w:val="nil"/>
            </w:tcBorders>
            <w:shd w:val="clear" w:color="auto" w:fill="A6A6A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b/>
                <w:bCs/>
                <w:sz w:val="16"/>
                <w:szCs w:val="16"/>
              </w:rPr>
            </w:pPr>
            <w:r>
              <w:rPr>
                <w:rFonts w:ascii="Arial" w:eastAsia="Arial" w:hAnsi="Arial" w:cs="Arial"/>
                <w:b/>
                <w:bCs/>
                <w:sz w:val="16"/>
                <w:szCs w:val="16"/>
              </w:rPr>
              <w:t>Actor name</w:t>
            </w:r>
          </w:p>
        </w:tc>
        <w:tc>
          <w:tcPr>
            <w:tcW w:w="5490" w:type="dxa"/>
            <w:tcBorders>
              <w:top w:val="nil"/>
              <w:left w:val="nil"/>
              <w:bottom w:val="nil"/>
              <w:right w:val="nil"/>
            </w:tcBorders>
            <w:shd w:val="clear" w:color="auto" w:fill="A6A6A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b/>
                <w:bCs/>
                <w:sz w:val="16"/>
                <w:szCs w:val="16"/>
              </w:rPr>
            </w:pPr>
            <w:r>
              <w:rPr>
                <w:rFonts w:ascii="Arial" w:eastAsia="Arial" w:hAnsi="Arial" w:cs="Arial"/>
                <w:b/>
                <w:bCs/>
                <w:sz w:val="16"/>
                <w:szCs w:val="16"/>
              </w:rPr>
              <w:t>Main function(s) in mine action</w:t>
            </w:r>
          </w:p>
        </w:tc>
      </w:tr>
      <w:tr w:rsidR="00753C1A" w:rsidTr="003A5549">
        <w:trPr>
          <w:trHeight w:val="270"/>
        </w:trPr>
        <w:tc>
          <w:tcPr>
            <w:tcW w:w="3015" w:type="dxa"/>
            <w:tcBorders>
              <w:top w:val="single" w:sz="5" w:space="0" w:color="FFFFFF"/>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t>State Emergency Services (SESU)</w:t>
            </w:r>
          </w:p>
        </w:tc>
        <w:tc>
          <w:tcPr>
            <w:tcW w:w="5490" w:type="dxa"/>
            <w:tcBorders>
              <w:top w:val="single" w:sz="5" w:space="0" w:color="FFFFFF"/>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t>operations (clearance); coordination (with NGOs, private sector)</w:t>
            </w:r>
          </w:p>
        </w:tc>
      </w:tr>
      <w:tr w:rsidR="00753C1A" w:rsidTr="003A5549">
        <w:trPr>
          <w:trHeight w:val="270"/>
        </w:trPr>
        <w:tc>
          <w:tcPr>
            <w:tcW w:w="301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t>Armed Forces of Ukraine</w:t>
            </w:r>
          </w:p>
        </w:tc>
        <w:tc>
          <w:tcPr>
            <w:tcW w:w="549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t>combat zone demining; clearance in liberated areas</w:t>
            </w:r>
          </w:p>
        </w:tc>
      </w:tr>
      <w:tr w:rsidR="00753C1A" w:rsidTr="003A5549">
        <w:trPr>
          <w:trHeight w:val="270"/>
        </w:trPr>
        <w:tc>
          <w:tcPr>
            <w:tcW w:w="301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t>National Mine Action Authority (NMAA)</w:t>
            </w:r>
          </w:p>
        </w:tc>
        <w:tc>
          <w:tcPr>
            <w:tcW w:w="549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t>policy setting; standard development; national coordination</w:t>
            </w:r>
          </w:p>
        </w:tc>
      </w:tr>
      <w:tr w:rsidR="00753C1A" w:rsidTr="003A5549">
        <w:trPr>
          <w:trHeight w:val="270"/>
        </w:trPr>
        <w:tc>
          <w:tcPr>
            <w:tcW w:w="301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t>Humanitarian Demining Centre (SESU)</w:t>
            </w:r>
          </w:p>
        </w:tc>
        <w:tc>
          <w:tcPr>
            <w:tcW w:w="549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t>operator registration; supervisory quality control</w:t>
            </w:r>
          </w:p>
        </w:tc>
      </w:tr>
      <w:tr w:rsidR="00753C1A" w:rsidTr="003A5549">
        <w:trPr>
          <w:trHeight w:val="270"/>
        </w:trPr>
        <w:tc>
          <w:tcPr>
            <w:tcW w:w="301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t>HALO Trust (NGO)</w:t>
            </w:r>
          </w:p>
        </w:tc>
        <w:tc>
          <w:tcPr>
            <w:tcW w:w="549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t>humanitarian clearance; risk education; surveying</w:t>
            </w:r>
          </w:p>
        </w:tc>
      </w:tr>
      <w:tr w:rsidR="00753C1A" w:rsidTr="003A5549">
        <w:trPr>
          <w:trHeight w:val="270"/>
        </w:trPr>
        <w:tc>
          <w:tcPr>
            <w:tcW w:w="301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t>Swiss Foundation for Mine Action (FSD)</w:t>
            </w:r>
          </w:p>
        </w:tc>
        <w:tc>
          <w:tcPr>
            <w:tcW w:w="549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t>humanitarian clearance; innovation (UAV mapping)</w:t>
            </w:r>
          </w:p>
        </w:tc>
      </w:tr>
      <w:tr w:rsidR="00753C1A" w:rsidTr="003A5549">
        <w:trPr>
          <w:trHeight w:val="270"/>
        </w:trPr>
        <w:tc>
          <w:tcPr>
            <w:tcW w:w="301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t>Private Demining Companies</w:t>
            </w:r>
          </w:p>
        </w:tc>
        <w:tc>
          <w:tcPr>
            <w:tcW w:w="549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t>commercial clearance operations; contracted via ProZorro</w:t>
            </w:r>
          </w:p>
        </w:tc>
      </w:tr>
      <w:tr w:rsidR="00753C1A" w:rsidTr="003A5549">
        <w:trPr>
          <w:trHeight w:val="270"/>
        </w:trPr>
        <w:tc>
          <w:tcPr>
            <w:tcW w:w="301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t>Ministry of Economy (Ukraine)</w:t>
            </w:r>
          </w:p>
        </w:tc>
        <w:tc>
          <w:tcPr>
            <w:tcW w:w="549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t>integration of demining into economic recovery and land-use strategies</w:t>
            </w:r>
          </w:p>
        </w:tc>
      </w:tr>
      <w:tr w:rsidR="00753C1A" w:rsidTr="003A5549">
        <w:trPr>
          <w:trHeight w:val="270"/>
        </w:trPr>
        <w:tc>
          <w:tcPr>
            <w:tcW w:w="301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t>UNDP Ukraine</w:t>
            </w:r>
          </w:p>
        </w:tc>
        <w:tc>
          <w:tcPr>
            <w:tcW w:w="549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t>coordination of mine action cluster; capacity building; funding channeling</w:t>
            </w:r>
          </w:p>
        </w:tc>
      </w:tr>
      <w:tr w:rsidR="00753C1A" w:rsidTr="003A5549">
        <w:trPr>
          <w:trHeight w:val="270"/>
        </w:trPr>
        <w:tc>
          <w:tcPr>
            <w:tcW w:w="301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t>Donor States and Multilaterals</w:t>
            </w:r>
          </w:p>
        </w:tc>
        <w:tc>
          <w:tcPr>
            <w:tcW w:w="549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t>financial support; strategic guidance; technical expertise</w:t>
            </w:r>
          </w:p>
        </w:tc>
      </w:tr>
      <w:tr w:rsidR="00753C1A" w:rsidTr="003A5549">
        <w:trPr>
          <w:trHeight w:val="270"/>
        </w:trPr>
        <w:tc>
          <w:tcPr>
            <w:tcW w:w="301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lastRenderedPageBreak/>
              <w:t>Local Communities and Farmers</w:t>
            </w:r>
          </w:p>
        </w:tc>
        <w:tc>
          <w:tcPr>
            <w:tcW w:w="549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t>beneficiaries of land release; informal monitoring; risk reporting</w:t>
            </w:r>
          </w:p>
        </w:tc>
      </w:tr>
    </w:tbl>
    <w:p w:rsidR="00753C1A" w:rsidRDefault="00753C1A" w:rsidP="00753C1A">
      <w:pPr>
        <w:spacing w:line="360" w:lineRule="auto"/>
        <w:rPr>
          <w:rFonts w:ascii="Arial" w:eastAsia="Arial" w:hAnsi="Arial" w:cs="Arial"/>
          <w:sz w:val="16"/>
          <w:szCs w:val="16"/>
        </w:rPr>
      </w:pPr>
    </w:p>
    <w:p w:rsidR="00753C1A" w:rsidRDefault="00753C1A" w:rsidP="00753C1A">
      <w:pPr>
        <w:spacing w:before="240" w:after="240" w:line="360" w:lineRule="auto"/>
        <w:jc w:val="both"/>
        <w:rPr>
          <w:rFonts w:ascii="Arial" w:eastAsia="Arial" w:hAnsi="Arial" w:cs="Arial"/>
          <w:sz w:val="28"/>
          <w:szCs w:val="28"/>
        </w:rPr>
      </w:pPr>
    </w:p>
    <w:p w:rsidR="00753C1A" w:rsidRDefault="00753C1A" w:rsidP="00753C1A">
      <w:pPr>
        <w:pStyle w:val="Heading4"/>
        <w:rPr>
          <w:rFonts w:ascii="Arial" w:eastAsia="Arial" w:hAnsi="Arial" w:cs="Arial"/>
          <w:b/>
          <w:bCs/>
          <w:sz w:val="24"/>
          <w:szCs w:val="24"/>
        </w:rPr>
      </w:pPr>
      <w:r>
        <w:rPr>
          <w:rFonts w:ascii="Arial" w:eastAsia="Arial" w:hAnsi="Arial" w:cs="Arial"/>
          <w:b/>
          <w:bCs/>
          <w:color w:val="506E96"/>
          <w:sz w:val="24"/>
          <w:szCs w:val="24"/>
        </w:rPr>
        <w:t>S3.1.3. Classifying interaction scope (vertical vs horizontal)</w:t>
      </w:r>
    </w:p>
    <w:p w:rsidR="00753C1A" w:rsidRDefault="00753C1A" w:rsidP="00753C1A">
      <w:pPr>
        <w:spacing w:before="240" w:after="240" w:line="360" w:lineRule="auto"/>
        <w:jc w:val="both"/>
        <w:rPr>
          <w:rFonts w:ascii="Arial" w:eastAsia="Arial" w:hAnsi="Arial" w:cs="Arial"/>
          <w:sz w:val="16"/>
          <w:szCs w:val="16"/>
        </w:rPr>
      </w:pPr>
      <w:r>
        <w:rPr>
          <w:rFonts w:ascii="Arial" w:eastAsia="Arial" w:hAnsi="Arial" w:cs="Arial"/>
          <w:sz w:val="24"/>
          <w:szCs w:val="24"/>
        </w:rPr>
        <w:t>We then classified the nature of each actor's interactions as either vertical (hierarchical relationships, e.g., central authority to local actors) or horizontal (peer-to-peer coordination, e.g., NGOs and government agencies). This distinction follows typologies commonly used in polycentric governance research (Pahl-Wostl 2009). Interaction scope sheds light on potential coordination demands across Ukraine’s fragmented governance system (Table Stakeholders 4).</w:t>
      </w:r>
    </w:p>
    <w:p w:rsidR="00753C1A" w:rsidRDefault="00753C1A" w:rsidP="00753C1A">
      <w:pPr>
        <w:spacing w:line="360" w:lineRule="auto"/>
        <w:rPr>
          <w:rFonts w:ascii="Arial" w:eastAsia="Arial" w:hAnsi="Arial" w:cs="Arial"/>
          <w:sz w:val="16"/>
          <w:szCs w:val="16"/>
        </w:rPr>
      </w:pPr>
      <w:r>
        <w:rPr>
          <w:rFonts w:ascii="Arial" w:eastAsia="Arial" w:hAnsi="Arial" w:cs="Arial"/>
          <w:sz w:val="16"/>
          <w:szCs w:val="16"/>
        </w:rPr>
        <w:t>Table Stakeholders 4. Actors and interaction scope.</w:t>
      </w:r>
    </w:p>
    <w:tbl>
      <w:tblPr>
        <w:tblW w:w="8835" w:type="dxa"/>
        <w:tblBorders>
          <w:top w:val="nil"/>
          <w:left w:val="nil"/>
          <w:bottom w:val="nil"/>
          <w:right w:val="nil"/>
          <w:insideH w:val="nil"/>
          <w:insideV w:val="nil"/>
        </w:tblBorders>
        <w:tblLayout w:type="fixed"/>
        <w:tblLook w:val="0600" w:firstRow="0" w:lastRow="0" w:firstColumn="0" w:lastColumn="0" w:noHBand="1" w:noVBand="1"/>
      </w:tblPr>
      <w:tblGrid>
        <w:gridCol w:w="2775"/>
        <w:gridCol w:w="6060"/>
      </w:tblGrid>
      <w:tr w:rsidR="00753C1A" w:rsidTr="003A5549">
        <w:trPr>
          <w:trHeight w:val="270"/>
        </w:trPr>
        <w:tc>
          <w:tcPr>
            <w:tcW w:w="2775" w:type="dxa"/>
            <w:tcBorders>
              <w:top w:val="nil"/>
              <w:left w:val="nil"/>
              <w:bottom w:val="nil"/>
              <w:right w:val="nil"/>
            </w:tcBorders>
            <w:shd w:val="clear" w:color="auto" w:fill="A6A6A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b/>
                <w:bCs/>
                <w:sz w:val="16"/>
                <w:szCs w:val="16"/>
              </w:rPr>
            </w:pPr>
            <w:r>
              <w:rPr>
                <w:rFonts w:ascii="Arial" w:eastAsia="Arial" w:hAnsi="Arial" w:cs="Arial"/>
                <w:b/>
                <w:bCs/>
                <w:sz w:val="16"/>
                <w:szCs w:val="16"/>
              </w:rPr>
              <w:t>Actor name</w:t>
            </w:r>
          </w:p>
        </w:tc>
        <w:tc>
          <w:tcPr>
            <w:tcW w:w="6060" w:type="dxa"/>
            <w:tcBorders>
              <w:top w:val="nil"/>
              <w:left w:val="nil"/>
              <w:bottom w:val="nil"/>
              <w:right w:val="nil"/>
            </w:tcBorders>
            <w:shd w:val="clear" w:color="auto" w:fill="A6A6A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b/>
                <w:bCs/>
                <w:sz w:val="16"/>
                <w:szCs w:val="16"/>
              </w:rPr>
            </w:pPr>
            <w:r>
              <w:rPr>
                <w:rFonts w:ascii="Arial" w:eastAsia="Arial" w:hAnsi="Arial" w:cs="Arial"/>
                <w:b/>
                <w:bCs/>
                <w:sz w:val="16"/>
                <w:szCs w:val="16"/>
              </w:rPr>
              <w:t>Interaction scope</w:t>
            </w:r>
          </w:p>
        </w:tc>
      </w:tr>
      <w:tr w:rsidR="00753C1A" w:rsidTr="003A5549">
        <w:trPr>
          <w:trHeight w:val="270"/>
        </w:trPr>
        <w:tc>
          <w:tcPr>
            <w:tcW w:w="2775" w:type="dxa"/>
            <w:tcBorders>
              <w:top w:val="single" w:sz="5" w:space="0" w:color="FFFFFF"/>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t>State Emergency Services (SESU)</w:t>
            </w:r>
          </w:p>
        </w:tc>
        <w:tc>
          <w:tcPr>
            <w:tcW w:w="6060" w:type="dxa"/>
            <w:tcBorders>
              <w:top w:val="single" w:sz="5" w:space="0" w:color="FFFFFF"/>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t>vertical (SESU central -&gt; regional units); horizontal (with NGOs, private operators)</w:t>
            </w:r>
          </w:p>
        </w:tc>
      </w:tr>
      <w:tr w:rsidR="00753C1A" w:rsidTr="003A5549">
        <w:trPr>
          <w:trHeight w:val="270"/>
        </w:trPr>
        <w:tc>
          <w:tcPr>
            <w:tcW w:w="277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t>Armed Forces of Ukraine</w:t>
            </w:r>
          </w:p>
        </w:tc>
        <w:tc>
          <w:tcPr>
            <w:tcW w:w="606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t>vertical (military hierarchy); horizontal (with SESU, NGOs)</w:t>
            </w:r>
          </w:p>
        </w:tc>
      </w:tr>
      <w:tr w:rsidR="00753C1A" w:rsidTr="003A5549">
        <w:trPr>
          <w:trHeight w:val="450"/>
        </w:trPr>
        <w:tc>
          <w:tcPr>
            <w:tcW w:w="277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t>National Mine Action Authority (NMAA)</w:t>
            </w:r>
          </w:p>
        </w:tc>
        <w:tc>
          <w:tcPr>
            <w:tcW w:w="606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t>vertical (national policy -&gt; field operators); horizontal (donor coordination, inter-agency)</w:t>
            </w:r>
          </w:p>
        </w:tc>
      </w:tr>
      <w:tr w:rsidR="00753C1A" w:rsidTr="003A5549">
        <w:trPr>
          <w:trHeight w:val="450"/>
        </w:trPr>
        <w:tc>
          <w:tcPr>
            <w:tcW w:w="277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t>Humanitarian Demining Centre (SESU)</w:t>
            </w:r>
          </w:p>
        </w:tc>
        <w:tc>
          <w:tcPr>
            <w:tcW w:w="606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t>vertical (regulatory oversight); horizontal (collaboration with operators)</w:t>
            </w:r>
          </w:p>
        </w:tc>
      </w:tr>
      <w:tr w:rsidR="00753C1A" w:rsidTr="003A5549">
        <w:trPr>
          <w:trHeight w:val="270"/>
        </w:trPr>
        <w:tc>
          <w:tcPr>
            <w:tcW w:w="277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t>HALO Trust (NGO)</w:t>
            </w:r>
          </w:p>
        </w:tc>
        <w:tc>
          <w:tcPr>
            <w:tcW w:w="606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t>horizontal (with SESU, NMAA, local communities)</w:t>
            </w:r>
          </w:p>
        </w:tc>
      </w:tr>
      <w:tr w:rsidR="00753C1A" w:rsidTr="003A5549">
        <w:trPr>
          <w:trHeight w:val="450"/>
        </w:trPr>
        <w:tc>
          <w:tcPr>
            <w:tcW w:w="277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t>Swiss Foundation for Mine Action (FSD)</w:t>
            </w:r>
          </w:p>
        </w:tc>
        <w:tc>
          <w:tcPr>
            <w:tcW w:w="606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t>horizontal (technical partnerships with ukrainian actors)</w:t>
            </w:r>
          </w:p>
        </w:tc>
      </w:tr>
      <w:tr w:rsidR="00753C1A" w:rsidTr="003A5549">
        <w:trPr>
          <w:trHeight w:val="270"/>
        </w:trPr>
        <w:tc>
          <w:tcPr>
            <w:tcW w:w="277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t>Private Demining Companies</w:t>
            </w:r>
          </w:p>
        </w:tc>
        <w:tc>
          <w:tcPr>
            <w:tcW w:w="606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t>vertical (licensed by NMAA); horizontal (contracted via ProZorro)</w:t>
            </w:r>
          </w:p>
        </w:tc>
      </w:tr>
      <w:tr w:rsidR="00753C1A" w:rsidTr="003A5549">
        <w:trPr>
          <w:trHeight w:val="450"/>
        </w:trPr>
        <w:tc>
          <w:tcPr>
            <w:tcW w:w="277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lastRenderedPageBreak/>
              <w:t>Ministry of Economy (Ukraine)</w:t>
            </w:r>
          </w:p>
        </w:tc>
        <w:tc>
          <w:tcPr>
            <w:tcW w:w="606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t>vertical (cross-sector coordination); horizontal (with agricultural and environmental ministries)</w:t>
            </w:r>
          </w:p>
        </w:tc>
      </w:tr>
      <w:tr w:rsidR="00753C1A" w:rsidTr="003A5549">
        <w:trPr>
          <w:trHeight w:val="450"/>
        </w:trPr>
        <w:tc>
          <w:tcPr>
            <w:tcW w:w="277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t>UNDP Ukraine</w:t>
            </w:r>
          </w:p>
        </w:tc>
        <w:tc>
          <w:tcPr>
            <w:tcW w:w="606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t>horizontal (with national and local actors); vertical (UN system -&gt; national mine action)</w:t>
            </w:r>
          </w:p>
        </w:tc>
      </w:tr>
      <w:tr w:rsidR="00753C1A" w:rsidTr="003A5549">
        <w:trPr>
          <w:trHeight w:val="270"/>
        </w:trPr>
        <w:tc>
          <w:tcPr>
            <w:tcW w:w="277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t>Donor States and Multilaterals</w:t>
            </w:r>
          </w:p>
        </w:tc>
        <w:tc>
          <w:tcPr>
            <w:tcW w:w="606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t>vertical (funding contracts); horizontal (donor coordination)</w:t>
            </w:r>
          </w:p>
        </w:tc>
      </w:tr>
      <w:tr w:rsidR="00753C1A" w:rsidTr="003A5549">
        <w:trPr>
          <w:trHeight w:val="270"/>
        </w:trPr>
        <w:tc>
          <w:tcPr>
            <w:tcW w:w="277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t>Local Communities and Farmers</w:t>
            </w:r>
          </w:p>
        </w:tc>
        <w:tc>
          <w:tcPr>
            <w:tcW w:w="606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rPr>
                <w:rFonts w:ascii="Arial" w:eastAsia="Arial" w:hAnsi="Arial" w:cs="Arial"/>
                <w:sz w:val="16"/>
                <w:szCs w:val="16"/>
              </w:rPr>
            </w:pPr>
            <w:r>
              <w:rPr>
                <w:rFonts w:ascii="Arial" w:eastAsia="Arial" w:hAnsi="Arial" w:cs="Arial"/>
                <w:sz w:val="16"/>
                <w:szCs w:val="16"/>
              </w:rPr>
              <w:t>local-level interaction; sometimes informal or ad hoc participation</w:t>
            </w:r>
          </w:p>
        </w:tc>
      </w:tr>
    </w:tbl>
    <w:p w:rsidR="00753C1A" w:rsidRDefault="00753C1A" w:rsidP="00753C1A">
      <w:pPr>
        <w:spacing w:line="360" w:lineRule="auto"/>
        <w:rPr>
          <w:rFonts w:ascii="Arial" w:eastAsia="Arial" w:hAnsi="Arial" w:cs="Arial"/>
          <w:sz w:val="16"/>
          <w:szCs w:val="16"/>
        </w:rPr>
      </w:pPr>
    </w:p>
    <w:p w:rsidR="00753C1A" w:rsidRDefault="00753C1A" w:rsidP="00753C1A">
      <w:pPr>
        <w:spacing w:line="360" w:lineRule="auto"/>
        <w:rPr>
          <w:rFonts w:ascii="Arial" w:eastAsia="Arial" w:hAnsi="Arial" w:cs="Arial"/>
          <w:sz w:val="16"/>
          <w:szCs w:val="16"/>
        </w:rPr>
      </w:pPr>
    </w:p>
    <w:p w:rsidR="00753C1A" w:rsidRDefault="00753C1A" w:rsidP="00753C1A">
      <w:pPr>
        <w:spacing w:line="360" w:lineRule="auto"/>
        <w:rPr>
          <w:rFonts w:ascii="Arial" w:eastAsia="Arial" w:hAnsi="Arial" w:cs="Arial"/>
          <w:sz w:val="16"/>
          <w:szCs w:val="16"/>
        </w:rPr>
      </w:pPr>
    </w:p>
    <w:p w:rsidR="00753C1A" w:rsidRDefault="00753C1A" w:rsidP="00753C1A">
      <w:pPr>
        <w:pStyle w:val="Heading4"/>
        <w:rPr>
          <w:rFonts w:ascii="Arial" w:eastAsia="Arial" w:hAnsi="Arial" w:cs="Arial"/>
          <w:b/>
          <w:bCs/>
          <w:color w:val="506E96"/>
          <w:sz w:val="24"/>
          <w:szCs w:val="24"/>
        </w:rPr>
      </w:pPr>
      <w:r>
        <w:rPr>
          <w:rFonts w:ascii="Arial" w:eastAsia="Arial" w:hAnsi="Arial" w:cs="Arial"/>
          <w:b/>
          <w:bCs/>
          <w:color w:val="506E96"/>
          <w:sz w:val="24"/>
          <w:szCs w:val="24"/>
        </w:rPr>
        <w:t>S3.1.4. Extracted conflict types: global patterns from demining and post-conflict governance cases</w:t>
      </w:r>
    </w:p>
    <w:p w:rsidR="00753C1A" w:rsidRDefault="00753C1A" w:rsidP="00753C1A">
      <w:pPr>
        <w:pBdr>
          <w:top w:val="nil"/>
          <w:left w:val="nil"/>
          <w:bottom w:val="nil"/>
          <w:right w:val="nil"/>
          <w:between w:val="nil"/>
        </w:pBdr>
        <w:spacing w:before="240" w:after="240" w:line="360" w:lineRule="auto"/>
        <w:jc w:val="both"/>
        <w:rPr>
          <w:rFonts w:ascii="Arial" w:eastAsia="Arial" w:hAnsi="Arial" w:cs="Arial"/>
          <w:sz w:val="24"/>
          <w:szCs w:val="24"/>
        </w:rPr>
      </w:pPr>
      <w:r>
        <w:rPr>
          <w:rFonts w:ascii="Arial" w:eastAsia="Arial" w:hAnsi="Arial" w:cs="Arial"/>
          <w:sz w:val="24"/>
          <w:szCs w:val="24"/>
        </w:rPr>
        <w:t>Seven recurrent conflict types were synthesized from comparative case studies of demining and landscape governance in Cambodia, Colombia, Bosnia, and Croatia. These conflict types represent empirically observed governance tensions in post-conflict settings and form the basis for assessing potential risks within Ukraine’s demining architecture. The choice of seven types reflects a balance between parsimony and completeness: fewer categories would have masked important distinctions (e.g., between donor fragmentation and military-humanitarian competition), while adding more would have forced marginal variations into artificial classifications. Definitions and short labels for each conflict type are provided below (Table Stakeholders 5).</w:t>
      </w:r>
    </w:p>
    <w:p w:rsidR="00753C1A" w:rsidRDefault="00753C1A" w:rsidP="00753C1A">
      <w:pPr>
        <w:spacing w:line="360" w:lineRule="auto"/>
        <w:rPr>
          <w:rFonts w:ascii="Arial" w:eastAsia="Arial" w:hAnsi="Arial" w:cs="Arial"/>
          <w:sz w:val="24"/>
          <w:szCs w:val="24"/>
        </w:rPr>
      </w:pPr>
    </w:p>
    <w:p w:rsidR="00753C1A" w:rsidRDefault="00753C1A" w:rsidP="00753C1A">
      <w:pPr>
        <w:spacing w:line="360" w:lineRule="auto"/>
        <w:rPr>
          <w:rFonts w:ascii="Arial" w:eastAsia="Arial" w:hAnsi="Arial" w:cs="Arial"/>
          <w:sz w:val="16"/>
          <w:szCs w:val="16"/>
        </w:rPr>
      </w:pPr>
      <w:r>
        <w:rPr>
          <w:rFonts w:ascii="Arial" w:eastAsia="Arial" w:hAnsi="Arial" w:cs="Arial"/>
          <w:sz w:val="16"/>
          <w:szCs w:val="16"/>
        </w:rPr>
        <w:t>Table Stakeholders 5. Conflict types.</w:t>
      </w:r>
    </w:p>
    <w:tbl>
      <w:tblPr>
        <w:tblW w:w="3840" w:type="dxa"/>
        <w:tblBorders>
          <w:top w:val="nil"/>
          <w:left w:val="nil"/>
          <w:bottom w:val="nil"/>
          <w:right w:val="nil"/>
          <w:insideH w:val="nil"/>
          <w:insideV w:val="nil"/>
        </w:tblBorders>
        <w:tblLayout w:type="fixed"/>
        <w:tblLook w:val="0600" w:firstRow="0" w:lastRow="0" w:firstColumn="0" w:lastColumn="0" w:noHBand="1" w:noVBand="1"/>
      </w:tblPr>
      <w:tblGrid>
        <w:gridCol w:w="945"/>
        <w:gridCol w:w="2895"/>
      </w:tblGrid>
      <w:tr w:rsidR="00753C1A" w:rsidTr="003A5549">
        <w:trPr>
          <w:trHeight w:val="210"/>
        </w:trPr>
        <w:tc>
          <w:tcPr>
            <w:tcW w:w="945" w:type="dxa"/>
            <w:tcBorders>
              <w:top w:val="nil"/>
              <w:left w:val="nil"/>
              <w:bottom w:val="nil"/>
              <w:right w:val="nil"/>
            </w:tcBorders>
            <w:shd w:val="clear" w:color="auto" w:fill="A6A6A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t>Conflict type</w:t>
            </w:r>
          </w:p>
        </w:tc>
        <w:tc>
          <w:tcPr>
            <w:tcW w:w="2895" w:type="dxa"/>
            <w:tcBorders>
              <w:top w:val="nil"/>
              <w:left w:val="nil"/>
              <w:bottom w:val="nil"/>
              <w:right w:val="nil"/>
            </w:tcBorders>
            <w:shd w:val="clear" w:color="auto" w:fill="A6A6A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t>Short label</w:t>
            </w:r>
          </w:p>
        </w:tc>
      </w:tr>
      <w:tr w:rsidR="00753C1A" w:rsidTr="003A5549">
        <w:trPr>
          <w:trHeight w:val="210"/>
        </w:trPr>
        <w:tc>
          <w:tcPr>
            <w:tcW w:w="945" w:type="dxa"/>
            <w:tcBorders>
              <w:top w:val="single" w:sz="5" w:space="0" w:color="FFFFFF"/>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1</w:t>
            </w:r>
          </w:p>
        </w:tc>
        <w:tc>
          <w:tcPr>
            <w:tcW w:w="2895" w:type="dxa"/>
            <w:tcBorders>
              <w:top w:val="single" w:sz="5" w:space="0" w:color="FFFFFF"/>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authority fragmentation</w:t>
            </w:r>
          </w:p>
        </w:tc>
      </w:tr>
      <w:tr w:rsidR="00753C1A" w:rsidTr="003A5549">
        <w:trPr>
          <w:trHeight w:val="210"/>
        </w:trPr>
        <w:tc>
          <w:tcPr>
            <w:tcW w:w="94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2</w:t>
            </w:r>
          </w:p>
        </w:tc>
        <w:tc>
          <w:tcPr>
            <w:tcW w:w="289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military vs humanitarian priorities</w:t>
            </w:r>
          </w:p>
        </w:tc>
      </w:tr>
      <w:tr w:rsidR="00753C1A" w:rsidTr="003A5549">
        <w:trPr>
          <w:trHeight w:val="210"/>
        </w:trPr>
        <w:tc>
          <w:tcPr>
            <w:tcW w:w="94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lastRenderedPageBreak/>
              <w:t>3</w:t>
            </w:r>
          </w:p>
        </w:tc>
        <w:tc>
          <w:tcPr>
            <w:tcW w:w="289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donor fragmentation / external agenda</w:t>
            </w:r>
          </w:p>
        </w:tc>
      </w:tr>
      <w:tr w:rsidR="00753C1A" w:rsidTr="003A5549">
        <w:trPr>
          <w:trHeight w:val="210"/>
        </w:trPr>
        <w:tc>
          <w:tcPr>
            <w:tcW w:w="94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4</w:t>
            </w:r>
          </w:p>
        </w:tc>
        <w:tc>
          <w:tcPr>
            <w:tcW w:w="289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profit vs safety (commercialization)</w:t>
            </w:r>
          </w:p>
        </w:tc>
      </w:tr>
      <w:tr w:rsidR="00753C1A" w:rsidTr="003A5549">
        <w:trPr>
          <w:trHeight w:val="210"/>
        </w:trPr>
        <w:tc>
          <w:tcPr>
            <w:tcW w:w="94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5</w:t>
            </w:r>
          </w:p>
        </w:tc>
        <w:tc>
          <w:tcPr>
            <w:tcW w:w="289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local exclusion</w:t>
            </w:r>
          </w:p>
        </w:tc>
      </w:tr>
      <w:tr w:rsidR="00753C1A" w:rsidTr="003A5549">
        <w:trPr>
          <w:trHeight w:val="210"/>
        </w:trPr>
        <w:tc>
          <w:tcPr>
            <w:tcW w:w="94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6</w:t>
            </w:r>
          </w:p>
        </w:tc>
        <w:tc>
          <w:tcPr>
            <w:tcW w:w="289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technological misalignment</w:t>
            </w:r>
          </w:p>
        </w:tc>
      </w:tr>
      <w:tr w:rsidR="00753C1A" w:rsidTr="003A5549">
        <w:trPr>
          <w:trHeight w:val="210"/>
        </w:trPr>
        <w:tc>
          <w:tcPr>
            <w:tcW w:w="94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7</w:t>
            </w:r>
          </w:p>
        </w:tc>
        <w:tc>
          <w:tcPr>
            <w:tcW w:w="289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rapid clearance vs sustainable land use</w:t>
            </w:r>
          </w:p>
        </w:tc>
      </w:tr>
    </w:tbl>
    <w:p w:rsidR="00753C1A" w:rsidRDefault="00753C1A" w:rsidP="00753C1A">
      <w:pPr>
        <w:spacing w:before="240" w:after="240" w:line="360" w:lineRule="auto"/>
        <w:jc w:val="both"/>
        <w:rPr>
          <w:rFonts w:ascii="Arial" w:eastAsia="Arial" w:hAnsi="Arial" w:cs="Arial"/>
          <w:sz w:val="16"/>
          <w:szCs w:val="16"/>
        </w:rPr>
      </w:pPr>
    </w:p>
    <w:p w:rsidR="00753C1A" w:rsidRDefault="00753C1A" w:rsidP="00753C1A">
      <w:pPr>
        <w:pStyle w:val="Heading4"/>
        <w:rPr>
          <w:rFonts w:ascii="Arial" w:eastAsia="Arial" w:hAnsi="Arial" w:cs="Arial"/>
          <w:b/>
          <w:bCs/>
          <w:color w:val="506E96"/>
          <w:sz w:val="24"/>
          <w:szCs w:val="24"/>
        </w:rPr>
      </w:pPr>
      <w:r>
        <w:rPr>
          <w:rFonts w:ascii="Arial" w:eastAsia="Arial" w:hAnsi="Arial" w:cs="Arial"/>
          <w:b/>
          <w:bCs/>
          <w:color w:val="506E96"/>
          <w:sz w:val="24"/>
          <w:szCs w:val="24"/>
        </w:rPr>
        <w:t>S3.1.5. Mapping table: actors matched to conflict types</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Finally, each actor was systematically matched to one or more conflict types based on cross-referencing their role, function, and interaction patterns against the extracted governance risks (Table Stakeholders 6). Actors were matched when their primary responsibilities, operational scope, or structural position within Ukraine’s mine action system created a credible governance vulnerability corresponding to one or more of the seven conflict types. The conflict types were synthesized from comparative studies of demining and post-conflict governance in Cambodia, Colombia, Bosnia, and Croatia, while actor roles and interaction patterns were extracted solely from the World Bank (2025) Ukraine Country Report and the Mine Action Review (2022). No external sources were used. Matching was conducted manually to allow contextual interpretation of each actor’s role, following established practice in governance typology work, and to avoid rigid algorithmic assignments that would misrepresent complex governance realities. Specific vulnerabilities were identified when an actor’s documented role, function, and interaction scope aligned substantively with governance tensions empirically observed in comparable post-conflict settings. This structured mapping identifies exposure to risks of fragmentation, competition, or exclusion across the Ukrainian mine action system and underpins the governance risk analysis presented in the main text.</w:t>
      </w:r>
    </w:p>
    <w:p w:rsidR="00753C1A" w:rsidRDefault="00753C1A" w:rsidP="00753C1A">
      <w:pPr>
        <w:spacing w:line="360" w:lineRule="auto"/>
        <w:jc w:val="both"/>
        <w:rPr>
          <w:rFonts w:ascii="Arial" w:eastAsia="Arial" w:hAnsi="Arial" w:cs="Arial"/>
          <w:sz w:val="16"/>
          <w:szCs w:val="16"/>
        </w:rPr>
      </w:pPr>
      <w:r>
        <w:rPr>
          <w:rFonts w:ascii="Arial" w:eastAsia="Arial" w:hAnsi="Arial" w:cs="Arial"/>
          <w:sz w:val="16"/>
          <w:szCs w:val="16"/>
        </w:rPr>
        <w:t>Table Stakeholders 6. Matching actors with conflict types.</w:t>
      </w:r>
    </w:p>
    <w:tbl>
      <w:tblPr>
        <w:tblW w:w="8835" w:type="dxa"/>
        <w:tblBorders>
          <w:top w:val="nil"/>
          <w:left w:val="nil"/>
          <w:bottom w:val="nil"/>
          <w:right w:val="nil"/>
          <w:insideH w:val="nil"/>
          <w:insideV w:val="nil"/>
        </w:tblBorders>
        <w:tblLayout w:type="fixed"/>
        <w:tblLook w:val="0600" w:firstRow="0" w:lastRow="0" w:firstColumn="0" w:lastColumn="0" w:noHBand="1" w:noVBand="1"/>
      </w:tblPr>
      <w:tblGrid>
        <w:gridCol w:w="2970"/>
        <w:gridCol w:w="1815"/>
        <w:gridCol w:w="4050"/>
      </w:tblGrid>
      <w:tr w:rsidR="00753C1A" w:rsidTr="003A5549">
        <w:trPr>
          <w:trHeight w:val="435"/>
        </w:trPr>
        <w:tc>
          <w:tcPr>
            <w:tcW w:w="2970" w:type="dxa"/>
            <w:tcBorders>
              <w:top w:val="nil"/>
              <w:left w:val="nil"/>
              <w:bottom w:val="nil"/>
              <w:right w:val="nil"/>
            </w:tcBorders>
            <w:shd w:val="clear" w:color="auto" w:fill="A6A6A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lastRenderedPageBreak/>
              <w:t>Actor name</w:t>
            </w:r>
          </w:p>
        </w:tc>
        <w:tc>
          <w:tcPr>
            <w:tcW w:w="1815" w:type="dxa"/>
            <w:tcBorders>
              <w:top w:val="nil"/>
              <w:left w:val="nil"/>
              <w:bottom w:val="nil"/>
              <w:right w:val="nil"/>
            </w:tcBorders>
            <w:shd w:val="clear" w:color="auto" w:fill="A6A6A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t>Matched conflict type(s)</w:t>
            </w:r>
          </w:p>
        </w:tc>
        <w:tc>
          <w:tcPr>
            <w:tcW w:w="4050" w:type="dxa"/>
            <w:tcBorders>
              <w:top w:val="nil"/>
              <w:left w:val="nil"/>
              <w:bottom w:val="nil"/>
              <w:right w:val="nil"/>
            </w:tcBorders>
            <w:shd w:val="clear" w:color="auto" w:fill="A6A6A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t>Conflict type labels</w:t>
            </w:r>
          </w:p>
        </w:tc>
      </w:tr>
      <w:tr w:rsidR="00753C1A" w:rsidTr="003A5549">
        <w:trPr>
          <w:trHeight w:val="450"/>
        </w:trPr>
        <w:tc>
          <w:tcPr>
            <w:tcW w:w="2970" w:type="dxa"/>
            <w:tcBorders>
              <w:top w:val="single" w:sz="5" w:space="0" w:color="FFFFFF"/>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State Emergency Services (SESU)</w:t>
            </w:r>
          </w:p>
        </w:tc>
        <w:tc>
          <w:tcPr>
            <w:tcW w:w="1815" w:type="dxa"/>
            <w:tcBorders>
              <w:top w:val="single" w:sz="5" w:space="0" w:color="FFFFFF"/>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1, 2</w:t>
            </w:r>
          </w:p>
        </w:tc>
        <w:tc>
          <w:tcPr>
            <w:tcW w:w="4050" w:type="dxa"/>
            <w:tcBorders>
              <w:top w:val="single" w:sz="5" w:space="0" w:color="FFFFFF"/>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authority fragmentation; military vs humanitarian priorities</w:t>
            </w:r>
          </w:p>
        </w:tc>
      </w:tr>
      <w:tr w:rsidR="00753C1A" w:rsidTr="003A5549">
        <w:trPr>
          <w:trHeight w:val="270"/>
        </w:trPr>
        <w:tc>
          <w:tcPr>
            <w:tcW w:w="297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Armed Forces of Ukraine</w:t>
            </w:r>
          </w:p>
        </w:tc>
        <w:tc>
          <w:tcPr>
            <w:tcW w:w="181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2, 5</w:t>
            </w:r>
          </w:p>
        </w:tc>
        <w:tc>
          <w:tcPr>
            <w:tcW w:w="405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military vs humanitarian priorities; local exclusion</w:t>
            </w:r>
          </w:p>
        </w:tc>
      </w:tr>
      <w:tr w:rsidR="00753C1A" w:rsidTr="003A5549">
        <w:trPr>
          <w:trHeight w:val="450"/>
        </w:trPr>
        <w:tc>
          <w:tcPr>
            <w:tcW w:w="297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National Mine Action Authority (NMAA)</w:t>
            </w:r>
          </w:p>
        </w:tc>
        <w:tc>
          <w:tcPr>
            <w:tcW w:w="181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1, 3</w:t>
            </w:r>
          </w:p>
        </w:tc>
        <w:tc>
          <w:tcPr>
            <w:tcW w:w="405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authority fragmentation; donor fragmentation / external agenda</w:t>
            </w:r>
          </w:p>
        </w:tc>
      </w:tr>
      <w:tr w:rsidR="00753C1A" w:rsidTr="003A5549">
        <w:trPr>
          <w:trHeight w:val="450"/>
        </w:trPr>
        <w:tc>
          <w:tcPr>
            <w:tcW w:w="297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Humanitarian Demining Centre (under SESU)</w:t>
            </w:r>
          </w:p>
        </w:tc>
        <w:tc>
          <w:tcPr>
            <w:tcW w:w="181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1, 4</w:t>
            </w:r>
          </w:p>
        </w:tc>
        <w:tc>
          <w:tcPr>
            <w:tcW w:w="405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authority fragmentation; profit vs safety (commercialization)</w:t>
            </w:r>
          </w:p>
        </w:tc>
      </w:tr>
      <w:tr w:rsidR="00753C1A" w:rsidTr="003A5549">
        <w:trPr>
          <w:trHeight w:val="450"/>
        </w:trPr>
        <w:tc>
          <w:tcPr>
            <w:tcW w:w="297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HALO Trust (NGO)</w:t>
            </w:r>
          </w:p>
        </w:tc>
        <w:tc>
          <w:tcPr>
            <w:tcW w:w="181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3, 5</w:t>
            </w:r>
          </w:p>
        </w:tc>
        <w:tc>
          <w:tcPr>
            <w:tcW w:w="405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donor fragmentation / external agenda; local exclusion</w:t>
            </w:r>
          </w:p>
        </w:tc>
      </w:tr>
      <w:tr w:rsidR="00753C1A" w:rsidTr="003A5549">
        <w:trPr>
          <w:trHeight w:val="450"/>
        </w:trPr>
        <w:tc>
          <w:tcPr>
            <w:tcW w:w="297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Swiss Foundation for Mine Action (FSD)</w:t>
            </w:r>
          </w:p>
        </w:tc>
        <w:tc>
          <w:tcPr>
            <w:tcW w:w="181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6</w:t>
            </w:r>
          </w:p>
        </w:tc>
        <w:tc>
          <w:tcPr>
            <w:tcW w:w="405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technological misalignment</w:t>
            </w:r>
          </w:p>
        </w:tc>
      </w:tr>
      <w:tr w:rsidR="00753C1A" w:rsidTr="003A5549">
        <w:trPr>
          <w:trHeight w:val="270"/>
        </w:trPr>
        <w:tc>
          <w:tcPr>
            <w:tcW w:w="297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Private Demining Companies</w:t>
            </w:r>
          </w:p>
        </w:tc>
        <w:tc>
          <w:tcPr>
            <w:tcW w:w="181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4</w:t>
            </w:r>
          </w:p>
        </w:tc>
        <w:tc>
          <w:tcPr>
            <w:tcW w:w="405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profit vs safety (commercialization)</w:t>
            </w:r>
          </w:p>
        </w:tc>
      </w:tr>
      <w:tr w:rsidR="00753C1A" w:rsidTr="003A5549">
        <w:trPr>
          <w:trHeight w:val="270"/>
        </w:trPr>
        <w:tc>
          <w:tcPr>
            <w:tcW w:w="297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Ministry of Economy (Ukraine)</w:t>
            </w:r>
          </w:p>
        </w:tc>
        <w:tc>
          <w:tcPr>
            <w:tcW w:w="181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7</w:t>
            </w:r>
          </w:p>
        </w:tc>
        <w:tc>
          <w:tcPr>
            <w:tcW w:w="405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rapid clearance vs sustainable land use</w:t>
            </w:r>
          </w:p>
        </w:tc>
      </w:tr>
      <w:tr w:rsidR="00753C1A" w:rsidTr="003A5549">
        <w:trPr>
          <w:trHeight w:val="270"/>
        </w:trPr>
        <w:tc>
          <w:tcPr>
            <w:tcW w:w="297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UNDP Ukraine</w:t>
            </w:r>
          </w:p>
        </w:tc>
        <w:tc>
          <w:tcPr>
            <w:tcW w:w="181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3</w:t>
            </w:r>
          </w:p>
        </w:tc>
        <w:tc>
          <w:tcPr>
            <w:tcW w:w="405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donor fragmentation / external agenda</w:t>
            </w:r>
          </w:p>
        </w:tc>
      </w:tr>
      <w:tr w:rsidR="00753C1A" w:rsidTr="003A5549">
        <w:trPr>
          <w:trHeight w:val="270"/>
        </w:trPr>
        <w:tc>
          <w:tcPr>
            <w:tcW w:w="297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Donor States and Multilaterals</w:t>
            </w:r>
          </w:p>
        </w:tc>
        <w:tc>
          <w:tcPr>
            <w:tcW w:w="181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3</w:t>
            </w:r>
          </w:p>
        </w:tc>
        <w:tc>
          <w:tcPr>
            <w:tcW w:w="405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donor fragmentation / external agenda</w:t>
            </w:r>
          </w:p>
        </w:tc>
      </w:tr>
      <w:tr w:rsidR="00753C1A" w:rsidTr="003A5549">
        <w:trPr>
          <w:trHeight w:val="450"/>
        </w:trPr>
        <w:tc>
          <w:tcPr>
            <w:tcW w:w="297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Local Communities and Farmers</w:t>
            </w:r>
          </w:p>
        </w:tc>
        <w:tc>
          <w:tcPr>
            <w:tcW w:w="181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5, 7</w:t>
            </w:r>
          </w:p>
        </w:tc>
        <w:tc>
          <w:tcPr>
            <w:tcW w:w="405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local exclusion; rapid clearance vs sustainable land use</w:t>
            </w:r>
          </w:p>
        </w:tc>
      </w:tr>
    </w:tbl>
    <w:p w:rsidR="00753C1A" w:rsidRDefault="00753C1A" w:rsidP="00753C1A">
      <w:pPr>
        <w:spacing w:line="360" w:lineRule="auto"/>
        <w:jc w:val="both"/>
        <w:rPr>
          <w:rFonts w:ascii="Arial" w:eastAsia="Arial" w:hAnsi="Arial" w:cs="Arial"/>
          <w:sz w:val="24"/>
          <w:szCs w:val="24"/>
        </w:rPr>
      </w:pPr>
    </w:p>
    <w:p w:rsidR="00753C1A" w:rsidRDefault="00753C1A" w:rsidP="00753C1A">
      <w:pPr>
        <w:pStyle w:val="Heading3"/>
        <w:rPr>
          <w:rFonts w:ascii="Arial" w:eastAsia="Arial" w:hAnsi="Arial" w:cs="Arial"/>
          <w:color w:val="3C78D8"/>
          <w:sz w:val="24"/>
          <w:szCs w:val="24"/>
        </w:rPr>
      </w:pPr>
      <w:r>
        <w:rPr>
          <w:rFonts w:ascii="Arial" w:eastAsia="Arial" w:hAnsi="Arial" w:cs="Arial"/>
          <w:color w:val="3C78D8"/>
          <w:sz w:val="24"/>
          <w:szCs w:val="24"/>
        </w:rPr>
        <w:t>References S3</w:t>
      </w:r>
    </w:p>
    <w:p w:rsidR="00753C1A" w:rsidRDefault="00753C1A" w:rsidP="00753C1A">
      <w:pPr>
        <w:widowControl w:val="0"/>
        <w:spacing w:after="240" w:line="360" w:lineRule="auto"/>
        <w:ind w:left="720" w:hanging="720"/>
        <w:rPr>
          <w:rFonts w:ascii="Arial" w:eastAsia="Arial" w:hAnsi="Arial" w:cs="Arial"/>
          <w:sz w:val="24"/>
          <w:szCs w:val="24"/>
        </w:rPr>
      </w:pPr>
      <w:r>
        <w:rPr>
          <w:rFonts w:ascii="Arial" w:eastAsia="Arial" w:hAnsi="Arial" w:cs="Arial"/>
          <w:sz w:val="24"/>
          <w:szCs w:val="24"/>
        </w:rPr>
        <w:t>Mine Action Review (2022) Clearing The Mines 2022. Mine Action Review. Geneva. https://www.mineactionreview.org/assets/downloads/5268_NPA_Clearing_the_Mines_2022_Web_ART_LV.pdf</w:t>
      </w:r>
    </w:p>
    <w:p w:rsidR="00753C1A" w:rsidRDefault="00753C1A" w:rsidP="00753C1A">
      <w:pPr>
        <w:widowControl w:val="0"/>
        <w:spacing w:after="240" w:line="360" w:lineRule="auto"/>
        <w:ind w:left="720" w:hanging="720"/>
        <w:rPr>
          <w:rFonts w:ascii="Arial" w:eastAsia="Arial" w:hAnsi="Arial" w:cs="Arial"/>
          <w:sz w:val="24"/>
          <w:szCs w:val="24"/>
        </w:rPr>
        <w:sectPr w:rsidR="00753C1A" w:rsidSect="009D27F2">
          <w:pgSz w:w="11906" w:h="16838"/>
          <w:pgMar w:top="1417" w:right="1417" w:bottom="1134" w:left="1440" w:header="708" w:footer="708" w:gutter="0"/>
          <w:cols w:space="720"/>
        </w:sectPr>
      </w:pPr>
      <w:r>
        <w:rPr>
          <w:rFonts w:ascii="Arial" w:eastAsia="Arial" w:hAnsi="Arial" w:cs="Arial"/>
          <w:sz w:val="24"/>
          <w:szCs w:val="24"/>
        </w:rPr>
        <w:lastRenderedPageBreak/>
        <w:t>World Bank (2025) Ukraine. Fourth Rapid Damage and Needs Assessment (RDNA4): February 2022. World Bank, Washington, DC. https://documents1.worldbank.org/curated/en/099022025114040022/pdf/P180174-ca39eccd-ea67-4bd8-b537-ff73a675a0a8.pdf?utm_source=chatgpt.com</w:t>
      </w:r>
    </w:p>
    <w:p w:rsidR="00753C1A" w:rsidRDefault="00753C1A" w:rsidP="00753C1A">
      <w:pPr>
        <w:pStyle w:val="Heading2"/>
        <w:rPr>
          <w:rFonts w:ascii="Arial" w:eastAsia="Arial" w:hAnsi="Arial" w:cs="Arial"/>
          <w:color w:val="506E96"/>
          <w:sz w:val="24"/>
          <w:szCs w:val="24"/>
        </w:rPr>
      </w:pPr>
      <w:r>
        <w:rPr>
          <w:rFonts w:ascii="Arial" w:eastAsia="Arial" w:hAnsi="Arial" w:cs="Arial"/>
          <w:color w:val="506E96"/>
          <w:sz w:val="24"/>
          <w:szCs w:val="24"/>
        </w:rPr>
        <w:lastRenderedPageBreak/>
        <w:t>Supplementary Material S4: Expert Interviews</w:t>
      </w:r>
    </w:p>
    <w:p w:rsidR="00753C1A" w:rsidRDefault="00753C1A" w:rsidP="00753C1A">
      <w:pPr>
        <w:pBdr>
          <w:top w:val="nil"/>
          <w:left w:val="nil"/>
          <w:bottom w:val="nil"/>
          <w:right w:val="nil"/>
          <w:between w:val="nil"/>
        </w:pBdr>
        <w:spacing w:before="240" w:after="240" w:line="360" w:lineRule="auto"/>
        <w:jc w:val="both"/>
        <w:rPr>
          <w:rFonts w:ascii="Arial" w:eastAsia="Arial" w:hAnsi="Arial" w:cs="Arial"/>
          <w:sz w:val="24"/>
          <w:szCs w:val="24"/>
        </w:rPr>
      </w:pPr>
      <w:r>
        <w:rPr>
          <w:rFonts w:ascii="Arial" w:eastAsia="Arial" w:hAnsi="Arial" w:cs="Arial"/>
          <w:sz w:val="24"/>
          <w:szCs w:val="24"/>
        </w:rPr>
        <w:t>This supplementary section documents the design, conduct, and coding of the expert interviews that informed the qualitative analysis presented in the main text. It provides transparency on how empirical insights were generated and how thematic saturation was reached.</w:t>
      </w:r>
    </w:p>
    <w:p w:rsidR="00753C1A" w:rsidRDefault="00753C1A" w:rsidP="00753C1A">
      <w:pPr>
        <w:pBdr>
          <w:top w:val="nil"/>
          <w:left w:val="nil"/>
          <w:bottom w:val="nil"/>
          <w:right w:val="nil"/>
          <w:between w:val="nil"/>
        </w:pBdr>
        <w:spacing w:before="240" w:after="240" w:line="360" w:lineRule="auto"/>
        <w:jc w:val="both"/>
        <w:rPr>
          <w:rFonts w:ascii="Arial" w:eastAsia="Arial" w:hAnsi="Arial" w:cs="Arial"/>
          <w:sz w:val="24"/>
          <w:szCs w:val="24"/>
        </w:rPr>
      </w:pPr>
      <w:r>
        <w:rPr>
          <w:rFonts w:ascii="Arial" w:eastAsia="Arial" w:hAnsi="Arial" w:cs="Arial"/>
          <w:sz w:val="24"/>
          <w:szCs w:val="24"/>
        </w:rPr>
        <w:t>The section is divided into two parts:</w:t>
      </w:r>
    </w:p>
    <w:p w:rsidR="00753C1A" w:rsidRDefault="00753C1A" w:rsidP="00753C1A">
      <w:pPr>
        <w:pBdr>
          <w:top w:val="nil"/>
          <w:left w:val="nil"/>
          <w:bottom w:val="nil"/>
          <w:right w:val="nil"/>
          <w:between w:val="nil"/>
        </w:pBdr>
        <w:spacing w:before="240" w:after="240" w:line="360" w:lineRule="auto"/>
        <w:jc w:val="both"/>
        <w:rPr>
          <w:rFonts w:ascii="Arial" w:eastAsia="Arial" w:hAnsi="Arial" w:cs="Arial"/>
          <w:sz w:val="24"/>
          <w:szCs w:val="24"/>
        </w:rPr>
      </w:pPr>
      <w:r>
        <w:rPr>
          <w:rFonts w:ascii="Arial" w:eastAsia="Arial" w:hAnsi="Arial" w:cs="Arial"/>
          <w:sz w:val="24"/>
          <w:szCs w:val="24"/>
        </w:rPr>
        <w:t>S4.1 The Interviews, which presents the interview structure, guiding narratives, and question framework; and</w:t>
      </w:r>
    </w:p>
    <w:p w:rsidR="00753C1A" w:rsidRDefault="00753C1A" w:rsidP="00753C1A">
      <w:pPr>
        <w:pBdr>
          <w:top w:val="nil"/>
          <w:left w:val="nil"/>
          <w:bottom w:val="nil"/>
          <w:right w:val="nil"/>
          <w:between w:val="nil"/>
        </w:pBdr>
        <w:spacing w:before="240" w:after="240" w:line="360" w:lineRule="auto"/>
        <w:jc w:val="both"/>
      </w:pPr>
      <w:r>
        <w:rPr>
          <w:rFonts w:ascii="Arial" w:eastAsia="Arial" w:hAnsi="Arial" w:cs="Arial"/>
          <w:sz w:val="24"/>
          <w:szCs w:val="24"/>
        </w:rPr>
        <w:t>S4.2 Coding, which summarizes the analytical procedure, including the full list of identified themes and the saturation results across the nine interviews.</w:t>
      </w:r>
    </w:p>
    <w:p w:rsidR="00753C1A" w:rsidRDefault="00753C1A" w:rsidP="00753C1A">
      <w:pPr>
        <w:tabs>
          <w:tab w:val="left" w:pos="567"/>
          <w:tab w:val="left" w:pos="794"/>
        </w:tabs>
      </w:pPr>
    </w:p>
    <w:p w:rsidR="00753C1A" w:rsidRDefault="00753C1A" w:rsidP="00753C1A">
      <w:pPr>
        <w:pStyle w:val="Heading3"/>
        <w:spacing w:before="240" w:after="240" w:line="360" w:lineRule="auto"/>
        <w:jc w:val="both"/>
      </w:pPr>
      <w:bookmarkStart w:id="8" w:name="_heading=h.l7o0b6vdnrr" w:colFirst="0" w:colLast="0"/>
      <w:bookmarkEnd w:id="8"/>
      <w:r>
        <w:rPr>
          <w:rFonts w:ascii="Arial" w:eastAsia="Arial" w:hAnsi="Arial" w:cs="Arial"/>
          <w:color w:val="3C78D8"/>
          <w:sz w:val="24"/>
          <w:szCs w:val="24"/>
        </w:rPr>
        <w:t>S4.1. The Interviews</w:t>
      </w:r>
    </w:p>
    <w:p w:rsidR="00753C1A" w:rsidRDefault="00753C1A" w:rsidP="00753C1A">
      <w:pPr>
        <w:pBdr>
          <w:top w:val="nil"/>
          <w:left w:val="nil"/>
          <w:bottom w:val="nil"/>
          <w:right w:val="nil"/>
          <w:between w:val="nil"/>
        </w:pBdr>
        <w:spacing w:before="240" w:after="240" w:line="360" w:lineRule="auto"/>
        <w:jc w:val="both"/>
        <w:rPr>
          <w:rFonts w:ascii="Arial" w:eastAsia="Arial" w:hAnsi="Arial" w:cs="Arial"/>
          <w:sz w:val="24"/>
          <w:szCs w:val="24"/>
        </w:rPr>
      </w:pPr>
      <w:r>
        <w:rPr>
          <w:rFonts w:ascii="Arial" w:eastAsia="Arial" w:hAnsi="Arial" w:cs="Arial"/>
          <w:sz w:val="24"/>
          <w:szCs w:val="24"/>
        </w:rPr>
        <w:t>This subsection outlines how the interviews were designed and conducted. The seven strategy types introduced in the main text served as a common frame to guide discussion. Each strategy type was presented through a short, illustrative narrative and a concise table of core features, supported by notes on how these narratives were prepared. The Actor Table from the main Results section (Table 3) informed the interview prompts by helping to identify the institutional and operational dimensions most relevant to each strategy.</w:t>
      </w:r>
    </w:p>
    <w:p w:rsidR="00753C1A" w:rsidRDefault="00753C1A" w:rsidP="00753C1A">
      <w:pPr>
        <w:pBdr>
          <w:top w:val="nil"/>
          <w:left w:val="nil"/>
          <w:bottom w:val="nil"/>
          <w:right w:val="nil"/>
          <w:between w:val="nil"/>
        </w:pBdr>
        <w:spacing w:before="240" w:after="240" w:line="360" w:lineRule="auto"/>
        <w:jc w:val="both"/>
        <w:rPr>
          <w:rFonts w:ascii="Arial" w:eastAsia="Arial" w:hAnsi="Arial" w:cs="Arial"/>
          <w:sz w:val="24"/>
          <w:szCs w:val="24"/>
        </w:rPr>
      </w:pPr>
      <w:r>
        <w:rPr>
          <w:rFonts w:ascii="Arial" w:eastAsia="Arial" w:hAnsi="Arial" w:cs="Arial"/>
          <w:sz w:val="24"/>
          <w:szCs w:val="24"/>
        </w:rPr>
        <w:t>The interviews aimed to test and refine the global strategy typology by situating it within Ukraine’s practical and institutional realities. Participants represented a broad range of actors involved in mine action and land recovery; from technical clearance teams and environmental specialists to policy planners and community representatives. The interviews were conducted in summer 2025 and reflect the governance arrangements and institutional structures in place at that time.</w:t>
      </w:r>
    </w:p>
    <w:p w:rsidR="00753C1A" w:rsidRDefault="00753C1A" w:rsidP="00753C1A">
      <w:pPr>
        <w:pBdr>
          <w:top w:val="nil"/>
          <w:left w:val="nil"/>
          <w:bottom w:val="nil"/>
          <w:right w:val="nil"/>
          <w:between w:val="nil"/>
        </w:pBdr>
        <w:spacing w:before="240" w:after="240" w:line="360" w:lineRule="auto"/>
        <w:jc w:val="both"/>
        <w:rPr>
          <w:rFonts w:ascii="Arial" w:eastAsia="Arial" w:hAnsi="Arial" w:cs="Arial"/>
          <w:sz w:val="24"/>
          <w:szCs w:val="24"/>
        </w:rPr>
      </w:pPr>
      <w:r>
        <w:rPr>
          <w:rFonts w:ascii="Arial" w:eastAsia="Arial" w:hAnsi="Arial" w:cs="Arial"/>
          <w:sz w:val="24"/>
          <w:szCs w:val="24"/>
        </w:rPr>
        <w:t xml:space="preserve">The semi-structured format ensured comparability across interviews while leaving space for personal reflection, critique, and storytelling. To facilitate engagement with the seven global strategies, each was introduced through a short fictional narrative. These narratives were used purely as communication tools to make abstract strategy </w:t>
      </w:r>
      <w:r>
        <w:rPr>
          <w:rFonts w:ascii="Arial" w:eastAsia="Arial" w:hAnsi="Arial" w:cs="Arial"/>
          <w:sz w:val="24"/>
          <w:szCs w:val="24"/>
        </w:rPr>
        <w:lastRenderedPageBreak/>
        <w:t>categories more tangible across professional backgrounds, drawing on narrative techniques in qualitative research (Elliott 2005, Leavy 2016). They were complemented by open-ended questions that invited participants to discuss issues, innovations and constraints they considered most relevant. Together, these conversations provided grounded insights that helped adapt and validate the typology for Ukraine’s evolving demining and recovery system.</w:t>
      </w:r>
    </w:p>
    <w:p w:rsidR="00753C1A" w:rsidRDefault="00753C1A" w:rsidP="00753C1A">
      <w:pPr>
        <w:spacing w:before="240" w:after="240" w:line="360" w:lineRule="auto"/>
        <w:jc w:val="both"/>
        <w:rPr>
          <w:rFonts w:ascii="Arial" w:eastAsia="Arial" w:hAnsi="Arial" w:cs="Arial"/>
          <w:b/>
          <w:bCs/>
          <w:color w:val="506E96"/>
          <w:sz w:val="24"/>
          <w:szCs w:val="24"/>
        </w:rPr>
      </w:pPr>
      <w:r>
        <w:rPr>
          <w:rFonts w:ascii="Arial" w:eastAsia="Arial" w:hAnsi="Arial" w:cs="Arial"/>
          <w:b/>
          <w:bCs/>
          <w:color w:val="506E96"/>
          <w:sz w:val="24"/>
          <w:szCs w:val="24"/>
        </w:rPr>
        <w:t>Strategy Type 1: Manual demining</w:t>
      </w:r>
    </w:p>
    <w:p w:rsidR="00753C1A" w:rsidRDefault="00753C1A" w:rsidP="00753C1A">
      <w:pPr>
        <w:spacing w:before="240" w:after="240" w:line="360" w:lineRule="auto"/>
        <w:jc w:val="both"/>
        <w:rPr>
          <w:rFonts w:ascii="Arial" w:eastAsia="Arial" w:hAnsi="Arial" w:cs="Arial"/>
          <w:b/>
          <w:bCs/>
          <w:color w:val="506E96"/>
          <w:sz w:val="24"/>
          <w:szCs w:val="24"/>
        </w:rPr>
      </w:pPr>
      <w:r>
        <w:rPr>
          <w:rFonts w:ascii="Arial" w:eastAsia="Arial" w:hAnsi="Arial" w:cs="Arial"/>
          <w:b/>
          <w:bCs/>
          <w:color w:val="506E96"/>
          <w:sz w:val="24"/>
          <w:szCs w:val="24"/>
        </w:rPr>
        <w:t>Narrative (communication prompt used in interviews)</w:t>
      </w:r>
    </w:p>
    <w:p w:rsidR="00753C1A" w:rsidRDefault="00753C1A" w:rsidP="00753C1A">
      <w:pPr>
        <w:spacing w:before="240" w:after="240" w:line="360" w:lineRule="auto"/>
        <w:jc w:val="both"/>
        <w:rPr>
          <w:rFonts w:ascii="Arial" w:eastAsia="Arial" w:hAnsi="Arial" w:cs="Arial"/>
          <w:i/>
          <w:iCs/>
          <w:sz w:val="24"/>
          <w:szCs w:val="24"/>
        </w:rPr>
      </w:pPr>
      <w:r>
        <w:rPr>
          <w:rFonts w:ascii="Arial" w:eastAsia="Arial" w:hAnsi="Arial" w:cs="Arial"/>
          <w:i/>
          <w:iCs/>
          <w:sz w:val="24"/>
          <w:szCs w:val="24"/>
        </w:rPr>
        <w:t>Note to the interviewed expert: This narrative is a communication aid designed to convey the defining features of the strategy in an accessible, illustrative format. It is not evidence-based, data-derived, or presented as an analytical finding. Its sole purpose is to help ensure a shared understanding of the strategy type as defined in Supplementary Material S2.3.</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In the village outskirts of a recently liberated district in Kharkiv oblast, a demining team from Ukraine’s State Emergency Services works systematically through a suspected hazardous area. Equipped with metal detectors, protective gear, and maps drawn from local testimonies and drone surveys, the team advances slowly, meter by meter. Each signal is investigated, each explosive threat unearthed and neutralized. The work is painstaking and dangerous, but it ensures precision and safety, especially in areas where civilians are expected to return soon. Manual demining is prioritized near homes, schools, and key infrastructure; places where machinery cannot easily operate, or where the presence of civilians requires maximum caution. Coordination with international NGOs like HALO Trust and national authorities is vital, but the capacity limits and time demands of manual operations remain significant challenges. This strategy emphasizes human skill, local knowledge, and safety, but it also requires long-term commitment and sustained resources (Table Expert Interviews 1).</w:t>
      </w:r>
    </w:p>
    <w:p w:rsidR="00753C1A" w:rsidRDefault="00753C1A" w:rsidP="00753C1A">
      <w:pPr>
        <w:spacing w:before="240" w:after="240" w:line="360" w:lineRule="auto"/>
        <w:jc w:val="both"/>
        <w:rPr>
          <w:rFonts w:ascii="Arial" w:eastAsia="Arial" w:hAnsi="Arial" w:cs="Arial"/>
          <w:sz w:val="16"/>
          <w:szCs w:val="16"/>
        </w:rPr>
      </w:pPr>
      <w:r>
        <w:rPr>
          <w:rFonts w:ascii="Arial" w:eastAsia="Arial" w:hAnsi="Arial" w:cs="Arial"/>
          <w:sz w:val="16"/>
          <w:szCs w:val="16"/>
        </w:rPr>
        <w:t>Table Expert Interviews 1. Key characteristics “Manual Demining”.</w:t>
      </w:r>
    </w:p>
    <w:tbl>
      <w:tblPr>
        <w:tblW w:w="8850" w:type="dxa"/>
        <w:tblBorders>
          <w:top w:val="nil"/>
          <w:left w:val="nil"/>
          <w:bottom w:val="nil"/>
          <w:right w:val="nil"/>
          <w:insideH w:val="nil"/>
          <w:insideV w:val="nil"/>
        </w:tblBorders>
        <w:tblLayout w:type="fixed"/>
        <w:tblLook w:val="0600" w:firstRow="0" w:lastRow="0" w:firstColumn="0" w:lastColumn="0" w:noHBand="1" w:noVBand="1"/>
      </w:tblPr>
      <w:tblGrid>
        <w:gridCol w:w="1755"/>
        <w:gridCol w:w="7095"/>
      </w:tblGrid>
      <w:tr w:rsidR="00753C1A" w:rsidTr="003A5549">
        <w:trPr>
          <w:trHeight w:val="330"/>
        </w:trPr>
        <w:tc>
          <w:tcPr>
            <w:tcW w:w="1755" w:type="dxa"/>
            <w:tcBorders>
              <w:top w:val="nil"/>
              <w:left w:val="nil"/>
              <w:bottom w:val="nil"/>
              <w:right w:val="nil"/>
            </w:tcBorders>
            <w:shd w:val="clear" w:color="auto" w:fill="A6A6A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t>Dimension</w:t>
            </w:r>
          </w:p>
        </w:tc>
        <w:tc>
          <w:tcPr>
            <w:tcW w:w="7095" w:type="dxa"/>
            <w:tcBorders>
              <w:top w:val="nil"/>
              <w:left w:val="nil"/>
              <w:bottom w:val="nil"/>
              <w:right w:val="nil"/>
            </w:tcBorders>
            <w:shd w:val="clear" w:color="auto" w:fill="A6A6A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t>Description</w:t>
            </w:r>
          </w:p>
        </w:tc>
      </w:tr>
      <w:tr w:rsidR="00753C1A" w:rsidTr="003A5549">
        <w:trPr>
          <w:trHeight w:val="330"/>
        </w:trPr>
        <w:tc>
          <w:tcPr>
            <w:tcW w:w="1755" w:type="dxa"/>
            <w:tcBorders>
              <w:top w:val="single" w:sz="5" w:space="0" w:color="FFFFFF"/>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lastRenderedPageBreak/>
              <w:t>Strategy Name</w:t>
            </w:r>
          </w:p>
        </w:tc>
        <w:tc>
          <w:tcPr>
            <w:tcW w:w="7095" w:type="dxa"/>
            <w:tcBorders>
              <w:top w:val="single" w:sz="5" w:space="0" w:color="FFFFFF"/>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Manual Demining</w:t>
            </w:r>
          </w:p>
        </w:tc>
      </w:tr>
      <w:tr w:rsidR="00753C1A" w:rsidTr="003A5549">
        <w:trPr>
          <w:trHeight w:val="330"/>
        </w:trPr>
        <w:tc>
          <w:tcPr>
            <w:tcW w:w="175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t>Primary Objective</w:t>
            </w:r>
          </w:p>
        </w:tc>
        <w:tc>
          <w:tcPr>
            <w:tcW w:w="709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accurate, safe clearance of landmines and ERW in civilian and sensitive areas</w:t>
            </w:r>
          </w:p>
        </w:tc>
      </w:tr>
      <w:tr w:rsidR="00753C1A" w:rsidTr="003A5549">
        <w:trPr>
          <w:trHeight w:val="330"/>
        </w:trPr>
        <w:tc>
          <w:tcPr>
            <w:tcW w:w="175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t>Lead Actors</w:t>
            </w:r>
          </w:p>
        </w:tc>
        <w:tc>
          <w:tcPr>
            <w:tcW w:w="709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SESU (State Emergency Service of Ukraine), national military units, HALO Trust</w:t>
            </w:r>
          </w:p>
        </w:tc>
      </w:tr>
      <w:tr w:rsidR="00753C1A" w:rsidTr="003A5549">
        <w:trPr>
          <w:trHeight w:val="330"/>
        </w:trPr>
        <w:tc>
          <w:tcPr>
            <w:tcW w:w="175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t>Supporting Actors</w:t>
            </w:r>
          </w:p>
        </w:tc>
        <w:tc>
          <w:tcPr>
            <w:tcW w:w="709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local communities (information provision), international donors, UNDP</w:t>
            </w:r>
          </w:p>
        </w:tc>
      </w:tr>
      <w:tr w:rsidR="00753C1A" w:rsidTr="003A5549">
        <w:trPr>
          <w:trHeight w:val="330"/>
        </w:trPr>
        <w:tc>
          <w:tcPr>
            <w:tcW w:w="175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t>Operational Tools</w:t>
            </w:r>
          </w:p>
        </w:tc>
        <w:tc>
          <w:tcPr>
            <w:tcW w:w="709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metal detectors, probes, protective equipment, GIS maps</w:t>
            </w:r>
          </w:p>
        </w:tc>
      </w:tr>
      <w:tr w:rsidR="00753C1A" w:rsidTr="003A5549">
        <w:trPr>
          <w:trHeight w:val="330"/>
        </w:trPr>
        <w:tc>
          <w:tcPr>
            <w:tcW w:w="175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t>Application Context</w:t>
            </w:r>
          </w:p>
        </w:tc>
        <w:tc>
          <w:tcPr>
            <w:tcW w:w="709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high-priority areas (schools, homes, roads), dense terrain, post-liberation</w:t>
            </w:r>
          </w:p>
        </w:tc>
      </w:tr>
      <w:tr w:rsidR="00753C1A" w:rsidTr="003A5549">
        <w:trPr>
          <w:trHeight w:val="330"/>
        </w:trPr>
        <w:tc>
          <w:tcPr>
            <w:tcW w:w="175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t>Scale of Use</w:t>
            </w:r>
          </w:p>
        </w:tc>
        <w:tc>
          <w:tcPr>
            <w:tcW w:w="709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small to medium area (site-specific operations)</w:t>
            </w:r>
          </w:p>
        </w:tc>
      </w:tr>
      <w:tr w:rsidR="00753C1A" w:rsidTr="003A5549">
        <w:trPr>
          <w:trHeight w:val="330"/>
        </w:trPr>
        <w:tc>
          <w:tcPr>
            <w:tcW w:w="175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t>Timeframe</w:t>
            </w:r>
          </w:p>
        </w:tc>
        <w:tc>
          <w:tcPr>
            <w:tcW w:w="709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long-term, labor-intensive</w:t>
            </w:r>
          </w:p>
        </w:tc>
      </w:tr>
      <w:tr w:rsidR="00753C1A" w:rsidTr="003A5549">
        <w:trPr>
          <w:trHeight w:val="330"/>
        </w:trPr>
        <w:tc>
          <w:tcPr>
            <w:tcW w:w="175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t>Core Advantages</w:t>
            </w:r>
          </w:p>
        </w:tc>
        <w:tc>
          <w:tcPr>
            <w:tcW w:w="709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High precision; adaptable to complex or urban terrain; builds local trust</w:t>
            </w:r>
          </w:p>
        </w:tc>
      </w:tr>
      <w:tr w:rsidR="00753C1A" w:rsidTr="003A5549">
        <w:trPr>
          <w:trHeight w:val="330"/>
        </w:trPr>
        <w:tc>
          <w:tcPr>
            <w:tcW w:w="175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t>Core Limitations</w:t>
            </w:r>
          </w:p>
        </w:tc>
        <w:tc>
          <w:tcPr>
            <w:tcW w:w="709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Slow pace; expensive per m² cleared; depends on skilled human labor</w:t>
            </w:r>
          </w:p>
        </w:tc>
      </w:tr>
      <w:tr w:rsidR="00753C1A" w:rsidTr="003A5549">
        <w:trPr>
          <w:trHeight w:val="330"/>
        </w:trPr>
        <w:tc>
          <w:tcPr>
            <w:tcW w:w="175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t>Evidence Base</w:t>
            </w:r>
          </w:p>
        </w:tc>
        <w:tc>
          <w:tcPr>
            <w:tcW w:w="709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Global use in Angola, Cambodia, Bosnia, Sri Lanka; standard in ICRC/UNMAS ops</w:t>
            </w:r>
          </w:p>
        </w:tc>
      </w:tr>
      <w:tr w:rsidR="00753C1A" w:rsidTr="003A5549">
        <w:trPr>
          <w:trHeight w:val="570"/>
        </w:trPr>
        <w:tc>
          <w:tcPr>
            <w:tcW w:w="175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t>Indicative Financing Model</w:t>
            </w:r>
          </w:p>
        </w:tc>
        <w:tc>
          <w:tcPr>
            <w:tcW w:w="709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State funding with international donor support (e.g. UNDP, EU, bilateral donors); humanitarian mine action programs; possible co-financing with oblast budgets</w:t>
            </w:r>
          </w:p>
        </w:tc>
      </w:tr>
    </w:tbl>
    <w:p w:rsidR="00753C1A" w:rsidRDefault="00753C1A" w:rsidP="00753C1A">
      <w:pPr>
        <w:spacing w:before="240" w:after="240" w:line="360" w:lineRule="auto"/>
        <w:jc w:val="both"/>
        <w:rPr>
          <w:rFonts w:ascii="Arial" w:eastAsia="Arial" w:hAnsi="Arial" w:cs="Arial"/>
          <w:b/>
          <w:bCs/>
          <w:sz w:val="24"/>
          <w:szCs w:val="24"/>
        </w:rPr>
      </w:pPr>
    </w:p>
    <w:p w:rsidR="00753C1A" w:rsidRDefault="00753C1A" w:rsidP="00753C1A">
      <w:pPr>
        <w:spacing w:before="240" w:after="240" w:line="360" w:lineRule="auto"/>
        <w:jc w:val="both"/>
        <w:rPr>
          <w:rFonts w:ascii="Arial" w:eastAsia="Arial" w:hAnsi="Arial" w:cs="Arial"/>
          <w:b/>
          <w:bCs/>
          <w:color w:val="506E96"/>
          <w:sz w:val="24"/>
          <w:szCs w:val="24"/>
        </w:rPr>
      </w:pPr>
      <w:r>
        <w:rPr>
          <w:rFonts w:ascii="Arial" w:eastAsia="Arial" w:hAnsi="Arial" w:cs="Arial"/>
          <w:b/>
          <w:bCs/>
          <w:color w:val="506E96"/>
          <w:sz w:val="24"/>
          <w:szCs w:val="24"/>
        </w:rPr>
        <w:t>Notes on narrative development</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 xml:space="preserve">This narrative was developed as an illustrative scenario based on the key characteristics of Strategy Type 1 (Table Expert Interviews 1) from our typology (Supplementary Material S2.3. and main body text section 2.3./ Table 1), and informed by global literature on humanitarian mine-action. It reflects common patterns of manual demining operations in post-conflict settings, particularly where precision, civilian </w:t>
      </w:r>
      <w:r>
        <w:rPr>
          <w:rFonts w:ascii="Arial" w:eastAsia="Arial" w:hAnsi="Arial" w:cs="Arial"/>
          <w:sz w:val="24"/>
          <w:szCs w:val="24"/>
        </w:rPr>
        <w:lastRenderedPageBreak/>
        <w:t>protection, or terrain constraints make mechanical clearance unfeasible. Sources include operational guidelines from UNMAS, GICHD, and comparative cases in Angola, Bosnia, and Cambodia.</w:t>
      </w:r>
    </w:p>
    <w:p w:rsidR="00753C1A" w:rsidRDefault="00753C1A" w:rsidP="00753C1A">
      <w:pPr>
        <w:spacing w:before="240" w:after="240" w:line="360" w:lineRule="auto"/>
        <w:jc w:val="both"/>
        <w:rPr>
          <w:rFonts w:ascii="Arial" w:eastAsia="Arial" w:hAnsi="Arial" w:cs="Arial"/>
          <w:b/>
          <w:bCs/>
          <w:sz w:val="24"/>
          <w:szCs w:val="24"/>
        </w:rPr>
      </w:pPr>
      <w:r>
        <w:rPr>
          <w:rFonts w:ascii="Arial" w:eastAsia="Arial" w:hAnsi="Arial" w:cs="Arial"/>
          <w:b/>
          <w:bCs/>
          <w:sz w:val="24"/>
          <w:szCs w:val="24"/>
        </w:rPr>
        <w:t xml:space="preserve"> </w:t>
      </w:r>
    </w:p>
    <w:p w:rsidR="00753C1A" w:rsidRDefault="00753C1A" w:rsidP="00753C1A">
      <w:pPr>
        <w:spacing w:before="240" w:after="240" w:line="360" w:lineRule="auto"/>
        <w:jc w:val="both"/>
        <w:rPr>
          <w:rFonts w:ascii="Arial" w:eastAsia="Arial" w:hAnsi="Arial" w:cs="Arial"/>
          <w:b/>
          <w:bCs/>
          <w:color w:val="506E96"/>
          <w:sz w:val="24"/>
          <w:szCs w:val="24"/>
        </w:rPr>
      </w:pPr>
      <w:r>
        <w:rPr>
          <w:rFonts w:ascii="Arial" w:eastAsia="Arial" w:hAnsi="Arial" w:cs="Arial"/>
          <w:b/>
          <w:bCs/>
          <w:color w:val="506E96"/>
          <w:sz w:val="24"/>
          <w:szCs w:val="24"/>
        </w:rPr>
        <w:t>Guiding questions used in Interviews</w:t>
      </w:r>
    </w:p>
    <w:p w:rsidR="00753C1A" w:rsidRDefault="00753C1A" w:rsidP="00753C1A">
      <w:pPr>
        <w:numPr>
          <w:ilvl w:val="0"/>
          <w:numId w:val="7"/>
        </w:numPr>
        <w:spacing w:after="0" w:line="360" w:lineRule="auto"/>
        <w:rPr>
          <w:rFonts w:ascii="Arial" w:eastAsia="Arial" w:hAnsi="Arial" w:cs="Arial"/>
          <w:color w:val="783F04"/>
          <w:sz w:val="24"/>
          <w:szCs w:val="24"/>
        </w:rPr>
      </w:pPr>
      <w:r>
        <w:rPr>
          <w:rFonts w:ascii="Arial" w:eastAsia="Arial" w:hAnsi="Arial" w:cs="Arial"/>
          <w:color w:val="783F04"/>
          <w:sz w:val="24"/>
          <w:szCs w:val="24"/>
        </w:rPr>
        <w:t>In your experience, does this narrative reflect how manual demining is typically applied in Ukraine or other post-conflict settings?</w:t>
      </w:r>
    </w:p>
    <w:p w:rsidR="00753C1A" w:rsidRDefault="00753C1A" w:rsidP="00753C1A">
      <w:pPr>
        <w:numPr>
          <w:ilvl w:val="0"/>
          <w:numId w:val="7"/>
        </w:numPr>
        <w:spacing w:after="0" w:line="360" w:lineRule="auto"/>
        <w:rPr>
          <w:rFonts w:ascii="Arial" w:eastAsia="Arial" w:hAnsi="Arial" w:cs="Arial"/>
          <w:color w:val="783F04"/>
          <w:sz w:val="24"/>
          <w:szCs w:val="24"/>
        </w:rPr>
      </w:pPr>
      <w:r>
        <w:rPr>
          <w:rFonts w:ascii="Arial" w:eastAsia="Arial" w:hAnsi="Arial" w:cs="Arial"/>
          <w:color w:val="783F04"/>
          <w:sz w:val="24"/>
          <w:szCs w:val="24"/>
        </w:rPr>
        <w:t>Are there any critical elements missing or misrepresented?</w:t>
      </w:r>
    </w:p>
    <w:p w:rsidR="00753C1A" w:rsidRDefault="00753C1A" w:rsidP="00753C1A">
      <w:pPr>
        <w:numPr>
          <w:ilvl w:val="0"/>
          <w:numId w:val="7"/>
        </w:numPr>
        <w:spacing w:after="0" w:line="360" w:lineRule="auto"/>
        <w:rPr>
          <w:rFonts w:ascii="Arial" w:eastAsia="Arial" w:hAnsi="Arial" w:cs="Arial"/>
          <w:color w:val="783F04"/>
          <w:sz w:val="24"/>
          <w:szCs w:val="24"/>
        </w:rPr>
      </w:pPr>
      <w:r>
        <w:rPr>
          <w:rFonts w:ascii="Arial" w:eastAsia="Arial" w:hAnsi="Arial" w:cs="Arial"/>
          <w:color w:val="783F04"/>
          <w:sz w:val="24"/>
          <w:szCs w:val="24"/>
        </w:rPr>
        <w:t>How feasible is this approach in Ukraine’s current recovery landscape (logistically, politically, financially)?</w:t>
      </w:r>
    </w:p>
    <w:p w:rsidR="00753C1A" w:rsidRDefault="00753C1A" w:rsidP="00753C1A">
      <w:pPr>
        <w:numPr>
          <w:ilvl w:val="0"/>
          <w:numId w:val="7"/>
        </w:numPr>
        <w:spacing w:after="0" w:line="360" w:lineRule="auto"/>
        <w:rPr>
          <w:rFonts w:ascii="Arial" w:eastAsia="Arial" w:hAnsi="Arial" w:cs="Arial"/>
          <w:color w:val="783F04"/>
          <w:sz w:val="24"/>
          <w:szCs w:val="24"/>
        </w:rPr>
      </w:pPr>
      <w:r>
        <w:rPr>
          <w:rFonts w:ascii="Arial" w:eastAsia="Arial" w:hAnsi="Arial" w:cs="Arial"/>
          <w:color w:val="783F04"/>
          <w:sz w:val="24"/>
          <w:szCs w:val="24"/>
        </w:rPr>
        <w:t>Would you see variations of this strategy emerging in Ukraine? If so, what would they look like?</w:t>
      </w:r>
    </w:p>
    <w:p w:rsidR="00753C1A" w:rsidRDefault="00753C1A" w:rsidP="00753C1A">
      <w:pPr>
        <w:numPr>
          <w:ilvl w:val="0"/>
          <w:numId w:val="7"/>
        </w:numPr>
        <w:spacing w:after="0" w:line="360" w:lineRule="auto"/>
        <w:rPr>
          <w:rFonts w:ascii="Arial" w:eastAsia="Arial" w:hAnsi="Arial" w:cs="Arial"/>
          <w:color w:val="783F04"/>
          <w:sz w:val="24"/>
          <w:szCs w:val="24"/>
        </w:rPr>
      </w:pPr>
      <w:r>
        <w:rPr>
          <w:rFonts w:ascii="Arial" w:eastAsia="Arial" w:hAnsi="Arial" w:cs="Arial"/>
          <w:color w:val="783F04"/>
          <w:sz w:val="24"/>
          <w:szCs w:val="24"/>
        </w:rPr>
        <w:t>What kinds of actors (state, NGO, community) are best positioned to lead or support such work?</w:t>
      </w:r>
    </w:p>
    <w:p w:rsidR="00753C1A" w:rsidRDefault="00753C1A" w:rsidP="00753C1A">
      <w:pPr>
        <w:numPr>
          <w:ilvl w:val="0"/>
          <w:numId w:val="7"/>
        </w:numPr>
        <w:spacing w:after="240" w:line="360" w:lineRule="auto"/>
        <w:rPr>
          <w:rFonts w:ascii="Arial" w:eastAsia="Arial" w:hAnsi="Arial" w:cs="Arial"/>
          <w:color w:val="783F04"/>
          <w:sz w:val="24"/>
          <w:szCs w:val="24"/>
        </w:rPr>
      </w:pPr>
      <w:r>
        <w:rPr>
          <w:rFonts w:ascii="Arial" w:eastAsia="Arial" w:hAnsi="Arial" w:cs="Arial"/>
          <w:color w:val="783F04"/>
          <w:sz w:val="24"/>
          <w:szCs w:val="24"/>
        </w:rPr>
        <w:t>In your view, are there opportunities for social innovation in this domain (e.g., new training models, partnerships, or technologies that empower local actors)?</w:t>
      </w:r>
    </w:p>
    <w:p w:rsidR="00753C1A" w:rsidRDefault="00753C1A" w:rsidP="00753C1A">
      <w:pPr>
        <w:spacing w:before="240" w:after="240" w:line="360" w:lineRule="auto"/>
        <w:jc w:val="both"/>
        <w:rPr>
          <w:rFonts w:ascii="Arial" w:eastAsia="Arial" w:hAnsi="Arial" w:cs="Arial"/>
          <w:b/>
          <w:bCs/>
          <w:sz w:val="24"/>
          <w:szCs w:val="24"/>
        </w:rPr>
      </w:pPr>
    </w:p>
    <w:p w:rsidR="00753C1A" w:rsidRDefault="00753C1A" w:rsidP="00753C1A">
      <w:pPr>
        <w:spacing w:before="240" w:after="240" w:line="360" w:lineRule="auto"/>
        <w:jc w:val="both"/>
        <w:rPr>
          <w:rFonts w:ascii="Arial" w:eastAsia="Arial" w:hAnsi="Arial" w:cs="Arial"/>
          <w:b/>
          <w:bCs/>
          <w:color w:val="506E96"/>
          <w:sz w:val="24"/>
          <w:szCs w:val="24"/>
        </w:rPr>
      </w:pPr>
      <w:r>
        <w:rPr>
          <w:rFonts w:ascii="Arial" w:eastAsia="Arial" w:hAnsi="Arial" w:cs="Arial"/>
          <w:b/>
          <w:bCs/>
          <w:color w:val="506E96"/>
          <w:sz w:val="24"/>
          <w:szCs w:val="24"/>
        </w:rPr>
        <w:t>Link to actor landscape (see Results section main body, Table 3)</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Manual demining involves SESU, national military units, HALO Trust, and local communities. Accordingly:</w:t>
      </w:r>
    </w:p>
    <w:p w:rsidR="00753C1A" w:rsidRDefault="00753C1A" w:rsidP="00753C1A">
      <w:pPr>
        <w:numPr>
          <w:ilvl w:val="0"/>
          <w:numId w:val="2"/>
        </w:numPr>
        <w:spacing w:after="0" w:line="360" w:lineRule="auto"/>
        <w:rPr>
          <w:rFonts w:ascii="Arial" w:eastAsia="Arial" w:hAnsi="Arial" w:cs="Arial"/>
          <w:sz w:val="24"/>
          <w:szCs w:val="24"/>
        </w:rPr>
      </w:pPr>
      <w:r>
        <w:rPr>
          <w:rFonts w:ascii="Arial" w:eastAsia="Arial" w:hAnsi="Arial" w:cs="Arial"/>
          <w:sz w:val="24"/>
          <w:szCs w:val="24"/>
        </w:rPr>
        <w:t>Q1 and Q2 address accuracy and gaps in operational framing (SESU, HALO).</w:t>
      </w:r>
    </w:p>
    <w:p w:rsidR="00753C1A" w:rsidRDefault="00753C1A" w:rsidP="00753C1A">
      <w:pPr>
        <w:numPr>
          <w:ilvl w:val="0"/>
          <w:numId w:val="2"/>
        </w:numPr>
        <w:spacing w:after="0" w:line="360" w:lineRule="auto"/>
        <w:rPr>
          <w:rFonts w:ascii="Arial" w:eastAsia="Arial" w:hAnsi="Arial" w:cs="Arial"/>
          <w:sz w:val="24"/>
          <w:szCs w:val="24"/>
        </w:rPr>
      </w:pPr>
      <w:r>
        <w:rPr>
          <w:rFonts w:ascii="Arial" w:eastAsia="Arial" w:hAnsi="Arial" w:cs="Arial"/>
          <w:sz w:val="24"/>
          <w:szCs w:val="24"/>
        </w:rPr>
        <w:t>Q3 focuses on feasibility (national capacity, NGOs, oblast coordination).</w:t>
      </w:r>
    </w:p>
    <w:p w:rsidR="00753C1A" w:rsidRDefault="00753C1A" w:rsidP="00753C1A">
      <w:pPr>
        <w:numPr>
          <w:ilvl w:val="0"/>
          <w:numId w:val="2"/>
        </w:numPr>
        <w:spacing w:after="0" w:line="360" w:lineRule="auto"/>
        <w:rPr>
          <w:rFonts w:ascii="Arial" w:eastAsia="Arial" w:hAnsi="Arial" w:cs="Arial"/>
          <w:sz w:val="24"/>
          <w:szCs w:val="24"/>
        </w:rPr>
      </w:pPr>
      <w:r>
        <w:rPr>
          <w:rFonts w:ascii="Arial" w:eastAsia="Arial" w:hAnsi="Arial" w:cs="Arial"/>
          <w:sz w:val="24"/>
          <w:szCs w:val="24"/>
        </w:rPr>
        <w:t>Q5 surfaces actor leadership and implementation roles (e.g., SESU vs. international NGOs vs. local partners).</w:t>
      </w:r>
    </w:p>
    <w:p w:rsidR="00753C1A" w:rsidRDefault="00753C1A" w:rsidP="00753C1A">
      <w:pPr>
        <w:numPr>
          <w:ilvl w:val="0"/>
          <w:numId w:val="2"/>
        </w:numPr>
        <w:spacing w:after="240" w:line="360" w:lineRule="auto"/>
        <w:rPr>
          <w:rFonts w:ascii="Arial" w:eastAsia="Arial" w:hAnsi="Arial" w:cs="Arial"/>
          <w:sz w:val="24"/>
          <w:szCs w:val="24"/>
        </w:rPr>
      </w:pPr>
      <w:r>
        <w:rPr>
          <w:rFonts w:ascii="Arial" w:eastAsia="Arial" w:hAnsi="Arial" w:cs="Arial"/>
          <w:sz w:val="24"/>
          <w:szCs w:val="24"/>
        </w:rPr>
        <w:t>Q6 was added to probe potential for social innovation, particularly in training, monitoring, or trust-building roles identified for local actors in the Actor Table.</w:t>
      </w:r>
    </w:p>
    <w:p w:rsidR="00753C1A" w:rsidRDefault="00753C1A" w:rsidP="00753C1A">
      <w:pPr>
        <w:spacing w:line="360" w:lineRule="auto"/>
        <w:jc w:val="both"/>
        <w:rPr>
          <w:rFonts w:ascii="Arial" w:eastAsia="Arial" w:hAnsi="Arial" w:cs="Arial"/>
          <w:sz w:val="24"/>
          <w:szCs w:val="24"/>
        </w:rPr>
      </w:pPr>
    </w:p>
    <w:p w:rsidR="00753C1A" w:rsidRDefault="00753C1A" w:rsidP="00753C1A">
      <w:pPr>
        <w:spacing w:before="240" w:line="360" w:lineRule="auto"/>
        <w:jc w:val="both"/>
        <w:rPr>
          <w:rFonts w:ascii="Arial" w:eastAsia="Arial" w:hAnsi="Arial" w:cs="Arial"/>
          <w:sz w:val="24"/>
          <w:szCs w:val="24"/>
        </w:rPr>
      </w:pPr>
    </w:p>
    <w:p w:rsidR="00753C1A" w:rsidRDefault="00753C1A" w:rsidP="00753C1A">
      <w:pPr>
        <w:spacing w:before="240" w:after="240" w:line="360" w:lineRule="auto"/>
        <w:jc w:val="both"/>
        <w:rPr>
          <w:rFonts w:ascii="Arial" w:eastAsia="Arial" w:hAnsi="Arial" w:cs="Arial"/>
          <w:b/>
          <w:bCs/>
          <w:color w:val="506E96"/>
          <w:sz w:val="24"/>
          <w:szCs w:val="24"/>
        </w:rPr>
      </w:pPr>
      <w:r>
        <w:rPr>
          <w:rFonts w:ascii="Arial" w:eastAsia="Arial" w:hAnsi="Arial" w:cs="Arial"/>
          <w:b/>
          <w:bCs/>
          <w:color w:val="506E96"/>
          <w:sz w:val="24"/>
          <w:szCs w:val="24"/>
        </w:rPr>
        <w:t>Strategy Type 2: Mechanical demining</w:t>
      </w:r>
    </w:p>
    <w:p w:rsidR="00753C1A" w:rsidRDefault="00753C1A" w:rsidP="00753C1A">
      <w:pPr>
        <w:spacing w:before="240" w:after="240" w:line="360" w:lineRule="auto"/>
        <w:jc w:val="both"/>
        <w:rPr>
          <w:rFonts w:ascii="Arial" w:eastAsia="Arial" w:hAnsi="Arial" w:cs="Arial"/>
          <w:b/>
          <w:bCs/>
          <w:color w:val="506E96"/>
          <w:sz w:val="24"/>
          <w:szCs w:val="24"/>
        </w:rPr>
      </w:pPr>
      <w:r>
        <w:rPr>
          <w:rFonts w:ascii="Arial" w:eastAsia="Arial" w:hAnsi="Arial" w:cs="Arial"/>
          <w:b/>
          <w:bCs/>
          <w:color w:val="506E96"/>
          <w:sz w:val="24"/>
          <w:szCs w:val="24"/>
        </w:rPr>
        <w:t>Narrative (communication prompt used in interviews)</w:t>
      </w:r>
    </w:p>
    <w:p w:rsidR="00753C1A" w:rsidRDefault="00753C1A" w:rsidP="00753C1A">
      <w:pPr>
        <w:spacing w:before="240" w:after="240" w:line="360" w:lineRule="auto"/>
        <w:jc w:val="both"/>
        <w:rPr>
          <w:rFonts w:ascii="Arial" w:eastAsia="Arial" w:hAnsi="Arial" w:cs="Arial"/>
          <w:i/>
          <w:iCs/>
          <w:sz w:val="24"/>
          <w:szCs w:val="24"/>
        </w:rPr>
      </w:pPr>
      <w:r>
        <w:rPr>
          <w:rFonts w:ascii="Arial" w:eastAsia="Arial" w:hAnsi="Arial" w:cs="Arial"/>
          <w:i/>
          <w:iCs/>
          <w:sz w:val="24"/>
          <w:szCs w:val="24"/>
        </w:rPr>
        <w:t>Note to the interviewed expert: This narrative is a communication aid designed to convey the defining features of the strategy in an accessible, illustrative format. It is not evidence-based, data-derived, or presented as an analytical finding. Its sole purpose is to help ensure a shared understanding of the strategy type as defined in Section 3 (Results/ Strategy Typology).</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In the open agricultural plains near Mykolaiv, large armored demining machines, equipped with flails, tillers, and remote-control systems, sweep slowly across a mined field. Operated by trained crews from a private Ukrainian contractor under the supervision of national authorities, the machines are clearing anti-tank mines left behind by retreating forces. The area is sparsely populated but economically important, and fast clearance is needed to restore agricultural production. Mechanical demining is especially efficient in relatively flat and accessible terrain. It is often used in early-phase operations to prepare land for further manual verification or for bulk clearance of lower-risk zones. While machinery can clear large areas quickly, it is costly to deploy, vulnerable to breakdowns, and less effective in complex environments such as forests, wetlands, or urban rubble. In this approach, speed and scale are prioritized while human oversight and cross-validation remain essential (Table Expert Interviews 2).</w:t>
      </w:r>
    </w:p>
    <w:p w:rsidR="00753C1A" w:rsidRDefault="00753C1A" w:rsidP="00753C1A">
      <w:pPr>
        <w:spacing w:before="240" w:after="240" w:line="360" w:lineRule="auto"/>
        <w:jc w:val="both"/>
        <w:rPr>
          <w:rFonts w:ascii="Arial" w:eastAsia="Arial" w:hAnsi="Arial" w:cs="Arial"/>
          <w:sz w:val="16"/>
          <w:szCs w:val="16"/>
        </w:rPr>
      </w:pPr>
      <w:r>
        <w:rPr>
          <w:rFonts w:ascii="Arial" w:eastAsia="Arial" w:hAnsi="Arial" w:cs="Arial"/>
          <w:sz w:val="16"/>
          <w:szCs w:val="16"/>
        </w:rPr>
        <w:t>Table Expert Interviews 2. Key characteristics “Mechanical Demining”.</w:t>
      </w:r>
    </w:p>
    <w:tbl>
      <w:tblPr>
        <w:tblW w:w="8835" w:type="dxa"/>
        <w:tblBorders>
          <w:top w:val="nil"/>
          <w:left w:val="nil"/>
          <w:bottom w:val="nil"/>
          <w:right w:val="nil"/>
          <w:insideH w:val="nil"/>
          <w:insideV w:val="nil"/>
        </w:tblBorders>
        <w:tblLayout w:type="fixed"/>
        <w:tblLook w:val="0600" w:firstRow="0" w:lastRow="0" w:firstColumn="0" w:lastColumn="0" w:noHBand="1" w:noVBand="1"/>
      </w:tblPr>
      <w:tblGrid>
        <w:gridCol w:w="1530"/>
        <w:gridCol w:w="7305"/>
      </w:tblGrid>
      <w:tr w:rsidR="00753C1A" w:rsidTr="003A5549">
        <w:trPr>
          <w:trHeight w:val="330"/>
        </w:trPr>
        <w:tc>
          <w:tcPr>
            <w:tcW w:w="1530" w:type="dxa"/>
            <w:tcBorders>
              <w:top w:val="nil"/>
              <w:left w:val="nil"/>
              <w:bottom w:val="nil"/>
              <w:right w:val="nil"/>
            </w:tcBorders>
            <w:shd w:val="clear" w:color="auto" w:fill="A6A6A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t>Dimension</w:t>
            </w:r>
          </w:p>
        </w:tc>
        <w:tc>
          <w:tcPr>
            <w:tcW w:w="7305" w:type="dxa"/>
            <w:tcBorders>
              <w:top w:val="nil"/>
              <w:left w:val="nil"/>
              <w:bottom w:val="nil"/>
              <w:right w:val="nil"/>
            </w:tcBorders>
            <w:shd w:val="clear" w:color="auto" w:fill="A6A6A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t>Description</w:t>
            </w:r>
          </w:p>
        </w:tc>
      </w:tr>
      <w:tr w:rsidR="00753C1A" w:rsidTr="003A5549">
        <w:trPr>
          <w:trHeight w:val="330"/>
        </w:trPr>
        <w:tc>
          <w:tcPr>
            <w:tcW w:w="1530" w:type="dxa"/>
            <w:tcBorders>
              <w:top w:val="single" w:sz="5" w:space="0" w:color="FFFFFF"/>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Strategy Name</w:t>
            </w:r>
          </w:p>
        </w:tc>
        <w:tc>
          <w:tcPr>
            <w:tcW w:w="7305" w:type="dxa"/>
            <w:tcBorders>
              <w:top w:val="single" w:sz="5" w:space="0" w:color="FFFFFF"/>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Mechanical Demining</w:t>
            </w:r>
          </w:p>
        </w:tc>
      </w:tr>
      <w:tr w:rsidR="00753C1A" w:rsidTr="003A5549">
        <w:trPr>
          <w:trHeight w:val="570"/>
        </w:trPr>
        <w:tc>
          <w:tcPr>
            <w:tcW w:w="153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Primary Objective</w:t>
            </w:r>
          </w:p>
        </w:tc>
        <w:tc>
          <w:tcPr>
            <w:tcW w:w="730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rapid clearance of large and accessible contaminated areas</w:t>
            </w:r>
          </w:p>
        </w:tc>
      </w:tr>
      <w:tr w:rsidR="00753C1A" w:rsidTr="003A5549">
        <w:trPr>
          <w:trHeight w:val="330"/>
        </w:trPr>
        <w:tc>
          <w:tcPr>
            <w:tcW w:w="153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Lead Actors</w:t>
            </w:r>
          </w:p>
        </w:tc>
        <w:tc>
          <w:tcPr>
            <w:tcW w:w="730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private licensed demining firms, SESU, Ministry of Economy</w:t>
            </w:r>
          </w:p>
        </w:tc>
      </w:tr>
      <w:tr w:rsidR="00753C1A" w:rsidTr="003A5549">
        <w:trPr>
          <w:trHeight w:val="570"/>
        </w:trPr>
        <w:tc>
          <w:tcPr>
            <w:tcW w:w="153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lastRenderedPageBreak/>
              <w:t>Supporting Actors</w:t>
            </w:r>
          </w:p>
        </w:tc>
        <w:tc>
          <w:tcPr>
            <w:tcW w:w="730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local contractors, international donors, national military engineers</w:t>
            </w:r>
          </w:p>
        </w:tc>
      </w:tr>
      <w:tr w:rsidR="00753C1A" w:rsidTr="003A5549">
        <w:trPr>
          <w:trHeight w:val="570"/>
        </w:trPr>
        <w:tc>
          <w:tcPr>
            <w:tcW w:w="153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Operational Tools</w:t>
            </w:r>
          </w:p>
        </w:tc>
        <w:tc>
          <w:tcPr>
            <w:tcW w:w="730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flail machines, tillers, rollers, armored vehicles, remote-controlled robots</w:t>
            </w:r>
          </w:p>
        </w:tc>
      </w:tr>
      <w:tr w:rsidR="00753C1A" w:rsidTr="003A5549">
        <w:trPr>
          <w:trHeight w:val="570"/>
        </w:trPr>
        <w:tc>
          <w:tcPr>
            <w:tcW w:w="153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Application Context</w:t>
            </w:r>
          </w:p>
        </w:tc>
        <w:tc>
          <w:tcPr>
            <w:tcW w:w="730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open fields, rural infrastructure, large agricultural zones</w:t>
            </w:r>
          </w:p>
        </w:tc>
      </w:tr>
      <w:tr w:rsidR="00753C1A" w:rsidTr="003A5549">
        <w:trPr>
          <w:trHeight w:val="330"/>
        </w:trPr>
        <w:tc>
          <w:tcPr>
            <w:tcW w:w="153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Scale of Use</w:t>
            </w:r>
          </w:p>
        </w:tc>
        <w:tc>
          <w:tcPr>
            <w:tcW w:w="730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medium to large areas (hundreds of hectares)</w:t>
            </w:r>
          </w:p>
        </w:tc>
      </w:tr>
      <w:tr w:rsidR="00753C1A" w:rsidTr="003A5549">
        <w:trPr>
          <w:trHeight w:val="330"/>
        </w:trPr>
        <w:tc>
          <w:tcPr>
            <w:tcW w:w="153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Timeframe</w:t>
            </w:r>
          </w:p>
        </w:tc>
        <w:tc>
          <w:tcPr>
            <w:tcW w:w="730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medium-term (seasonal campaigns or corridor-level projects)</w:t>
            </w:r>
          </w:p>
        </w:tc>
      </w:tr>
      <w:tr w:rsidR="00753C1A" w:rsidTr="003A5549">
        <w:trPr>
          <w:trHeight w:val="330"/>
        </w:trPr>
        <w:tc>
          <w:tcPr>
            <w:tcW w:w="153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Core Advantages</w:t>
            </w:r>
          </w:p>
        </w:tc>
        <w:tc>
          <w:tcPr>
            <w:tcW w:w="730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speed; cost-effective per m² in large zones; suitable for low-complexity sites</w:t>
            </w:r>
          </w:p>
        </w:tc>
      </w:tr>
      <w:tr w:rsidR="00753C1A" w:rsidTr="003A5549">
        <w:trPr>
          <w:trHeight w:val="330"/>
        </w:trPr>
        <w:tc>
          <w:tcPr>
            <w:tcW w:w="153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Core Limitations</w:t>
            </w:r>
          </w:p>
        </w:tc>
        <w:tc>
          <w:tcPr>
            <w:tcW w:w="730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limited access in forests, rubble, or uneven terrain; high up-front cost</w:t>
            </w:r>
          </w:p>
        </w:tc>
      </w:tr>
      <w:tr w:rsidR="00753C1A" w:rsidTr="003A5549">
        <w:trPr>
          <w:trHeight w:val="330"/>
        </w:trPr>
        <w:tc>
          <w:tcPr>
            <w:tcW w:w="153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Evidence Base</w:t>
            </w:r>
          </w:p>
        </w:tc>
        <w:tc>
          <w:tcPr>
            <w:tcW w:w="730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extensive use in Afghanistan, Croatia, Iraq, Colombia; supported by GICHD/UNMAS</w:t>
            </w:r>
          </w:p>
        </w:tc>
      </w:tr>
      <w:tr w:rsidR="00753C1A" w:rsidTr="003A5549">
        <w:trPr>
          <w:trHeight w:val="810"/>
        </w:trPr>
        <w:tc>
          <w:tcPr>
            <w:tcW w:w="153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Indicative Financing Model</w:t>
            </w:r>
          </w:p>
        </w:tc>
        <w:tc>
          <w:tcPr>
            <w:tcW w:w="730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public-private partnerships; national procurement via ProZorro; donor support for equipment and maintenance; possible involvement of insurance-backed or investment-leveraged financing for agri-infrastructure zones</w:t>
            </w:r>
          </w:p>
        </w:tc>
      </w:tr>
    </w:tbl>
    <w:p w:rsidR="00753C1A" w:rsidRDefault="00753C1A" w:rsidP="00753C1A">
      <w:pPr>
        <w:spacing w:before="240" w:after="240" w:line="360" w:lineRule="auto"/>
        <w:jc w:val="both"/>
        <w:rPr>
          <w:rFonts w:ascii="Arial" w:eastAsia="Arial" w:hAnsi="Arial" w:cs="Arial"/>
          <w:b/>
          <w:bCs/>
          <w:sz w:val="24"/>
          <w:szCs w:val="24"/>
        </w:rPr>
      </w:pPr>
    </w:p>
    <w:p w:rsidR="00753C1A" w:rsidRDefault="00753C1A" w:rsidP="00753C1A">
      <w:pPr>
        <w:spacing w:before="240" w:after="240" w:line="360" w:lineRule="auto"/>
        <w:jc w:val="both"/>
        <w:rPr>
          <w:rFonts w:ascii="Arial" w:eastAsia="Arial" w:hAnsi="Arial" w:cs="Arial"/>
          <w:b/>
          <w:bCs/>
          <w:color w:val="506E96"/>
          <w:sz w:val="24"/>
          <w:szCs w:val="24"/>
        </w:rPr>
      </w:pPr>
      <w:r>
        <w:rPr>
          <w:rFonts w:ascii="Arial" w:eastAsia="Arial" w:hAnsi="Arial" w:cs="Arial"/>
          <w:b/>
          <w:bCs/>
          <w:color w:val="506E96"/>
          <w:sz w:val="24"/>
          <w:szCs w:val="24"/>
        </w:rPr>
        <w:t>Notes on narrative development</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This narrative was developed from a synthesis of global evidence on mechanical demining as outlined in technical publications by UNMAS, GICHD, and humanitarian mine action programs. It reflects how this strategy is applied to maximize operational speed in relatively uniform terrain, particularly in agricultural or transportation corridors (Table Expert Interviews 2). It is not intended to replace manual demining but to complement it where scale and surface conditions permit. Ukraine’s growing fleet of domestic mechanical assets and ProZorro-based contracting model also informed the narrative design.</w:t>
      </w:r>
    </w:p>
    <w:p w:rsidR="00753C1A" w:rsidRDefault="00753C1A" w:rsidP="00753C1A">
      <w:pPr>
        <w:spacing w:before="240" w:after="240" w:line="360" w:lineRule="auto"/>
        <w:jc w:val="both"/>
        <w:rPr>
          <w:rFonts w:ascii="Arial" w:eastAsia="Arial" w:hAnsi="Arial" w:cs="Arial"/>
          <w:b/>
          <w:bCs/>
          <w:sz w:val="24"/>
          <w:szCs w:val="24"/>
        </w:rPr>
      </w:pPr>
    </w:p>
    <w:p w:rsidR="00753C1A" w:rsidRDefault="00753C1A" w:rsidP="00753C1A">
      <w:pPr>
        <w:spacing w:before="240" w:after="240" w:line="360" w:lineRule="auto"/>
        <w:jc w:val="both"/>
        <w:rPr>
          <w:rFonts w:ascii="Arial" w:eastAsia="Arial" w:hAnsi="Arial" w:cs="Arial"/>
          <w:b/>
          <w:bCs/>
          <w:color w:val="506E96"/>
          <w:sz w:val="24"/>
          <w:szCs w:val="24"/>
        </w:rPr>
      </w:pPr>
      <w:r>
        <w:rPr>
          <w:rFonts w:ascii="Arial" w:eastAsia="Arial" w:hAnsi="Arial" w:cs="Arial"/>
          <w:b/>
          <w:bCs/>
          <w:color w:val="506E96"/>
          <w:sz w:val="24"/>
          <w:szCs w:val="24"/>
        </w:rPr>
        <w:lastRenderedPageBreak/>
        <w:t>Guiding questions used in interviews</w:t>
      </w:r>
    </w:p>
    <w:p w:rsidR="00753C1A" w:rsidRDefault="00753C1A" w:rsidP="00753C1A">
      <w:pPr>
        <w:numPr>
          <w:ilvl w:val="0"/>
          <w:numId w:val="7"/>
        </w:numPr>
        <w:pBdr>
          <w:top w:val="nil"/>
          <w:left w:val="nil"/>
          <w:bottom w:val="nil"/>
          <w:right w:val="nil"/>
          <w:between w:val="nil"/>
        </w:pBdr>
        <w:spacing w:after="0" w:line="360" w:lineRule="auto"/>
        <w:rPr>
          <w:rFonts w:ascii="Arial" w:eastAsia="Arial" w:hAnsi="Arial" w:cs="Arial"/>
          <w:color w:val="783F04"/>
          <w:sz w:val="24"/>
          <w:szCs w:val="24"/>
        </w:rPr>
      </w:pPr>
      <w:r>
        <w:rPr>
          <w:rFonts w:ascii="Arial" w:eastAsia="Arial" w:hAnsi="Arial" w:cs="Arial"/>
          <w:color w:val="783F04"/>
          <w:sz w:val="24"/>
          <w:szCs w:val="24"/>
        </w:rPr>
        <w:t>Does this narrative accurately reflect how mechanical demining is being used (or could be used) in Ukraine?</w:t>
      </w:r>
    </w:p>
    <w:p w:rsidR="00753C1A" w:rsidRDefault="00753C1A" w:rsidP="00753C1A">
      <w:pPr>
        <w:numPr>
          <w:ilvl w:val="0"/>
          <w:numId w:val="7"/>
        </w:numPr>
        <w:pBdr>
          <w:top w:val="nil"/>
          <w:left w:val="nil"/>
          <w:bottom w:val="nil"/>
          <w:right w:val="nil"/>
          <w:between w:val="nil"/>
        </w:pBdr>
        <w:spacing w:after="0" w:line="360" w:lineRule="auto"/>
        <w:rPr>
          <w:rFonts w:ascii="Arial" w:eastAsia="Arial" w:hAnsi="Arial" w:cs="Arial"/>
          <w:color w:val="783F04"/>
          <w:sz w:val="24"/>
          <w:szCs w:val="24"/>
        </w:rPr>
      </w:pPr>
      <w:r>
        <w:rPr>
          <w:rFonts w:ascii="Arial" w:eastAsia="Arial" w:hAnsi="Arial" w:cs="Arial"/>
          <w:color w:val="783F04"/>
          <w:sz w:val="24"/>
          <w:szCs w:val="24"/>
        </w:rPr>
        <w:t>What advantages or limitations do you see for this strategy in Ukraine’s terrain and infrastructure settings?</w:t>
      </w:r>
    </w:p>
    <w:p w:rsidR="00753C1A" w:rsidRDefault="00753C1A" w:rsidP="00753C1A">
      <w:pPr>
        <w:numPr>
          <w:ilvl w:val="0"/>
          <w:numId w:val="7"/>
        </w:numPr>
        <w:pBdr>
          <w:top w:val="nil"/>
          <w:left w:val="nil"/>
          <w:bottom w:val="nil"/>
          <w:right w:val="nil"/>
          <w:between w:val="nil"/>
        </w:pBdr>
        <w:spacing w:after="0" w:line="360" w:lineRule="auto"/>
        <w:rPr>
          <w:rFonts w:ascii="Arial" w:eastAsia="Arial" w:hAnsi="Arial" w:cs="Arial"/>
          <w:color w:val="783F04"/>
          <w:sz w:val="24"/>
          <w:szCs w:val="24"/>
        </w:rPr>
      </w:pPr>
      <w:r>
        <w:rPr>
          <w:rFonts w:ascii="Arial" w:eastAsia="Arial" w:hAnsi="Arial" w:cs="Arial"/>
          <w:color w:val="783F04"/>
          <w:sz w:val="24"/>
          <w:szCs w:val="24"/>
        </w:rPr>
        <w:t>Are there specific oblasts or sectors where this approach is more feasible or necessary?</w:t>
      </w:r>
    </w:p>
    <w:p w:rsidR="00753C1A" w:rsidRDefault="00753C1A" w:rsidP="00753C1A">
      <w:pPr>
        <w:numPr>
          <w:ilvl w:val="0"/>
          <w:numId w:val="7"/>
        </w:numPr>
        <w:pBdr>
          <w:top w:val="nil"/>
          <w:left w:val="nil"/>
          <w:bottom w:val="nil"/>
          <w:right w:val="nil"/>
          <w:between w:val="nil"/>
        </w:pBdr>
        <w:spacing w:after="0" w:line="360" w:lineRule="auto"/>
        <w:rPr>
          <w:rFonts w:ascii="Arial" w:eastAsia="Arial" w:hAnsi="Arial" w:cs="Arial"/>
          <w:color w:val="783F04"/>
          <w:sz w:val="24"/>
          <w:szCs w:val="24"/>
        </w:rPr>
      </w:pPr>
      <w:r>
        <w:rPr>
          <w:rFonts w:ascii="Arial" w:eastAsia="Arial" w:hAnsi="Arial" w:cs="Arial"/>
          <w:color w:val="783F04"/>
          <w:sz w:val="24"/>
          <w:szCs w:val="24"/>
        </w:rPr>
        <w:t>What are the institutional or procurement challenges associated with deploying mechanical assets?</w:t>
      </w:r>
    </w:p>
    <w:p w:rsidR="00753C1A" w:rsidRDefault="00753C1A" w:rsidP="00753C1A">
      <w:pPr>
        <w:numPr>
          <w:ilvl w:val="0"/>
          <w:numId w:val="7"/>
        </w:numPr>
        <w:pBdr>
          <w:top w:val="nil"/>
          <w:left w:val="nil"/>
          <w:bottom w:val="nil"/>
          <w:right w:val="nil"/>
          <w:between w:val="nil"/>
        </w:pBdr>
        <w:spacing w:after="0" w:line="360" w:lineRule="auto"/>
        <w:rPr>
          <w:rFonts w:ascii="Arial" w:eastAsia="Arial" w:hAnsi="Arial" w:cs="Arial"/>
          <w:color w:val="783F04"/>
          <w:sz w:val="24"/>
          <w:szCs w:val="24"/>
        </w:rPr>
      </w:pPr>
      <w:r>
        <w:rPr>
          <w:rFonts w:ascii="Arial" w:eastAsia="Arial" w:hAnsi="Arial" w:cs="Arial"/>
          <w:color w:val="783F04"/>
          <w:sz w:val="24"/>
          <w:szCs w:val="24"/>
        </w:rPr>
        <w:t>How does this strategy intersect with agricultural recovery goals, and who are the key actors involved?</w:t>
      </w:r>
    </w:p>
    <w:p w:rsidR="00753C1A" w:rsidRDefault="00753C1A" w:rsidP="00753C1A">
      <w:pPr>
        <w:numPr>
          <w:ilvl w:val="0"/>
          <w:numId w:val="7"/>
        </w:numPr>
        <w:pBdr>
          <w:top w:val="nil"/>
          <w:left w:val="nil"/>
          <w:bottom w:val="nil"/>
          <w:right w:val="nil"/>
          <w:between w:val="nil"/>
        </w:pBdr>
        <w:spacing w:after="240" w:line="360" w:lineRule="auto"/>
        <w:rPr>
          <w:rFonts w:ascii="Arial" w:eastAsia="Arial" w:hAnsi="Arial" w:cs="Arial"/>
          <w:color w:val="783F04"/>
          <w:sz w:val="24"/>
          <w:szCs w:val="24"/>
        </w:rPr>
      </w:pPr>
      <w:r>
        <w:rPr>
          <w:rFonts w:ascii="Arial" w:eastAsia="Arial" w:hAnsi="Arial" w:cs="Arial"/>
          <w:color w:val="783F04"/>
          <w:sz w:val="24"/>
          <w:szCs w:val="24"/>
        </w:rPr>
        <w:t>Can you identify opportunities for social innovation in mechanical demining? For example, domestic design solutions, dual-use machines, or local production models?</w:t>
      </w:r>
    </w:p>
    <w:p w:rsidR="00753C1A" w:rsidRDefault="00753C1A" w:rsidP="00753C1A">
      <w:pPr>
        <w:spacing w:before="240" w:after="240" w:line="360" w:lineRule="auto"/>
        <w:jc w:val="both"/>
        <w:rPr>
          <w:rFonts w:ascii="Arial" w:eastAsia="Arial" w:hAnsi="Arial" w:cs="Arial"/>
          <w:b/>
          <w:bCs/>
          <w:color w:val="506E96"/>
          <w:sz w:val="24"/>
          <w:szCs w:val="24"/>
        </w:rPr>
      </w:pPr>
    </w:p>
    <w:p w:rsidR="00753C1A" w:rsidRDefault="00753C1A" w:rsidP="00753C1A">
      <w:pPr>
        <w:spacing w:before="240" w:after="240" w:line="360" w:lineRule="auto"/>
        <w:jc w:val="both"/>
        <w:rPr>
          <w:rFonts w:ascii="Arial" w:eastAsia="Arial" w:hAnsi="Arial" w:cs="Arial"/>
          <w:b/>
          <w:bCs/>
          <w:color w:val="506E96"/>
          <w:sz w:val="24"/>
          <w:szCs w:val="24"/>
        </w:rPr>
      </w:pPr>
      <w:r>
        <w:rPr>
          <w:rFonts w:ascii="Arial" w:eastAsia="Arial" w:hAnsi="Arial" w:cs="Arial"/>
          <w:b/>
          <w:bCs/>
          <w:color w:val="506E96"/>
          <w:sz w:val="24"/>
          <w:szCs w:val="24"/>
        </w:rPr>
        <w:t>Link to actor landscape (see Results section 4/ Table 3)</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This strategy engages licensed private firms, SESU, regional authorities, and national military engineers. Accordingly:</w:t>
      </w:r>
    </w:p>
    <w:p w:rsidR="00753C1A" w:rsidRDefault="00753C1A" w:rsidP="00753C1A">
      <w:pPr>
        <w:numPr>
          <w:ilvl w:val="0"/>
          <w:numId w:val="9"/>
        </w:numPr>
        <w:spacing w:after="0" w:line="360" w:lineRule="auto"/>
        <w:rPr>
          <w:rFonts w:ascii="Arial" w:eastAsia="Arial" w:hAnsi="Arial" w:cs="Arial"/>
          <w:sz w:val="24"/>
          <w:szCs w:val="24"/>
        </w:rPr>
      </w:pPr>
      <w:r>
        <w:rPr>
          <w:rFonts w:ascii="Arial" w:eastAsia="Arial" w:hAnsi="Arial" w:cs="Arial"/>
          <w:sz w:val="24"/>
          <w:szCs w:val="24"/>
        </w:rPr>
        <w:t>Q7–Q8 explore how private operators and state authorities collaborate in field-level decision-making.</w:t>
      </w:r>
    </w:p>
    <w:p w:rsidR="00753C1A" w:rsidRDefault="00753C1A" w:rsidP="00753C1A">
      <w:pPr>
        <w:numPr>
          <w:ilvl w:val="0"/>
          <w:numId w:val="9"/>
        </w:numPr>
        <w:spacing w:after="0" w:line="360" w:lineRule="auto"/>
        <w:rPr>
          <w:rFonts w:ascii="Arial" w:eastAsia="Arial" w:hAnsi="Arial" w:cs="Arial"/>
          <w:sz w:val="24"/>
          <w:szCs w:val="24"/>
        </w:rPr>
      </w:pPr>
      <w:r>
        <w:rPr>
          <w:rFonts w:ascii="Arial" w:eastAsia="Arial" w:hAnsi="Arial" w:cs="Arial"/>
          <w:sz w:val="24"/>
          <w:szCs w:val="24"/>
        </w:rPr>
        <w:t>Q9 focuses on oblast-level planning and terrain-specific prioritization.</w:t>
      </w:r>
    </w:p>
    <w:p w:rsidR="00753C1A" w:rsidRDefault="00753C1A" w:rsidP="00753C1A">
      <w:pPr>
        <w:numPr>
          <w:ilvl w:val="0"/>
          <w:numId w:val="9"/>
        </w:numPr>
        <w:spacing w:after="0" w:line="360" w:lineRule="auto"/>
        <w:rPr>
          <w:rFonts w:ascii="Arial" w:eastAsia="Arial" w:hAnsi="Arial" w:cs="Arial"/>
          <w:sz w:val="24"/>
          <w:szCs w:val="24"/>
        </w:rPr>
      </w:pPr>
      <w:r>
        <w:rPr>
          <w:rFonts w:ascii="Arial" w:eastAsia="Arial" w:hAnsi="Arial" w:cs="Arial"/>
          <w:sz w:val="24"/>
          <w:szCs w:val="24"/>
        </w:rPr>
        <w:t>Q10 reflects known barriers from the Results section (e.g., ProZorro procurement delays, regional coordination gaps).</w:t>
      </w:r>
    </w:p>
    <w:p w:rsidR="00753C1A" w:rsidRDefault="00753C1A" w:rsidP="00753C1A">
      <w:pPr>
        <w:numPr>
          <w:ilvl w:val="0"/>
          <w:numId w:val="9"/>
        </w:numPr>
        <w:spacing w:after="0" w:line="360" w:lineRule="auto"/>
        <w:rPr>
          <w:rFonts w:ascii="Arial" w:eastAsia="Arial" w:hAnsi="Arial" w:cs="Arial"/>
          <w:sz w:val="24"/>
          <w:szCs w:val="24"/>
        </w:rPr>
      </w:pPr>
      <w:r>
        <w:rPr>
          <w:rFonts w:ascii="Arial" w:eastAsia="Arial" w:hAnsi="Arial" w:cs="Arial"/>
          <w:sz w:val="24"/>
          <w:szCs w:val="24"/>
        </w:rPr>
        <w:t>Q11 aligns with cross-sector recovery planning between mine action and agriculture.</w:t>
      </w:r>
    </w:p>
    <w:p w:rsidR="00753C1A" w:rsidRDefault="00753C1A" w:rsidP="00753C1A">
      <w:pPr>
        <w:numPr>
          <w:ilvl w:val="0"/>
          <w:numId w:val="9"/>
        </w:numPr>
        <w:spacing w:after="240" w:line="360" w:lineRule="auto"/>
        <w:rPr>
          <w:rFonts w:ascii="Arial" w:eastAsia="Arial" w:hAnsi="Arial" w:cs="Arial"/>
          <w:sz w:val="24"/>
          <w:szCs w:val="24"/>
        </w:rPr>
      </w:pPr>
      <w:r>
        <w:rPr>
          <w:rFonts w:ascii="Arial" w:eastAsia="Arial" w:hAnsi="Arial" w:cs="Arial"/>
          <w:sz w:val="24"/>
          <w:szCs w:val="24"/>
        </w:rPr>
        <w:t>Q12 was added to highlight potential for Ukrainian engineering or procurement innovations—especially where the Actor Table identified local firms and equipment suppliers.</w:t>
      </w:r>
    </w:p>
    <w:p w:rsidR="00753C1A" w:rsidRDefault="00753C1A" w:rsidP="00753C1A">
      <w:pPr>
        <w:spacing w:line="360" w:lineRule="auto"/>
        <w:jc w:val="both"/>
        <w:rPr>
          <w:rFonts w:ascii="Arial" w:eastAsia="Arial" w:hAnsi="Arial" w:cs="Arial"/>
          <w:sz w:val="24"/>
          <w:szCs w:val="24"/>
        </w:rPr>
      </w:pPr>
    </w:p>
    <w:p w:rsidR="00753C1A" w:rsidRDefault="00753C1A" w:rsidP="00753C1A">
      <w:pPr>
        <w:spacing w:before="240" w:line="360" w:lineRule="auto"/>
        <w:jc w:val="both"/>
        <w:rPr>
          <w:rFonts w:ascii="Arial" w:eastAsia="Arial" w:hAnsi="Arial" w:cs="Arial"/>
          <w:sz w:val="24"/>
          <w:szCs w:val="24"/>
        </w:rPr>
      </w:pPr>
    </w:p>
    <w:p w:rsidR="00753C1A" w:rsidRDefault="00753C1A" w:rsidP="00753C1A">
      <w:pPr>
        <w:spacing w:before="240" w:after="240" w:line="360" w:lineRule="auto"/>
        <w:jc w:val="both"/>
        <w:rPr>
          <w:rFonts w:ascii="Arial" w:eastAsia="Arial" w:hAnsi="Arial" w:cs="Arial"/>
          <w:b/>
          <w:bCs/>
          <w:color w:val="506E96"/>
          <w:sz w:val="24"/>
          <w:szCs w:val="24"/>
        </w:rPr>
      </w:pPr>
      <w:r>
        <w:rPr>
          <w:rFonts w:ascii="Arial" w:eastAsia="Arial" w:hAnsi="Arial" w:cs="Arial"/>
          <w:b/>
          <w:bCs/>
          <w:color w:val="506E96"/>
          <w:sz w:val="24"/>
          <w:szCs w:val="24"/>
        </w:rPr>
        <w:t>Strategy Type 3: Remote sensing and mapping</w:t>
      </w:r>
    </w:p>
    <w:p w:rsidR="00753C1A" w:rsidRDefault="00753C1A" w:rsidP="00753C1A">
      <w:pPr>
        <w:spacing w:before="240" w:after="240" w:line="360" w:lineRule="auto"/>
        <w:jc w:val="both"/>
        <w:rPr>
          <w:rFonts w:ascii="Arial" w:eastAsia="Arial" w:hAnsi="Arial" w:cs="Arial"/>
          <w:b/>
          <w:bCs/>
          <w:color w:val="506E96"/>
          <w:sz w:val="24"/>
          <w:szCs w:val="24"/>
        </w:rPr>
      </w:pPr>
      <w:r>
        <w:rPr>
          <w:rFonts w:ascii="Arial" w:eastAsia="Arial" w:hAnsi="Arial" w:cs="Arial"/>
          <w:b/>
          <w:bCs/>
          <w:color w:val="506E96"/>
          <w:sz w:val="24"/>
          <w:szCs w:val="24"/>
        </w:rPr>
        <w:t>Narrative (communication prompt used in interviews)</w:t>
      </w:r>
    </w:p>
    <w:p w:rsidR="00753C1A" w:rsidRDefault="00753C1A" w:rsidP="00753C1A">
      <w:pPr>
        <w:spacing w:before="240" w:after="240" w:line="360" w:lineRule="auto"/>
        <w:jc w:val="both"/>
        <w:rPr>
          <w:rFonts w:ascii="Arial" w:eastAsia="Arial" w:hAnsi="Arial" w:cs="Arial"/>
          <w:i/>
          <w:iCs/>
          <w:sz w:val="24"/>
          <w:szCs w:val="24"/>
        </w:rPr>
      </w:pPr>
      <w:r>
        <w:rPr>
          <w:rFonts w:ascii="Arial" w:eastAsia="Arial" w:hAnsi="Arial" w:cs="Arial"/>
          <w:i/>
          <w:iCs/>
          <w:sz w:val="24"/>
          <w:szCs w:val="24"/>
        </w:rPr>
        <w:t>Note: This narrative is a communication aid designed to convey the defining features of the strategy in an accessible, illustrative format. It is not evidence-based, data-derived, or presented as an analytical finding. Its sole purpose is to help ensure a shared understanding of the strategy type as presented in Table 1 (main body text).</w:t>
      </w:r>
    </w:p>
    <w:p w:rsidR="00753C1A" w:rsidRDefault="00753C1A" w:rsidP="00753C1A">
      <w:pPr>
        <w:spacing w:before="240" w:after="240" w:line="360" w:lineRule="auto"/>
        <w:jc w:val="both"/>
        <w:rPr>
          <w:rFonts w:ascii="Arial" w:eastAsia="Arial" w:hAnsi="Arial" w:cs="Arial"/>
          <w:sz w:val="24"/>
          <w:szCs w:val="24"/>
        </w:rPr>
      </w:pP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From a coordination hub in Kyiv, an interdisciplinary team of geospatial analysts, military engineers, and NGO partners reviews high-resolution satellite imagery, drone footage, and ground reports to produce updated contamination risk maps for eastern Ukraine. Using artificial intelligence trained on visual signatures of shelling and trench lines, they flag likely mine-affected areas (often ahead of on-the-ground verification). The maps are integrated into the Information Management System for Mine Action (IMSMA) and shared securely with clearance teams and local authorities. This approach allows for the prioritization of high-risk zones and minimizes time wasted surveying inactive fields. Remote sensing is particularly useful in insecure, inaccessible, or vast areas, and supports planning and targeting of both manual and mechanical strategies. Its effectiveness, however, depends on the availability of quality data, skilled analysts, and integration with field-level validation. While not a clearance strategy in itself, it is a key enabler for others (Table Expert Interviews 3</w:t>
      </w:r>
      <w:r>
        <w:rPr>
          <w:rFonts w:ascii="Arial" w:eastAsia="Arial" w:hAnsi="Arial" w:cs="Arial"/>
          <w:b/>
          <w:bCs/>
          <w:sz w:val="24"/>
          <w:szCs w:val="24"/>
        </w:rPr>
        <w:t>)</w:t>
      </w:r>
      <w:r>
        <w:rPr>
          <w:rFonts w:ascii="Arial" w:eastAsia="Arial" w:hAnsi="Arial" w:cs="Arial"/>
          <w:sz w:val="24"/>
          <w:szCs w:val="24"/>
        </w:rPr>
        <w:t>.</w:t>
      </w:r>
    </w:p>
    <w:p w:rsidR="00753C1A" w:rsidRDefault="00753C1A" w:rsidP="00753C1A">
      <w:pPr>
        <w:spacing w:before="240" w:after="240" w:line="360" w:lineRule="auto"/>
        <w:jc w:val="both"/>
        <w:rPr>
          <w:rFonts w:ascii="Arial" w:eastAsia="Arial" w:hAnsi="Arial" w:cs="Arial"/>
          <w:sz w:val="16"/>
          <w:szCs w:val="16"/>
        </w:rPr>
      </w:pPr>
      <w:r>
        <w:rPr>
          <w:rFonts w:ascii="Arial" w:eastAsia="Arial" w:hAnsi="Arial" w:cs="Arial"/>
          <w:sz w:val="16"/>
          <w:szCs w:val="16"/>
        </w:rPr>
        <w:t>Table Expert Interviews 3. Key characteristics “Remote Sensing and Mapping”.</w:t>
      </w:r>
    </w:p>
    <w:tbl>
      <w:tblPr>
        <w:tblW w:w="8850" w:type="dxa"/>
        <w:tblBorders>
          <w:top w:val="nil"/>
          <w:left w:val="nil"/>
          <w:bottom w:val="nil"/>
          <w:right w:val="nil"/>
          <w:insideH w:val="nil"/>
          <w:insideV w:val="nil"/>
        </w:tblBorders>
        <w:tblLayout w:type="fixed"/>
        <w:tblLook w:val="0600" w:firstRow="0" w:lastRow="0" w:firstColumn="0" w:lastColumn="0" w:noHBand="1" w:noVBand="1"/>
      </w:tblPr>
      <w:tblGrid>
        <w:gridCol w:w="1575"/>
        <w:gridCol w:w="7275"/>
      </w:tblGrid>
      <w:tr w:rsidR="00753C1A" w:rsidTr="003A5549">
        <w:trPr>
          <w:trHeight w:val="330"/>
        </w:trPr>
        <w:tc>
          <w:tcPr>
            <w:tcW w:w="1575" w:type="dxa"/>
            <w:tcBorders>
              <w:top w:val="nil"/>
              <w:left w:val="nil"/>
              <w:bottom w:val="nil"/>
              <w:right w:val="nil"/>
            </w:tcBorders>
            <w:shd w:val="clear" w:color="auto" w:fill="A6A6A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t>Dimension</w:t>
            </w:r>
          </w:p>
        </w:tc>
        <w:tc>
          <w:tcPr>
            <w:tcW w:w="7275" w:type="dxa"/>
            <w:tcBorders>
              <w:top w:val="nil"/>
              <w:left w:val="nil"/>
              <w:bottom w:val="nil"/>
              <w:right w:val="nil"/>
            </w:tcBorders>
            <w:shd w:val="clear" w:color="auto" w:fill="A6A6A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t>Description</w:t>
            </w:r>
          </w:p>
        </w:tc>
      </w:tr>
      <w:tr w:rsidR="00753C1A" w:rsidTr="003A5549">
        <w:trPr>
          <w:trHeight w:val="330"/>
        </w:trPr>
        <w:tc>
          <w:tcPr>
            <w:tcW w:w="1575" w:type="dxa"/>
            <w:tcBorders>
              <w:top w:val="single" w:sz="5" w:space="0" w:color="FFFFFF"/>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Strategy Name</w:t>
            </w:r>
          </w:p>
        </w:tc>
        <w:tc>
          <w:tcPr>
            <w:tcW w:w="7275" w:type="dxa"/>
            <w:tcBorders>
              <w:top w:val="single" w:sz="5" w:space="0" w:color="FFFFFF"/>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Remote Sensing and Mapping</w:t>
            </w:r>
          </w:p>
        </w:tc>
      </w:tr>
      <w:tr w:rsidR="00753C1A" w:rsidTr="003A5549">
        <w:trPr>
          <w:trHeight w:val="330"/>
        </w:trPr>
        <w:tc>
          <w:tcPr>
            <w:tcW w:w="157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Primary Objective</w:t>
            </w:r>
          </w:p>
        </w:tc>
        <w:tc>
          <w:tcPr>
            <w:tcW w:w="727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identify, map, and prioritize contaminated areas using non-invasive technology</w:t>
            </w:r>
          </w:p>
        </w:tc>
      </w:tr>
      <w:tr w:rsidR="00753C1A" w:rsidTr="003A5549">
        <w:trPr>
          <w:trHeight w:val="330"/>
        </w:trPr>
        <w:tc>
          <w:tcPr>
            <w:tcW w:w="157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lastRenderedPageBreak/>
              <w:t>Lead Actors</w:t>
            </w:r>
          </w:p>
        </w:tc>
        <w:tc>
          <w:tcPr>
            <w:tcW w:w="727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state agencies, UNDP, international technical NGOs, GIS specialists</w:t>
            </w:r>
          </w:p>
        </w:tc>
      </w:tr>
      <w:tr w:rsidR="00753C1A" w:rsidTr="003A5549">
        <w:trPr>
          <w:trHeight w:val="570"/>
        </w:trPr>
        <w:tc>
          <w:tcPr>
            <w:tcW w:w="157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Supporting Actors</w:t>
            </w:r>
          </w:p>
        </w:tc>
        <w:tc>
          <w:tcPr>
            <w:tcW w:w="727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Ukrainian Armed Forces (for intelligence), research institutions, private firms</w:t>
            </w:r>
          </w:p>
        </w:tc>
      </w:tr>
      <w:tr w:rsidR="00753C1A" w:rsidTr="003A5549">
        <w:trPr>
          <w:trHeight w:val="330"/>
        </w:trPr>
        <w:tc>
          <w:tcPr>
            <w:tcW w:w="157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Operational Tools</w:t>
            </w:r>
          </w:p>
        </w:tc>
        <w:tc>
          <w:tcPr>
            <w:tcW w:w="727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drones, satellite imagery, AI models, GIS platforms, IMSMA</w:t>
            </w:r>
          </w:p>
        </w:tc>
      </w:tr>
      <w:tr w:rsidR="00753C1A" w:rsidTr="003A5549">
        <w:trPr>
          <w:trHeight w:val="570"/>
        </w:trPr>
        <w:tc>
          <w:tcPr>
            <w:tcW w:w="157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Application Context</w:t>
            </w:r>
          </w:p>
        </w:tc>
        <w:tc>
          <w:tcPr>
            <w:tcW w:w="727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inaccessible, insecure, or large areas; early-phase planning</w:t>
            </w:r>
          </w:p>
        </w:tc>
      </w:tr>
      <w:tr w:rsidR="00753C1A" w:rsidTr="003A5549">
        <w:trPr>
          <w:trHeight w:val="330"/>
        </w:trPr>
        <w:tc>
          <w:tcPr>
            <w:tcW w:w="157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Scale of use</w:t>
            </w:r>
          </w:p>
        </w:tc>
        <w:tc>
          <w:tcPr>
            <w:tcW w:w="727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national to regional; supports sub-local targeting</w:t>
            </w:r>
          </w:p>
        </w:tc>
      </w:tr>
      <w:tr w:rsidR="00753C1A" w:rsidTr="003A5549">
        <w:trPr>
          <w:trHeight w:val="330"/>
        </w:trPr>
        <w:tc>
          <w:tcPr>
            <w:tcW w:w="157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Timeframe</w:t>
            </w:r>
          </w:p>
        </w:tc>
        <w:tc>
          <w:tcPr>
            <w:tcW w:w="727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continuous, updated iteratively as clearance progresses</w:t>
            </w:r>
          </w:p>
        </w:tc>
      </w:tr>
      <w:tr w:rsidR="00753C1A" w:rsidTr="003A5549">
        <w:trPr>
          <w:trHeight w:val="330"/>
        </w:trPr>
        <w:tc>
          <w:tcPr>
            <w:tcW w:w="157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Core advantages</w:t>
            </w:r>
          </w:p>
        </w:tc>
        <w:tc>
          <w:tcPr>
            <w:tcW w:w="727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rapid area-wide screening; cost-effective; low physical risk</w:t>
            </w:r>
          </w:p>
        </w:tc>
      </w:tr>
      <w:tr w:rsidR="00753C1A" w:rsidTr="003A5549">
        <w:trPr>
          <w:trHeight w:val="330"/>
        </w:trPr>
        <w:tc>
          <w:tcPr>
            <w:tcW w:w="157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Core limitations</w:t>
            </w:r>
          </w:p>
        </w:tc>
        <w:tc>
          <w:tcPr>
            <w:tcW w:w="727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cannot confirm presence/absence of mines; dependent on data quality and tech</w:t>
            </w:r>
          </w:p>
        </w:tc>
      </w:tr>
      <w:tr w:rsidR="00753C1A" w:rsidTr="003A5549">
        <w:trPr>
          <w:trHeight w:val="330"/>
        </w:trPr>
        <w:tc>
          <w:tcPr>
            <w:tcW w:w="157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Evidence base</w:t>
            </w:r>
          </w:p>
        </w:tc>
        <w:tc>
          <w:tcPr>
            <w:tcW w:w="727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applied in Colombia, Iraq, Libya, Mali, and by UNMAS, MAG, and HALO Trust</w:t>
            </w:r>
          </w:p>
        </w:tc>
      </w:tr>
      <w:tr w:rsidR="00753C1A" w:rsidTr="003A5549">
        <w:trPr>
          <w:trHeight w:val="810"/>
        </w:trPr>
        <w:tc>
          <w:tcPr>
            <w:tcW w:w="157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Indicative financing model</w:t>
            </w:r>
          </w:p>
        </w:tc>
        <w:tc>
          <w:tcPr>
            <w:tcW w:w="727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donor-funded technical assistance; state geospatial budget lines; partnerships with universities or private geospatial intelligence firms; possible EU-funded civilian-military coordination platforms</w:t>
            </w:r>
          </w:p>
        </w:tc>
      </w:tr>
    </w:tbl>
    <w:p w:rsidR="00753C1A" w:rsidRDefault="00753C1A" w:rsidP="00753C1A">
      <w:pPr>
        <w:spacing w:before="240" w:after="240" w:line="360" w:lineRule="auto"/>
        <w:jc w:val="both"/>
        <w:rPr>
          <w:rFonts w:ascii="Arial" w:eastAsia="Arial" w:hAnsi="Arial" w:cs="Arial"/>
          <w:b/>
          <w:bCs/>
          <w:sz w:val="24"/>
          <w:szCs w:val="24"/>
        </w:rPr>
      </w:pPr>
    </w:p>
    <w:p w:rsidR="00753C1A" w:rsidRDefault="00753C1A" w:rsidP="00753C1A">
      <w:pPr>
        <w:spacing w:before="240" w:after="240" w:line="360" w:lineRule="auto"/>
        <w:jc w:val="both"/>
        <w:rPr>
          <w:rFonts w:ascii="Arial" w:eastAsia="Arial" w:hAnsi="Arial" w:cs="Arial"/>
          <w:b/>
          <w:bCs/>
          <w:color w:val="506E96"/>
          <w:sz w:val="24"/>
          <w:szCs w:val="24"/>
        </w:rPr>
      </w:pPr>
      <w:r>
        <w:rPr>
          <w:rFonts w:ascii="Arial" w:eastAsia="Arial" w:hAnsi="Arial" w:cs="Arial"/>
          <w:b/>
          <w:bCs/>
          <w:color w:val="506E96"/>
          <w:sz w:val="24"/>
          <w:szCs w:val="24"/>
        </w:rPr>
        <w:t>Notes on narrative development</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The narrative draws from remote sensing practices in conflict-affected contexts such as Libya, Iraq, Colombia, and Mali. It synthesizes technological capabilities with institutional arrangements observed in global mine action operations and builds on practices promoted by UNMAS, GICHD, and MapAction. The scenario is fictional but intended to reflect likely configurations in Ukraine, where both governmental and non-governmental actors are increasingly using GIS and remote tools to improve clearance efficiency and safety.</w:t>
      </w:r>
    </w:p>
    <w:p w:rsidR="00753C1A" w:rsidRDefault="00753C1A" w:rsidP="00753C1A">
      <w:pPr>
        <w:spacing w:before="240" w:after="240" w:line="360" w:lineRule="auto"/>
        <w:jc w:val="both"/>
        <w:rPr>
          <w:rFonts w:ascii="Arial" w:eastAsia="Arial" w:hAnsi="Arial" w:cs="Arial"/>
          <w:b/>
          <w:bCs/>
          <w:sz w:val="24"/>
          <w:szCs w:val="24"/>
        </w:rPr>
      </w:pPr>
    </w:p>
    <w:p w:rsidR="00753C1A" w:rsidRDefault="00753C1A" w:rsidP="00753C1A">
      <w:pPr>
        <w:spacing w:before="240" w:after="240" w:line="360" w:lineRule="auto"/>
        <w:jc w:val="both"/>
        <w:rPr>
          <w:rFonts w:ascii="Arial" w:eastAsia="Arial" w:hAnsi="Arial" w:cs="Arial"/>
          <w:b/>
          <w:bCs/>
          <w:color w:val="506E96"/>
          <w:sz w:val="24"/>
          <w:szCs w:val="24"/>
        </w:rPr>
      </w:pPr>
      <w:r>
        <w:rPr>
          <w:rFonts w:ascii="Arial" w:eastAsia="Arial" w:hAnsi="Arial" w:cs="Arial"/>
          <w:b/>
          <w:bCs/>
          <w:color w:val="506E96"/>
          <w:sz w:val="24"/>
          <w:szCs w:val="24"/>
        </w:rPr>
        <w:lastRenderedPageBreak/>
        <w:t>Guiding questions used in interviews</w:t>
      </w:r>
    </w:p>
    <w:p w:rsidR="00753C1A" w:rsidRDefault="00753C1A" w:rsidP="00753C1A">
      <w:pPr>
        <w:numPr>
          <w:ilvl w:val="0"/>
          <w:numId w:val="7"/>
        </w:numPr>
        <w:pBdr>
          <w:top w:val="nil"/>
          <w:left w:val="nil"/>
          <w:bottom w:val="nil"/>
          <w:right w:val="nil"/>
          <w:between w:val="nil"/>
        </w:pBdr>
        <w:spacing w:after="0" w:line="360" w:lineRule="auto"/>
        <w:rPr>
          <w:rFonts w:ascii="Arial" w:eastAsia="Arial" w:hAnsi="Arial" w:cs="Arial"/>
          <w:color w:val="783F04"/>
          <w:sz w:val="24"/>
          <w:szCs w:val="24"/>
        </w:rPr>
      </w:pPr>
      <w:r>
        <w:rPr>
          <w:rFonts w:ascii="Arial" w:eastAsia="Arial" w:hAnsi="Arial" w:cs="Arial"/>
          <w:color w:val="783F04"/>
          <w:sz w:val="24"/>
          <w:szCs w:val="24"/>
        </w:rPr>
        <w:t>Does this narrative reflect how remote sensing and contamination mapping is being used in Ukraine?</w:t>
      </w:r>
    </w:p>
    <w:p w:rsidR="00753C1A" w:rsidRDefault="00753C1A" w:rsidP="00753C1A">
      <w:pPr>
        <w:numPr>
          <w:ilvl w:val="0"/>
          <w:numId w:val="7"/>
        </w:numPr>
        <w:pBdr>
          <w:top w:val="nil"/>
          <w:left w:val="nil"/>
          <w:bottom w:val="nil"/>
          <w:right w:val="nil"/>
          <w:between w:val="nil"/>
        </w:pBdr>
        <w:spacing w:after="0" w:line="360" w:lineRule="auto"/>
        <w:rPr>
          <w:rFonts w:ascii="Arial" w:eastAsia="Arial" w:hAnsi="Arial" w:cs="Arial"/>
          <w:color w:val="783F04"/>
          <w:sz w:val="24"/>
          <w:szCs w:val="24"/>
        </w:rPr>
      </w:pPr>
      <w:r>
        <w:rPr>
          <w:rFonts w:ascii="Arial" w:eastAsia="Arial" w:hAnsi="Arial" w:cs="Arial"/>
          <w:color w:val="783F04"/>
          <w:sz w:val="24"/>
          <w:szCs w:val="24"/>
        </w:rPr>
        <w:t>Are there current examples or pilot projects in Ukraine using drones, AI, or satellite data for mine action?</w:t>
      </w:r>
    </w:p>
    <w:p w:rsidR="00753C1A" w:rsidRDefault="00753C1A" w:rsidP="00753C1A">
      <w:pPr>
        <w:numPr>
          <w:ilvl w:val="0"/>
          <w:numId w:val="7"/>
        </w:numPr>
        <w:pBdr>
          <w:top w:val="nil"/>
          <w:left w:val="nil"/>
          <w:bottom w:val="nil"/>
          <w:right w:val="nil"/>
          <w:between w:val="nil"/>
        </w:pBdr>
        <w:spacing w:after="0" w:line="360" w:lineRule="auto"/>
        <w:rPr>
          <w:rFonts w:ascii="Arial" w:eastAsia="Arial" w:hAnsi="Arial" w:cs="Arial"/>
          <w:color w:val="783F04"/>
          <w:sz w:val="24"/>
          <w:szCs w:val="24"/>
        </w:rPr>
      </w:pPr>
      <w:r>
        <w:rPr>
          <w:rFonts w:ascii="Arial" w:eastAsia="Arial" w:hAnsi="Arial" w:cs="Arial"/>
          <w:color w:val="783F04"/>
          <w:sz w:val="24"/>
          <w:szCs w:val="24"/>
        </w:rPr>
        <w:t>What are the institutional or technical barriers to scaling this approach?</w:t>
      </w:r>
    </w:p>
    <w:p w:rsidR="00753C1A" w:rsidRDefault="00753C1A" w:rsidP="00753C1A">
      <w:pPr>
        <w:numPr>
          <w:ilvl w:val="0"/>
          <w:numId w:val="7"/>
        </w:numPr>
        <w:pBdr>
          <w:top w:val="nil"/>
          <w:left w:val="nil"/>
          <w:bottom w:val="nil"/>
          <w:right w:val="nil"/>
          <w:between w:val="nil"/>
        </w:pBdr>
        <w:spacing w:after="0" w:line="360" w:lineRule="auto"/>
        <w:rPr>
          <w:rFonts w:ascii="Arial" w:eastAsia="Arial" w:hAnsi="Arial" w:cs="Arial"/>
          <w:color w:val="783F04"/>
          <w:sz w:val="24"/>
          <w:szCs w:val="24"/>
        </w:rPr>
      </w:pPr>
      <w:r>
        <w:rPr>
          <w:rFonts w:ascii="Arial" w:eastAsia="Arial" w:hAnsi="Arial" w:cs="Arial"/>
          <w:color w:val="783F04"/>
          <w:sz w:val="24"/>
          <w:szCs w:val="24"/>
        </w:rPr>
        <w:t>How well is the information from remote sensing integrated into operational decision-making on the ground?</w:t>
      </w:r>
    </w:p>
    <w:p w:rsidR="00753C1A" w:rsidRDefault="00753C1A" w:rsidP="00753C1A">
      <w:pPr>
        <w:numPr>
          <w:ilvl w:val="0"/>
          <w:numId w:val="7"/>
        </w:numPr>
        <w:pBdr>
          <w:top w:val="nil"/>
          <w:left w:val="nil"/>
          <w:bottom w:val="nil"/>
          <w:right w:val="nil"/>
          <w:between w:val="nil"/>
        </w:pBdr>
        <w:spacing w:after="0" w:line="360" w:lineRule="auto"/>
        <w:rPr>
          <w:rFonts w:ascii="Arial" w:eastAsia="Arial" w:hAnsi="Arial" w:cs="Arial"/>
          <w:color w:val="783F04"/>
          <w:sz w:val="24"/>
          <w:szCs w:val="24"/>
        </w:rPr>
      </w:pPr>
      <w:r>
        <w:rPr>
          <w:rFonts w:ascii="Arial" w:eastAsia="Arial" w:hAnsi="Arial" w:cs="Arial"/>
          <w:color w:val="783F04"/>
          <w:sz w:val="24"/>
          <w:szCs w:val="24"/>
        </w:rPr>
        <w:t>In your opinion, what would be needed to make this strategy more impactful or credible to clearance teams?</w:t>
      </w:r>
    </w:p>
    <w:p w:rsidR="00753C1A" w:rsidRDefault="00753C1A" w:rsidP="00753C1A">
      <w:pPr>
        <w:numPr>
          <w:ilvl w:val="0"/>
          <w:numId w:val="7"/>
        </w:numPr>
        <w:pBdr>
          <w:top w:val="nil"/>
          <w:left w:val="nil"/>
          <w:bottom w:val="nil"/>
          <w:right w:val="nil"/>
          <w:between w:val="nil"/>
        </w:pBdr>
        <w:spacing w:after="240" w:line="360" w:lineRule="auto"/>
        <w:rPr>
          <w:rFonts w:ascii="Arial" w:eastAsia="Arial" w:hAnsi="Arial" w:cs="Arial"/>
          <w:color w:val="783F04"/>
          <w:sz w:val="24"/>
          <w:szCs w:val="24"/>
        </w:rPr>
      </w:pPr>
      <w:r>
        <w:rPr>
          <w:rFonts w:ascii="Arial" w:eastAsia="Arial" w:hAnsi="Arial" w:cs="Arial"/>
          <w:color w:val="783F04"/>
          <w:sz w:val="24"/>
          <w:szCs w:val="24"/>
        </w:rPr>
        <w:t>Where do you see potential for social innovation in this area? For example, open-source mapping platforms, local drone services, or AI models trained with Ukrainian data?</w:t>
      </w:r>
    </w:p>
    <w:p w:rsidR="00753C1A" w:rsidRDefault="00753C1A" w:rsidP="00753C1A">
      <w:pPr>
        <w:spacing w:before="240" w:after="240" w:line="360" w:lineRule="auto"/>
        <w:jc w:val="both"/>
        <w:rPr>
          <w:rFonts w:ascii="Arial" w:eastAsia="Arial" w:hAnsi="Arial" w:cs="Arial"/>
          <w:b/>
          <w:bCs/>
          <w:color w:val="506E96"/>
          <w:sz w:val="24"/>
          <w:szCs w:val="24"/>
        </w:rPr>
      </w:pPr>
    </w:p>
    <w:p w:rsidR="00753C1A" w:rsidRDefault="00753C1A" w:rsidP="00753C1A">
      <w:pPr>
        <w:spacing w:before="240" w:after="240" w:line="360" w:lineRule="auto"/>
        <w:jc w:val="both"/>
        <w:rPr>
          <w:rFonts w:ascii="Arial" w:eastAsia="Arial" w:hAnsi="Arial" w:cs="Arial"/>
          <w:b/>
          <w:bCs/>
          <w:color w:val="506E96"/>
          <w:sz w:val="24"/>
          <w:szCs w:val="24"/>
        </w:rPr>
      </w:pPr>
      <w:r>
        <w:rPr>
          <w:rFonts w:ascii="Arial" w:eastAsia="Arial" w:hAnsi="Arial" w:cs="Arial"/>
          <w:b/>
          <w:bCs/>
          <w:color w:val="506E96"/>
          <w:sz w:val="24"/>
          <w:szCs w:val="24"/>
        </w:rPr>
        <w:t>Link to actor landscape (see Results section)</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Actors include GIS specialists, military engineers, research institutions, private contractors, and international technical agencies. Accordingly:</w:t>
      </w:r>
    </w:p>
    <w:p w:rsidR="00753C1A" w:rsidRDefault="00753C1A" w:rsidP="00753C1A">
      <w:pPr>
        <w:numPr>
          <w:ilvl w:val="0"/>
          <w:numId w:val="5"/>
        </w:numPr>
        <w:spacing w:after="0" w:line="360" w:lineRule="auto"/>
        <w:rPr>
          <w:rFonts w:ascii="Arial" w:eastAsia="Arial" w:hAnsi="Arial" w:cs="Arial"/>
          <w:sz w:val="24"/>
          <w:szCs w:val="24"/>
        </w:rPr>
      </w:pPr>
      <w:r>
        <w:rPr>
          <w:rFonts w:ascii="Arial" w:eastAsia="Arial" w:hAnsi="Arial" w:cs="Arial"/>
          <w:sz w:val="24"/>
          <w:szCs w:val="24"/>
        </w:rPr>
        <w:t>Q13–Q14 assess how current tools are used by Ukrainian agencies and international partners.</w:t>
      </w:r>
    </w:p>
    <w:p w:rsidR="00753C1A" w:rsidRDefault="00753C1A" w:rsidP="00753C1A">
      <w:pPr>
        <w:numPr>
          <w:ilvl w:val="0"/>
          <w:numId w:val="5"/>
        </w:numPr>
        <w:spacing w:after="0" w:line="360" w:lineRule="auto"/>
        <w:rPr>
          <w:rFonts w:ascii="Arial" w:eastAsia="Arial" w:hAnsi="Arial" w:cs="Arial"/>
          <w:sz w:val="24"/>
          <w:szCs w:val="24"/>
        </w:rPr>
      </w:pPr>
      <w:r>
        <w:rPr>
          <w:rFonts w:ascii="Arial" w:eastAsia="Arial" w:hAnsi="Arial" w:cs="Arial"/>
          <w:sz w:val="24"/>
          <w:szCs w:val="24"/>
        </w:rPr>
        <w:t>Q15 identifies coordination and capability barriers relevant to state-military-academic interfaces.</w:t>
      </w:r>
    </w:p>
    <w:p w:rsidR="00753C1A" w:rsidRDefault="00753C1A" w:rsidP="00753C1A">
      <w:pPr>
        <w:numPr>
          <w:ilvl w:val="0"/>
          <w:numId w:val="5"/>
        </w:numPr>
        <w:spacing w:after="0" w:line="360" w:lineRule="auto"/>
        <w:rPr>
          <w:rFonts w:ascii="Arial" w:eastAsia="Arial" w:hAnsi="Arial" w:cs="Arial"/>
          <w:sz w:val="24"/>
          <w:szCs w:val="24"/>
        </w:rPr>
      </w:pPr>
      <w:r>
        <w:rPr>
          <w:rFonts w:ascii="Arial" w:eastAsia="Arial" w:hAnsi="Arial" w:cs="Arial"/>
          <w:sz w:val="24"/>
          <w:szCs w:val="24"/>
        </w:rPr>
        <w:t>Q16 focuses on operational integration with field teams (e.g., HALO Trust, SESU).</w:t>
      </w:r>
    </w:p>
    <w:p w:rsidR="00753C1A" w:rsidRDefault="00753C1A" w:rsidP="00753C1A">
      <w:pPr>
        <w:numPr>
          <w:ilvl w:val="0"/>
          <w:numId w:val="5"/>
        </w:numPr>
        <w:spacing w:after="0" w:line="360" w:lineRule="auto"/>
        <w:rPr>
          <w:rFonts w:ascii="Arial" w:eastAsia="Arial" w:hAnsi="Arial" w:cs="Arial"/>
          <w:sz w:val="24"/>
          <w:szCs w:val="24"/>
        </w:rPr>
      </w:pPr>
      <w:r>
        <w:rPr>
          <w:rFonts w:ascii="Arial" w:eastAsia="Arial" w:hAnsi="Arial" w:cs="Arial"/>
          <w:sz w:val="24"/>
          <w:szCs w:val="24"/>
        </w:rPr>
        <w:t>Q17 links to implementation actors mentioned in the Results section (e.g., Ukrainian Remote Sensing Centers).</w:t>
      </w:r>
    </w:p>
    <w:p w:rsidR="00753C1A" w:rsidRDefault="00753C1A" w:rsidP="00753C1A">
      <w:pPr>
        <w:numPr>
          <w:ilvl w:val="0"/>
          <w:numId w:val="5"/>
        </w:numPr>
        <w:spacing w:after="240" w:line="360" w:lineRule="auto"/>
        <w:rPr>
          <w:rFonts w:ascii="Arial" w:eastAsia="Arial" w:hAnsi="Arial" w:cs="Arial"/>
          <w:sz w:val="24"/>
          <w:szCs w:val="24"/>
        </w:rPr>
      </w:pPr>
      <w:r>
        <w:rPr>
          <w:rFonts w:ascii="Arial" w:eastAsia="Arial" w:hAnsi="Arial" w:cs="Arial"/>
          <w:sz w:val="24"/>
          <w:szCs w:val="24"/>
        </w:rPr>
        <w:t>Q18 was added to explore innovations involving public-private-academic collaboration.</w:t>
      </w:r>
    </w:p>
    <w:p w:rsidR="00753C1A" w:rsidRDefault="00753C1A" w:rsidP="00753C1A">
      <w:pPr>
        <w:spacing w:line="360" w:lineRule="auto"/>
        <w:jc w:val="both"/>
        <w:rPr>
          <w:rFonts w:ascii="Arial" w:eastAsia="Arial" w:hAnsi="Arial" w:cs="Arial"/>
          <w:sz w:val="24"/>
          <w:szCs w:val="24"/>
        </w:rPr>
      </w:pPr>
    </w:p>
    <w:p w:rsidR="00753C1A" w:rsidRDefault="00753C1A" w:rsidP="00753C1A">
      <w:pPr>
        <w:spacing w:before="240" w:line="360" w:lineRule="auto"/>
        <w:jc w:val="both"/>
        <w:rPr>
          <w:rFonts w:ascii="Arial" w:eastAsia="Arial" w:hAnsi="Arial" w:cs="Arial"/>
          <w:sz w:val="24"/>
          <w:szCs w:val="24"/>
        </w:rPr>
      </w:pPr>
    </w:p>
    <w:p w:rsidR="00753C1A" w:rsidRDefault="00753C1A" w:rsidP="00753C1A">
      <w:pPr>
        <w:spacing w:before="240" w:after="240" w:line="360" w:lineRule="auto"/>
        <w:jc w:val="both"/>
        <w:rPr>
          <w:rFonts w:ascii="Arial" w:eastAsia="Arial" w:hAnsi="Arial" w:cs="Arial"/>
          <w:b/>
          <w:bCs/>
          <w:color w:val="506E96"/>
          <w:sz w:val="24"/>
          <w:szCs w:val="24"/>
        </w:rPr>
      </w:pPr>
      <w:r>
        <w:rPr>
          <w:rFonts w:ascii="Arial" w:eastAsia="Arial" w:hAnsi="Arial" w:cs="Arial"/>
          <w:b/>
          <w:bCs/>
          <w:color w:val="506E96"/>
          <w:sz w:val="24"/>
          <w:szCs w:val="24"/>
        </w:rPr>
        <w:lastRenderedPageBreak/>
        <w:t>Strategy Type 4: Community-based approaches</w:t>
      </w:r>
    </w:p>
    <w:p w:rsidR="00753C1A" w:rsidRDefault="00753C1A" w:rsidP="00753C1A">
      <w:pPr>
        <w:spacing w:before="240" w:after="240" w:line="360" w:lineRule="auto"/>
        <w:jc w:val="both"/>
        <w:rPr>
          <w:rFonts w:ascii="Arial" w:eastAsia="Arial" w:hAnsi="Arial" w:cs="Arial"/>
          <w:b/>
          <w:bCs/>
          <w:color w:val="506E96"/>
          <w:sz w:val="24"/>
          <w:szCs w:val="24"/>
        </w:rPr>
      </w:pPr>
      <w:r>
        <w:rPr>
          <w:rFonts w:ascii="Arial" w:eastAsia="Arial" w:hAnsi="Arial" w:cs="Arial"/>
          <w:b/>
          <w:bCs/>
          <w:color w:val="506E96"/>
          <w:sz w:val="24"/>
          <w:szCs w:val="24"/>
        </w:rPr>
        <w:t>Narrative (communication prompt used in interviews)</w:t>
      </w:r>
    </w:p>
    <w:p w:rsidR="00753C1A" w:rsidRDefault="00753C1A" w:rsidP="00753C1A">
      <w:pPr>
        <w:spacing w:before="240" w:after="240" w:line="360" w:lineRule="auto"/>
        <w:jc w:val="both"/>
        <w:rPr>
          <w:rFonts w:ascii="Arial" w:eastAsia="Arial" w:hAnsi="Arial" w:cs="Arial"/>
          <w:i/>
          <w:iCs/>
          <w:sz w:val="24"/>
          <w:szCs w:val="24"/>
        </w:rPr>
      </w:pPr>
      <w:r>
        <w:rPr>
          <w:rFonts w:ascii="Arial" w:eastAsia="Arial" w:hAnsi="Arial" w:cs="Arial"/>
          <w:i/>
          <w:iCs/>
          <w:sz w:val="24"/>
          <w:szCs w:val="24"/>
        </w:rPr>
        <w:t>Note: This narrative is a communication aid designed to convey the defining features of the strategy in an accessible, illustrative format. It is not evidence-based, data-derived, or presented as an analytical finding. Its sole purpose is to help ensure a shared understanding of the strategy type as defined in Supplementary Material S2.2 and presented in main body text Table 1.</w:t>
      </w:r>
    </w:p>
    <w:p w:rsidR="00753C1A" w:rsidRDefault="00753C1A" w:rsidP="00753C1A">
      <w:pPr>
        <w:spacing w:before="240" w:after="240" w:line="360" w:lineRule="auto"/>
        <w:jc w:val="both"/>
        <w:rPr>
          <w:rFonts w:ascii="Arial" w:eastAsia="Arial" w:hAnsi="Arial" w:cs="Arial"/>
          <w:sz w:val="24"/>
          <w:szCs w:val="24"/>
        </w:rPr>
      </w:pP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In the heavily shelled forest-meadow zone near the Siverskyi Donets River, community members have become key partners in Ukraine’s local demining response. Through mobile apps, village councils and individual residents report suspected mine locations, which are logged into regional databases and cross-checked by SESU and HALO Trust field teams. Trained local volunteers conduct mine-risk education in schools and village halls, using simple materials and stories tailored to displaced families returning from other regions. In areas still awaiting formal clearance, farmers form cooperatives to monitor dangerous zones and coordinate seasonal land access. These community-based efforts do not replace technical clearance but help fill information gaps, reduce incidents, and support long-term local recovery. Success depends on strong social trust, clear communication channels with authorities, and local capacity-building, especially where trust in state institutions may be low. NGOs often serve as intermediaries. While these approaches are low-cost and inclusive, they may struggle in highly mobile or depopulated zones, or where conflict legacy has fractured local governance (Table Expert Interviews 4</w:t>
      </w:r>
      <w:r>
        <w:rPr>
          <w:rFonts w:ascii="Arial" w:eastAsia="Arial" w:hAnsi="Arial" w:cs="Arial"/>
          <w:b/>
          <w:bCs/>
          <w:sz w:val="24"/>
          <w:szCs w:val="24"/>
        </w:rPr>
        <w:t>)</w:t>
      </w:r>
      <w:r>
        <w:rPr>
          <w:rFonts w:ascii="Arial" w:eastAsia="Arial" w:hAnsi="Arial" w:cs="Arial"/>
          <w:sz w:val="24"/>
          <w:szCs w:val="24"/>
        </w:rPr>
        <w:t>.</w:t>
      </w:r>
    </w:p>
    <w:p w:rsidR="00753C1A" w:rsidRDefault="00753C1A" w:rsidP="00753C1A">
      <w:pPr>
        <w:spacing w:before="240" w:after="240" w:line="360" w:lineRule="auto"/>
        <w:jc w:val="both"/>
        <w:rPr>
          <w:rFonts w:ascii="Arial" w:eastAsia="Arial" w:hAnsi="Arial" w:cs="Arial"/>
          <w:sz w:val="16"/>
          <w:szCs w:val="16"/>
        </w:rPr>
      </w:pPr>
      <w:r>
        <w:rPr>
          <w:rFonts w:ascii="Arial" w:eastAsia="Arial" w:hAnsi="Arial" w:cs="Arial"/>
          <w:sz w:val="16"/>
          <w:szCs w:val="16"/>
        </w:rPr>
        <w:t>Table Expert Interviews 4. Key characteristics “Community-Based Approach”.</w:t>
      </w:r>
    </w:p>
    <w:tbl>
      <w:tblPr>
        <w:tblW w:w="8850" w:type="dxa"/>
        <w:tblBorders>
          <w:top w:val="nil"/>
          <w:left w:val="nil"/>
          <w:bottom w:val="nil"/>
          <w:right w:val="nil"/>
          <w:insideH w:val="nil"/>
          <w:insideV w:val="nil"/>
        </w:tblBorders>
        <w:tblLayout w:type="fixed"/>
        <w:tblLook w:val="0600" w:firstRow="0" w:lastRow="0" w:firstColumn="0" w:lastColumn="0" w:noHBand="1" w:noVBand="1"/>
      </w:tblPr>
      <w:tblGrid>
        <w:gridCol w:w="1575"/>
        <w:gridCol w:w="7275"/>
      </w:tblGrid>
      <w:tr w:rsidR="00753C1A" w:rsidTr="003A5549">
        <w:trPr>
          <w:trHeight w:val="330"/>
        </w:trPr>
        <w:tc>
          <w:tcPr>
            <w:tcW w:w="1575" w:type="dxa"/>
            <w:tcBorders>
              <w:top w:val="nil"/>
              <w:left w:val="nil"/>
              <w:bottom w:val="nil"/>
              <w:right w:val="nil"/>
            </w:tcBorders>
            <w:shd w:val="clear" w:color="auto" w:fill="A6A6A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t>Dimension</w:t>
            </w:r>
          </w:p>
        </w:tc>
        <w:tc>
          <w:tcPr>
            <w:tcW w:w="7275" w:type="dxa"/>
            <w:tcBorders>
              <w:top w:val="nil"/>
              <w:left w:val="nil"/>
              <w:bottom w:val="nil"/>
              <w:right w:val="nil"/>
            </w:tcBorders>
            <w:shd w:val="clear" w:color="auto" w:fill="A6A6A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t>Description</w:t>
            </w:r>
          </w:p>
        </w:tc>
      </w:tr>
      <w:tr w:rsidR="00753C1A" w:rsidTr="003A5549">
        <w:trPr>
          <w:trHeight w:val="330"/>
        </w:trPr>
        <w:tc>
          <w:tcPr>
            <w:tcW w:w="1575" w:type="dxa"/>
            <w:tcBorders>
              <w:top w:val="single" w:sz="5" w:space="0" w:color="FFFFFF"/>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Strategy name</w:t>
            </w:r>
          </w:p>
        </w:tc>
        <w:tc>
          <w:tcPr>
            <w:tcW w:w="7275" w:type="dxa"/>
            <w:tcBorders>
              <w:top w:val="single" w:sz="5" w:space="0" w:color="FFFFFF"/>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community-based approaches</w:t>
            </w:r>
          </w:p>
        </w:tc>
      </w:tr>
      <w:tr w:rsidR="00753C1A" w:rsidTr="003A5549">
        <w:trPr>
          <w:trHeight w:val="330"/>
        </w:trPr>
        <w:tc>
          <w:tcPr>
            <w:tcW w:w="157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Primary objective</w:t>
            </w:r>
          </w:p>
        </w:tc>
        <w:tc>
          <w:tcPr>
            <w:tcW w:w="727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risk reduction, information sharing, and social cohesion through local engagement</w:t>
            </w:r>
          </w:p>
        </w:tc>
      </w:tr>
      <w:tr w:rsidR="00753C1A" w:rsidTr="003A5549">
        <w:trPr>
          <w:trHeight w:val="330"/>
        </w:trPr>
        <w:tc>
          <w:tcPr>
            <w:tcW w:w="157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lastRenderedPageBreak/>
              <w:t>Lead actors</w:t>
            </w:r>
          </w:p>
        </w:tc>
        <w:tc>
          <w:tcPr>
            <w:tcW w:w="727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local councils, teachers, volunteers, community-based organizations</w:t>
            </w:r>
          </w:p>
        </w:tc>
      </w:tr>
      <w:tr w:rsidR="00753C1A" w:rsidTr="003A5549">
        <w:trPr>
          <w:trHeight w:val="570"/>
        </w:trPr>
        <w:tc>
          <w:tcPr>
            <w:tcW w:w="157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Supporting actors</w:t>
            </w:r>
          </w:p>
        </w:tc>
        <w:tc>
          <w:tcPr>
            <w:tcW w:w="727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national and international NGOs (e.g., HALO, Danish Demining Group), SESU</w:t>
            </w:r>
          </w:p>
        </w:tc>
      </w:tr>
      <w:tr w:rsidR="00753C1A" w:rsidTr="003A5549">
        <w:trPr>
          <w:trHeight w:val="330"/>
        </w:trPr>
        <w:tc>
          <w:tcPr>
            <w:tcW w:w="157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Operational tools</w:t>
            </w:r>
          </w:p>
        </w:tc>
        <w:tc>
          <w:tcPr>
            <w:tcW w:w="727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risk education sessions, community mapping, mobile reporting tools, social media</w:t>
            </w:r>
          </w:p>
        </w:tc>
      </w:tr>
      <w:tr w:rsidR="00753C1A" w:rsidTr="003A5549">
        <w:trPr>
          <w:trHeight w:val="570"/>
        </w:trPr>
        <w:tc>
          <w:tcPr>
            <w:tcW w:w="157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Application context</w:t>
            </w:r>
          </w:p>
        </w:tc>
        <w:tc>
          <w:tcPr>
            <w:tcW w:w="727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contaminated rural areas, post-return communities, low-capacity regions</w:t>
            </w:r>
          </w:p>
        </w:tc>
      </w:tr>
      <w:tr w:rsidR="00753C1A" w:rsidTr="003A5549">
        <w:trPr>
          <w:trHeight w:val="330"/>
        </w:trPr>
        <w:tc>
          <w:tcPr>
            <w:tcW w:w="157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Scale of use</w:t>
            </w:r>
          </w:p>
        </w:tc>
        <w:tc>
          <w:tcPr>
            <w:tcW w:w="727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local to subregional; clusters of villages or dispersed settlements</w:t>
            </w:r>
          </w:p>
        </w:tc>
      </w:tr>
      <w:tr w:rsidR="00753C1A" w:rsidTr="003A5549">
        <w:trPr>
          <w:trHeight w:val="330"/>
        </w:trPr>
        <w:tc>
          <w:tcPr>
            <w:tcW w:w="157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Timeframe</w:t>
            </w:r>
          </w:p>
        </w:tc>
        <w:tc>
          <w:tcPr>
            <w:tcW w:w="727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ongoing; adaptive to community needs and clearance progress</w:t>
            </w:r>
          </w:p>
        </w:tc>
      </w:tr>
      <w:tr w:rsidR="00753C1A" w:rsidTr="003A5549">
        <w:trPr>
          <w:trHeight w:val="330"/>
        </w:trPr>
        <w:tc>
          <w:tcPr>
            <w:tcW w:w="157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Core advantages</w:t>
            </w:r>
          </w:p>
        </w:tc>
        <w:tc>
          <w:tcPr>
            <w:tcW w:w="727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builds trust; reduces risk before clearance; uses local knowledge; low cost</w:t>
            </w:r>
          </w:p>
        </w:tc>
      </w:tr>
      <w:tr w:rsidR="00753C1A" w:rsidTr="003A5549">
        <w:trPr>
          <w:trHeight w:val="330"/>
        </w:trPr>
        <w:tc>
          <w:tcPr>
            <w:tcW w:w="157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Core limitations</w:t>
            </w:r>
          </w:p>
        </w:tc>
        <w:tc>
          <w:tcPr>
            <w:tcW w:w="727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limited technical capacity; depends on trust, cohesion, and safety</w:t>
            </w:r>
          </w:p>
        </w:tc>
      </w:tr>
      <w:tr w:rsidR="00753C1A" w:rsidTr="003A5549">
        <w:trPr>
          <w:trHeight w:val="330"/>
        </w:trPr>
        <w:tc>
          <w:tcPr>
            <w:tcW w:w="157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Evidence base</w:t>
            </w:r>
          </w:p>
        </w:tc>
        <w:tc>
          <w:tcPr>
            <w:tcW w:w="727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used in Angola, Cambodia, Iraq, South Sudan, and Ukraine (pilot initiatives)</w:t>
            </w:r>
          </w:p>
        </w:tc>
      </w:tr>
      <w:tr w:rsidR="00753C1A" w:rsidTr="003A5549">
        <w:trPr>
          <w:trHeight w:val="810"/>
        </w:trPr>
        <w:tc>
          <w:tcPr>
            <w:tcW w:w="157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Indicative financing model</w:t>
            </w:r>
          </w:p>
        </w:tc>
        <w:tc>
          <w:tcPr>
            <w:tcW w:w="727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donor- and NGO-funded with in-kind community participation; potential integration into national recovery or rural development programs; low barrier to entry for social enterprises or local cooperatives</w:t>
            </w:r>
          </w:p>
        </w:tc>
      </w:tr>
    </w:tbl>
    <w:p w:rsidR="00753C1A" w:rsidRDefault="00753C1A" w:rsidP="00753C1A">
      <w:pPr>
        <w:spacing w:before="240" w:after="240" w:line="360" w:lineRule="auto"/>
        <w:jc w:val="both"/>
        <w:rPr>
          <w:rFonts w:ascii="Arial" w:eastAsia="Arial" w:hAnsi="Arial" w:cs="Arial"/>
          <w:b/>
          <w:bCs/>
          <w:sz w:val="24"/>
          <w:szCs w:val="24"/>
        </w:rPr>
      </w:pPr>
    </w:p>
    <w:p w:rsidR="00753C1A" w:rsidRDefault="00753C1A" w:rsidP="00753C1A">
      <w:pPr>
        <w:spacing w:before="240" w:after="240" w:line="360" w:lineRule="auto"/>
        <w:jc w:val="both"/>
        <w:rPr>
          <w:rFonts w:ascii="Arial" w:eastAsia="Arial" w:hAnsi="Arial" w:cs="Arial"/>
          <w:b/>
          <w:bCs/>
          <w:color w:val="506E96"/>
          <w:sz w:val="24"/>
          <w:szCs w:val="24"/>
        </w:rPr>
      </w:pPr>
      <w:r>
        <w:rPr>
          <w:rFonts w:ascii="Arial" w:eastAsia="Arial" w:hAnsi="Arial" w:cs="Arial"/>
          <w:b/>
          <w:bCs/>
          <w:color w:val="506E96"/>
          <w:sz w:val="24"/>
          <w:szCs w:val="24"/>
        </w:rPr>
        <w:t>Notes on narrative development</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The narrative reflects global experience with community-based mine risk education and participatory hazard mapping, as implemented in Cambodia, Angola, South Sudan, and parts of eastern Ukraine. These efforts are often most effective when implemented in tandem with national mine action strategies but are rooted in local agency. Materials reviewed include UNICEF and UNMAS guidance, HALO Trust community liaison reports, and grey literature from risk education programming. The narrative avoids idealizing community cohesion and acknowledges limitations in fragmented or depopulated zones.</w:t>
      </w:r>
    </w:p>
    <w:p w:rsidR="00753C1A" w:rsidRDefault="00753C1A" w:rsidP="00753C1A">
      <w:pPr>
        <w:spacing w:before="240" w:after="240" w:line="360" w:lineRule="auto"/>
        <w:jc w:val="both"/>
        <w:rPr>
          <w:rFonts w:ascii="Arial" w:eastAsia="Arial" w:hAnsi="Arial" w:cs="Arial"/>
          <w:b/>
          <w:bCs/>
          <w:sz w:val="24"/>
          <w:szCs w:val="24"/>
        </w:rPr>
      </w:pPr>
    </w:p>
    <w:p w:rsidR="00753C1A" w:rsidRDefault="00753C1A" w:rsidP="00753C1A">
      <w:pPr>
        <w:spacing w:before="240" w:after="240" w:line="360" w:lineRule="auto"/>
        <w:jc w:val="both"/>
        <w:rPr>
          <w:rFonts w:ascii="Arial" w:eastAsia="Arial" w:hAnsi="Arial" w:cs="Arial"/>
          <w:b/>
          <w:bCs/>
          <w:color w:val="506E96"/>
          <w:sz w:val="24"/>
          <w:szCs w:val="24"/>
        </w:rPr>
      </w:pPr>
      <w:r>
        <w:rPr>
          <w:rFonts w:ascii="Arial" w:eastAsia="Arial" w:hAnsi="Arial" w:cs="Arial"/>
          <w:b/>
          <w:bCs/>
          <w:color w:val="506E96"/>
          <w:sz w:val="24"/>
          <w:szCs w:val="24"/>
        </w:rPr>
        <w:t>Guiding questions used in interviews</w:t>
      </w:r>
    </w:p>
    <w:p w:rsidR="00753C1A" w:rsidRDefault="00753C1A" w:rsidP="00753C1A">
      <w:pPr>
        <w:numPr>
          <w:ilvl w:val="0"/>
          <w:numId w:val="7"/>
        </w:numPr>
        <w:pBdr>
          <w:top w:val="nil"/>
          <w:left w:val="nil"/>
          <w:bottom w:val="nil"/>
          <w:right w:val="nil"/>
          <w:between w:val="nil"/>
        </w:pBdr>
        <w:spacing w:after="0" w:line="360" w:lineRule="auto"/>
        <w:rPr>
          <w:rFonts w:ascii="Arial" w:eastAsia="Arial" w:hAnsi="Arial" w:cs="Arial"/>
          <w:color w:val="783F04"/>
          <w:sz w:val="24"/>
          <w:szCs w:val="24"/>
        </w:rPr>
      </w:pPr>
      <w:r>
        <w:rPr>
          <w:rFonts w:ascii="Arial" w:eastAsia="Arial" w:hAnsi="Arial" w:cs="Arial"/>
          <w:color w:val="783F04"/>
          <w:sz w:val="24"/>
          <w:szCs w:val="24"/>
        </w:rPr>
        <w:t>Does this narrative reflect how communities are currently involved in mine action in Ukraine?</w:t>
      </w:r>
    </w:p>
    <w:p w:rsidR="00753C1A" w:rsidRDefault="00753C1A" w:rsidP="00753C1A">
      <w:pPr>
        <w:numPr>
          <w:ilvl w:val="0"/>
          <w:numId w:val="7"/>
        </w:numPr>
        <w:pBdr>
          <w:top w:val="nil"/>
          <w:left w:val="nil"/>
          <w:bottom w:val="nil"/>
          <w:right w:val="nil"/>
          <w:between w:val="nil"/>
        </w:pBdr>
        <w:spacing w:after="0" w:line="360" w:lineRule="auto"/>
        <w:rPr>
          <w:rFonts w:ascii="Arial" w:eastAsia="Arial" w:hAnsi="Arial" w:cs="Arial"/>
          <w:color w:val="783F04"/>
          <w:sz w:val="24"/>
          <w:szCs w:val="24"/>
        </w:rPr>
      </w:pPr>
      <w:r>
        <w:rPr>
          <w:rFonts w:ascii="Arial" w:eastAsia="Arial" w:hAnsi="Arial" w:cs="Arial"/>
          <w:color w:val="783F04"/>
          <w:sz w:val="24"/>
          <w:szCs w:val="24"/>
        </w:rPr>
        <w:t>Where have you seen strong or weak examples of community-led risk education, reporting, or coordination?</w:t>
      </w:r>
    </w:p>
    <w:p w:rsidR="00753C1A" w:rsidRDefault="00753C1A" w:rsidP="00753C1A">
      <w:pPr>
        <w:numPr>
          <w:ilvl w:val="0"/>
          <w:numId w:val="7"/>
        </w:numPr>
        <w:pBdr>
          <w:top w:val="nil"/>
          <w:left w:val="nil"/>
          <w:bottom w:val="nil"/>
          <w:right w:val="nil"/>
          <w:between w:val="nil"/>
        </w:pBdr>
        <w:spacing w:after="0" w:line="360" w:lineRule="auto"/>
        <w:rPr>
          <w:rFonts w:ascii="Arial" w:eastAsia="Arial" w:hAnsi="Arial" w:cs="Arial"/>
          <w:color w:val="783F04"/>
          <w:sz w:val="24"/>
          <w:szCs w:val="24"/>
        </w:rPr>
      </w:pPr>
      <w:r>
        <w:rPr>
          <w:rFonts w:ascii="Arial" w:eastAsia="Arial" w:hAnsi="Arial" w:cs="Arial"/>
          <w:color w:val="783F04"/>
          <w:sz w:val="24"/>
          <w:szCs w:val="24"/>
        </w:rPr>
        <w:t>What are the main barriers to greater community engagement in demining and land recovery?</w:t>
      </w:r>
    </w:p>
    <w:p w:rsidR="00753C1A" w:rsidRDefault="00753C1A" w:rsidP="00753C1A">
      <w:pPr>
        <w:numPr>
          <w:ilvl w:val="0"/>
          <w:numId w:val="7"/>
        </w:numPr>
        <w:pBdr>
          <w:top w:val="nil"/>
          <w:left w:val="nil"/>
          <w:bottom w:val="nil"/>
          <w:right w:val="nil"/>
          <w:between w:val="nil"/>
        </w:pBdr>
        <w:spacing w:after="0" w:line="360" w:lineRule="auto"/>
        <w:rPr>
          <w:rFonts w:ascii="Arial" w:eastAsia="Arial" w:hAnsi="Arial" w:cs="Arial"/>
          <w:color w:val="783F04"/>
          <w:sz w:val="24"/>
          <w:szCs w:val="24"/>
        </w:rPr>
      </w:pPr>
      <w:r>
        <w:rPr>
          <w:rFonts w:ascii="Arial" w:eastAsia="Arial" w:hAnsi="Arial" w:cs="Arial"/>
          <w:color w:val="783F04"/>
          <w:sz w:val="24"/>
          <w:szCs w:val="24"/>
        </w:rPr>
        <w:t>Which actors (state, NGO, private businesses, or civil society) are most trusted or best placed to coordinate this approach?</w:t>
      </w:r>
    </w:p>
    <w:p w:rsidR="00753C1A" w:rsidRDefault="00753C1A" w:rsidP="00753C1A">
      <w:pPr>
        <w:numPr>
          <w:ilvl w:val="0"/>
          <w:numId w:val="7"/>
        </w:numPr>
        <w:pBdr>
          <w:top w:val="nil"/>
          <w:left w:val="nil"/>
          <w:bottom w:val="nil"/>
          <w:right w:val="nil"/>
          <w:between w:val="nil"/>
        </w:pBdr>
        <w:spacing w:after="0" w:line="360" w:lineRule="auto"/>
        <w:rPr>
          <w:rFonts w:ascii="Arial" w:eastAsia="Arial" w:hAnsi="Arial" w:cs="Arial"/>
          <w:color w:val="783F04"/>
          <w:sz w:val="24"/>
          <w:szCs w:val="24"/>
        </w:rPr>
      </w:pPr>
      <w:r>
        <w:rPr>
          <w:rFonts w:ascii="Arial" w:eastAsia="Arial" w:hAnsi="Arial" w:cs="Arial"/>
          <w:color w:val="783F04"/>
          <w:sz w:val="24"/>
          <w:szCs w:val="24"/>
        </w:rPr>
        <w:t>How could community-based strategies be linked to broader rural recovery and local governance strengthening?</w:t>
      </w:r>
    </w:p>
    <w:p w:rsidR="00753C1A" w:rsidRDefault="00753C1A" w:rsidP="00753C1A">
      <w:pPr>
        <w:numPr>
          <w:ilvl w:val="0"/>
          <w:numId w:val="7"/>
        </w:numPr>
        <w:pBdr>
          <w:top w:val="nil"/>
          <w:left w:val="nil"/>
          <w:bottom w:val="nil"/>
          <w:right w:val="nil"/>
          <w:between w:val="nil"/>
        </w:pBdr>
        <w:spacing w:after="240" w:line="360" w:lineRule="auto"/>
        <w:rPr>
          <w:rFonts w:ascii="Arial" w:eastAsia="Arial" w:hAnsi="Arial" w:cs="Arial"/>
          <w:color w:val="783F04"/>
          <w:sz w:val="24"/>
          <w:szCs w:val="24"/>
        </w:rPr>
      </w:pPr>
      <w:r>
        <w:rPr>
          <w:rFonts w:ascii="Arial" w:eastAsia="Arial" w:hAnsi="Arial" w:cs="Arial"/>
          <w:color w:val="783F04"/>
          <w:sz w:val="24"/>
          <w:szCs w:val="24"/>
        </w:rPr>
        <w:t>What examples of social innovation have you seen (or could you imagine) involving communities in mine action (e.g., mobile platforms, cooperative risk mapping, youth education models)?</w:t>
      </w:r>
    </w:p>
    <w:p w:rsidR="00753C1A" w:rsidRDefault="00753C1A" w:rsidP="00753C1A">
      <w:pPr>
        <w:spacing w:before="240" w:after="240" w:line="360" w:lineRule="auto"/>
        <w:jc w:val="both"/>
        <w:rPr>
          <w:rFonts w:ascii="Arial" w:eastAsia="Arial" w:hAnsi="Arial" w:cs="Arial"/>
          <w:b/>
          <w:bCs/>
          <w:color w:val="506E96"/>
          <w:sz w:val="24"/>
          <w:szCs w:val="24"/>
        </w:rPr>
      </w:pPr>
    </w:p>
    <w:p w:rsidR="00753C1A" w:rsidRDefault="00753C1A" w:rsidP="00753C1A">
      <w:pPr>
        <w:spacing w:before="240" w:after="240" w:line="360" w:lineRule="auto"/>
        <w:jc w:val="both"/>
        <w:rPr>
          <w:rFonts w:ascii="Arial" w:eastAsia="Arial" w:hAnsi="Arial" w:cs="Arial"/>
          <w:b/>
          <w:bCs/>
          <w:color w:val="506E96"/>
          <w:sz w:val="24"/>
          <w:szCs w:val="24"/>
        </w:rPr>
      </w:pPr>
      <w:r>
        <w:rPr>
          <w:rFonts w:ascii="Arial" w:eastAsia="Arial" w:hAnsi="Arial" w:cs="Arial"/>
          <w:b/>
          <w:bCs/>
          <w:color w:val="506E96"/>
          <w:sz w:val="24"/>
          <w:szCs w:val="24"/>
        </w:rPr>
        <w:t>Link to actor landscape (see Results section)</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The Actor Table lists community councils, schools, volunteers, local residents, and NGOs among key actors. Accordingly:</w:t>
      </w:r>
    </w:p>
    <w:p w:rsidR="00753C1A" w:rsidRDefault="00753C1A" w:rsidP="00753C1A">
      <w:pPr>
        <w:numPr>
          <w:ilvl w:val="0"/>
          <w:numId w:val="13"/>
        </w:numPr>
        <w:spacing w:after="0" w:line="360" w:lineRule="auto"/>
        <w:rPr>
          <w:rFonts w:ascii="Arial" w:eastAsia="Arial" w:hAnsi="Arial" w:cs="Arial"/>
          <w:sz w:val="24"/>
          <w:szCs w:val="24"/>
        </w:rPr>
      </w:pPr>
      <w:r>
        <w:rPr>
          <w:rFonts w:ascii="Arial" w:eastAsia="Arial" w:hAnsi="Arial" w:cs="Arial"/>
          <w:sz w:val="24"/>
          <w:szCs w:val="24"/>
        </w:rPr>
        <w:t>Q19–Q20 explore lived and local experience in reporting and education.</w:t>
      </w:r>
    </w:p>
    <w:p w:rsidR="00753C1A" w:rsidRDefault="00753C1A" w:rsidP="00753C1A">
      <w:pPr>
        <w:numPr>
          <w:ilvl w:val="0"/>
          <w:numId w:val="13"/>
        </w:numPr>
        <w:spacing w:after="0" w:line="360" w:lineRule="auto"/>
        <w:rPr>
          <w:rFonts w:ascii="Arial" w:eastAsia="Arial" w:hAnsi="Arial" w:cs="Arial"/>
          <w:sz w:val="24"/>
          <w:szCs w:val="24"/>
        </w:rPr>
      </w:pPr>
      <w:r>
        <w:rPr>
          <w:rFonts w:ascii="Arial" w:eastAsia="Arial" w:hAnsi="Arial" w:cs="Arial"/>
          <w:sz w:val="24"/>
          <w:szCs w:val="24"/>
        </w:rPr>
        <w:t>Q21 focuses on barriers related to fragmentation, mobility, or distrust—issues flagged in Results.</w:t>
      </w:r>
    </w:p>
    <w:p w:rsidR="00753C1A" w:rsidRDefault="00753C1A" w:rsidP="00753C1A">
      <w:pPr>
        <w:numPr>
          <w:ilvl w:val="0"/>
          <w:numId w:val="13"/>
        </w:numPr>
        <w:spacing w:after="0" w:line="360" w:lineRule="auto"/>
        <w:rPr>
          <w:rFonts w:ascii="Arial" w:eastAsia="Arial" w:hAnsi="Arial" w:cs="Arial"/>
          <w:sz w:val="24"/>
          <w:szCs w:val="24"/>
        </w:rPr>
      </w:pPr>
      <w:r>
        <w:rPr>
          <w:rFonts w:ascii="Arial" w:eastAsia="Arial" w:hAnsi="Arial" w:cs="Arial"/>
          <w:sz w:val="24"/>
          <w:szCs w:val="24"/>
        </w:rPr>
        <w:t>Q22 aligns with the role of trusted intermediaries (NGOs, teachers, elders).</w:t>
      </w:r>
    </w:p>
    <w:p w:rsidR="00753C1A" w:rsidRDefault="00753C1A" w:rsidP="00753C1A">
      <w:pPr>
        <w:numPr>
          <w:ilvl w:val="0"/>
          <w:numId w:val="13"/>
        </w:numPr>
        <w:spacing w:after="0" w:line="360" w:lineRule="auto"/>
        <w:rPr>
          <w:rFonts w:ascii="Arial" w:eastAsia="Arial" w:hAnsi="Arial" w:cs="Arial"/>
          <w:sz w:val="24"/>
          <w:szCs w:val="24"/>
        </w:rPr>
      </w:pPr>
      <w:r>
        <w:rPr>
          <w:rFonts w:ascii="Arial" w:eastAsia="Arial" w:hAnsi="Arial" w:cs="Arial"/>
          <w:sz w:val="24"/>
          <w:szCs w:val="24"/>
        </w:rPr>
        <w:t>Q23 tests potential integration with broader governance recovery.</w:t>
      </w:r>
    </w:p>
    <w:p w:rsidR="00753C1A" w:rsidRDefault="00753C1A" w:rsidP="00753C1A">
      <w:pPr>
        <w:numPr>
          <w:ilvl w:val="0"/>
          <w:numId w:val="13"/>
        </w:numPr>
        <w:spacing w:after="240" w:line="360" w:lineRule="auto"/>
        <w:rPr>
          <w:rFonts w:ascii="Arial" w:eastAsia="Arial" w:hAnsi="Arial" w:cs="Arial"/>
          <w:sz w:val="24"/>
          <w:szCs w:val="24"/>
        </w:rPr>
      </w:pPr>
      <w:r>
        <w:rPr>
          <w:rFonts w:ascii="Arial" w:eastAsia="Arial" w:hAnsi="Arial" w:cs="Arial"/>
          <w:sz w:val="24"/>
          <w:szCs w:val="24"/>
        </w:rPr>
        <w:t>Q24 was added to reflect social innovation potential in participatory risk reduction, highlighted in literature and actor mapping as underutilized in Ukraine.</w:t>
      </w:r>
    </w:p>
    <w:p w:rsidR="00753C1A" w:rsidRDefault="00753C1A" w:rsidP="00753C1A">
      <w:pPr>
        <w:spacing w:line="360" w:lineRule="auto"/>
        <w:jc w:val="both"/>
        <w:rPr>
          <w:rFonts w:ascii="Arial" w:eastAsia="Arial" w:hAnsi="Arial" w:cs="Arial"/>
          <w:sz w:val="24"/>
          <w:szCs w:val="24"/>
        </w:rPr>
      </w:pPr>
    </w:p>
    <w:p w:rsidR="00753C1A" w:rsidRDefault="00753C1A" w:rsidP="00753C1A">
      <w:pPr>
        <w:spacing w:before="240" w:line="360" w:lineRule="auto"/>
        <w:jc w:val="both"/>
        <w:rPr>
          <w:rFonts w:ascii="Arial" w:eastAsia="Arial" w:hAnsi="Arial" w:cs="Arial"/>
          <w:sz w:val="24"/>
          <w:szCs w:val="24"/>
        </w:rPr>
      </w:pPr>
    </w:p>
    <w:p w:rsidR="00753C1A" w:rsidRDefault="00753C1A" w:rsidP="00753C1A">
      <w:pPr>
        <w:spacing w:before="240" w:after="240" w:line="360" w:lineRule="auto"/>
        <w:jc w:val="both"/>
        <w:rPr>
          <w:rFonts w:ascii="Arial" w:eastAsia="Arial" w:hAnsi="Arial" w:cs="Arial"/>
          <w:b/>
          <w:bCs/>
          <w:sz w:val="24"/>
          <w:szCs w:val="24"/>
        </w:rPr>
      </w:pPr>
      <w:r>
        <w:rPr>
          <w:rFonts w:ascii="Arial" w:eastAsia="Arial" w:hAnsi="Arial" w:cs="Arial"/>
          <w:b/>
          <w:bCs/>
          <w:color w:val="506E96"/>
          <w:sz w:val="24"/>
          <w:szCs w:val="24"/>
        </w:rPr>
        <w:lastRenderedPageBreak/>
        <w:t>Strategy Type 5: Ecological remediation</w:t>
      </w:r>
    </w:p>
    <w:p w:rsidR="00753C1A" w:rsidRDefault="00753C1A" w:rsidP="00753C1A">
      <w:pPr>
        <w:spacing w:before="240" w:after="240" w:line="360" w:lineRule="auto"/>
        <w:jc w:val="both"/>
        <w:rPr>
          <w:rFonts w:ascii="Arial" w:eastAsia="Arial" w:hAnsi="Arial" w:cs="Arial"/>
          <w:b/>
          <w:bCs/>
          <w:color w:val="506E96"/>
          <w:sz w:val="24"/>
          <w:szCs w:val="24"/>
        </w:rPr>
      </w:pPr>
      <w:r>
        <w:rPr>
          <w:rFonts w:ascii="Arial" w:eastAsia="Arial" w:hAnsi="Arial" w:cs="Arial"/>
          <w:b/>
          <w:bCs/>
          <w:color w:val="506E96"/>
          <w:sz w:val="24"/>
          <w:szCs w:val="24"/>
        </w:rPr>
        <w:t>Narrative (communication prompt used in interviews)</w:t>
      </w:r>
    </w:p>
    <w:p w:rsidR="00753C1A" w:rsidRDefault="00753C1A" w:rsidP="00753C1A">
      <w:pPr>
        <w:spacing w:before="240" w:after="240" w:line="360" w:lineRule="auto"/>
        <w:jc w:val="both"/>
        <w:rPr>
          <w:rFonts w:ascii="Arial" w:eastAsia="Arial" w:hAnsi="Arial" w:cs="Arial"/>
          <w:i/>
          <w:iCs/>
          <w:sz w:val="24"/>
          <w:szCs w:val="24"/>
        </w:rPr>
      </w:pPr>
      <w:r>
        <w:rPr>
          <w:rFonts w:ascii="Arial" w:eastAsia="Arial" w:hAnsi="Arial" w:cs="Arial"/>
          <w:i/>
          <w:iCs/>
          <w:sz w:val="24"/>
          <w:szCs w:val="24"/>
        </w:rPr>
        <w:t>Note: This narrative is a communication aid designed to convey the defining features of the strategy in an accessible, illustrative format. It is not evidence-based, data-derived, or presented as an analytical finding. Its sole purpose is to help ensure a shared understanding of the strategy type as defined in Section 3 (Results – Strategy Typology).</w:t>
      </w:r>
    </w:p>
    <w:p w:rsidR="00753C1A" w:rsidRDefault="00753C1A" w:rsidP="00753C1A">
      <w:pPr>
        <w:spacing w:before="240" w:after="240" w:line="360" w:lineRule="auto"/>
        <w:jc w:val="both"/>
        <w:rPr>
          <w:rFonts w:ascii="Arial" w:eastAsia="Arial" w:hAnsi="Arial" w:cs="Arial"/>
          <w:sz w:val="24"/>
          <w:szCs w:val="24"/>
        </w:rPr>
      </w:pP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In a heavily bombarded steppe-forest edge zone in Donetsk oblast, cleared land remains biologically damaged: tree stumps shredded by artillery, topsoil compacted by tracked vehicles, and remnant contaminants from burned munitions have rendered former farmland barren. Following clearance, a cross-sectoral team of soil scientists, foresters, and community leaders initiates ecological remediation: soil aeration and rehydration, planting of cover crops and deep-rooted species to restore fertility, and the creation of buffer zones around sensitive wetlands. Using satellite and drone imagery, they monitor vegetation regrowth and erosion patterns over time. In forested areas, natural regeneration is allowed to proceed, complemented by invasive species control. The goal is not just safety, but long-term restoration of ecological function and land productivity. This strategy typically follows clearance but may also guide prioritization of zones based on ecological value. It is slower and less visible than infrastructure recovery, but essential to sustainable land use. Its success depends on scientific expertise, inter-agency coordination, and long-term financing, often through environmental or agricultural recovery funds (Table Expert Interviews 5</w:t>
      </w:r>
      <w:r>
        <w:rPr>
          <w:rFonts w:ascii="Arial" w:eastAsia="Arial" w:hAnsi="Arial" w:cs="Arial"/>
          <w:b/>
          <w:bCs/>
          <w:sz w:val="24"/>
          <w:szCs w:val="24"/>
        </w:rPr>
        <w:t>)</w:t>
      </w:r>
      <w:r>
        <w:rPr>
          <w:rFonts w:ascii="Arial" w:eastAsia="Arial" w:hAnsi="Arial" w:cs="Arial"/>
          <w:sz w:val="24"/>
          <w:szCs w:val="24"/>
        </w:rPr>
        <w:t>.</w:t>
      </w:r>
    </w:p>
    <w:p w:rsidR="00753C1A" w:rsidRDefault="00753C1A" w:rsidP="00753C1A">
      <w:pPr>
        <w:spacing w:before="240" w:after="240" w:line="360" w:lineRule="auto"/>
        <w:jc w:val="both"/>
        <w:rPr>
          <w:rFonts w:ascii="Arial" w:eastAsia="Arial" w:hAnsi="Arial" w:cs="Arial"/>
          <w:b/>
          <w:bCs/>
          <w:sz w:val="24"/>
          <w:szCs w:val="24"/>
        </w:rPr>
      </w:pPr>
    </w:p>
    <w:p w:rsidR="00753C1A" w:rsidRDefault="00753C1A" w:rsidP="00753C1A">
      <w:pPr>
        <w:spacing w:before="240" w:after="240" w:line="360" w:lineRule="auto"/>
        <w:jc w:val="both"/>
        <w:rPr>
          <w:rFonts w:ascii="Arial" w:eastAsia="Arial" w:hAnsi="Arial" w:cs="Arial"/>
          <w:sz w:val="16"/>
          <w:szCs w:val="16"/>
        </w:rPr>
      </w:pPr>
      <w:r>
        <w:rPr>
          <w:rFonts w:ascii="Arial" w:eastAsia="Arial" w:hAnsi="Arial" w:cs="Arial"/>
          <w:sz w:val="16"/>
          <w:szCs w:val="16"/>
        </w:rPr>
        <w:t>Table Expert Interviews 5. Key characteristics “Ecological Remediation”.</w:t>
      </w:r>
    </w:p>
    <w:tbl>
      <w:tblPr>
        <w:tblW w:w="8835" w:type="dxa"/>
        <w:tblBorders>
          <w:top w:val="nil"/>
          <w:left w:val="nil"/>
          <w:bottom w:val="nil"/>
          <w:right w:val="nil"/>
          <w:insideH w:val="nil"/>
          <w:insideV w:val="nil"/>
        </w:tblBorders>
        <w:tblLayout w:type="fixed"/>
        <w:tblLook w:val="0600" w:firstRow="0" w:lastRow="0" w:firstColumn="0" w:lastColumn="0" w:noHBand="1" w:noVBand="1"/>
      </w:tblPr>
      <w:tblGrid>
        <w:gridCol w:w="1560"/>
        <w:gridCol w:w="7275"/>
      </w:tblGrid>
      <w:tr w:rsidR="00753C1A" w:rsidTr="003A5549">
        <w:trPr>
          <w:trHeight w:val="330"/>
        </w:trPr>
        <w:tc>
          <w:tcPr>
            <w:tcW w:w="1560" w:type="dxa"/>
            <w:tcBorders>
              <w:top w:val="nil"/>
              <w:left w:val="nil"/>
              <w:bottom w:val="nil"/>
              <w:right w:val="nil"/>
            </w:tcBorders>
            <w:shd w:val="clear" w:color="auto" w:fill="A6A6A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t>Dimension</w:t>
            </w:r>
          </w:p>
        </w:tc>
        <w:tc>
          <w:tcPr>
            <w:tcW w:w="7275" w:type="dxa"/>
            <w:tcBorders>
              <w:top w:val="nil"/>
              <w:left w:val="nil"/>
              <w:bottom w:val="nil"/>
              <w:right w:val="nil"/>
            </w:tcBorders>
            <w:shd w:val="clear" w:color="auto" w:fill="A6A6A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t>Description</w:t>
            </w:r>
          </w:p>
        </w:tc>
      </w:tr>
      <w:tr w:rsidR="00753C1A" w:rsidTr="003A5549">
        <w:trPr>
          <w:trHeight w:val="330"/>
        </w:trPr>
        <w:tc>
          <w:tcPr>
            <w:tcW w:w="1560" w:type="dxa"/>
            <w:tcBorders>
              <w:top w:val="single" w:sz="5" w:space="0" w:color="FFFFFF"/>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Strategy Name</w:t>
            </w:r>
          </w:p>
        </w:tc>
        <w:tc>
          <w:tcPr>
            <w:tcW w:w="7275" w:type="dxa"/>
            <w:tcBorders>
              <w:top w:val="single" w:sz="5" w:space="0" w:color="FFFFFF"/>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ecological remediation</w:t>
            </w:r>
          </w:p>
        </w:tc>
      </w:tr>
      <w:tr w:rsidR="00753C1A" w:rsidTr="003A5549">
        <w:trPr>
          <w:trHeight w:val="330"/>
        </w:trPr>
        <w:tc>
          <w:tcPr>
            <w:tcW w:w="156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lastRenderedPageBreak/>
              <w:t>Primary Objective</w:t>
            </w:r>
          </w:p>
        </w:tc>
        <w:tc>
          <w:tcPr>
            <w:tcW w:w="727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restore soil health, ecological function, and land productivity after clearance</w:t>
            </w:r>
          </w:p>
        </w:tc>
      </w:tr>
      <w:tr w:rsidR="00753C1A" w:rsidTr="003A5549">
        <w:trPr>
          <w:trHeight w:val="330"/>
        </w:trPr>
        <w:tc>
          <w:tcPr>
            <w:tcW w:w="156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Lead Actors</w:t>
            </w:r>
          </w:p>
        </w:tc>
        <w:tc>
          <w:tcPr>
            <w:tcW w:w="727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soil scientists, ecologists, Ministry of Environmental Protection, forestry agencies</w:t>
            </w:r>
          </w:p>
        </w:tc>
      </w:tr>
      <w:tr w:rsidR="00753C1A" w:rsidTr="003A5549">
        <w:trPr>
          <w:trHeight w:val="570"/>
        </w:trPr>
        <w:tc>
          <w:tcPr>
            <w:tcW w:w="156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Supporting Actors</w:t>
            </w:r>
          </w:p>
        </w:tc>
        <w:tc>
          <w:tcPr>
            <w:tcW w:w="727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local authorities, agricultural cooperatives, UNEP, FAO, NGOs</w:t>
            </w:r>
          </w:p>
        </w:tc>
      </w:tr>
      <w:tr w:rsidR="00753C1A" w:rsidTr="003A5549">
        <w:trPr>
          <w:trHeight w:val="330"/>
        </w:trPr>
        <w:tc>
          <w:tcPr>
            <w:tcW w:w="156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Operational Tools</w:t>
            </w:r>
          </w:p>
        </w:tc>
        <w:tc>
          <w:tcPr>
            <w:tcW w:w="727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soil testing, replanting, composting, erosion control, UAV monitoring</w:t>
            </w:r>
          </w:p>
        </w:tc>
      </w:tr>
      <w:tr w:rsidR="00753C1A" w:rsidTr="003A5549">
        <w:trPr>
          <w:trHeight w:val="570"/>
        </w:trPr>
        <w:tc>
          <w:tcPr>
            <w:tcW w:w="156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Application Context</w:t>
            </w:r>
          </w:p>
        </w:tc>
        <w:tc>
          <w:tcPr>
            <w:tcW w:w="727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former frontlines, degraded agricultural and forest landscapes</w:t>
            </w:r>
          </w:p>
        </w:tc>
      </w:tr>
      <w:tr w:rsidR="00753C1A" w:rsidTr="003A5549">
        <w:trPr>
          <w:trHeight w:val="330"/>
        </w:trPr>
        <w:tc>
          <w:tcPr>
            <w:tcW w:w="156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Scale of Use</w:t>
            </w:r>
          </w:p>
        </w:tc>
        <w:tc>
          <w:tcPr>
            <w:tcW w:w="727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site-specific to landscape-scale (watersheds, farmland belts)</w:t>
            </w:r>
          </w:p>
        </w:tc>
      </w:tr>
      <w:tr w:rsidR="00753C1A" w:rsidTr="003A5549">
        <w:trPr>
          <w:trHeight w:val="330"/>
        </w:trPr>
        <w:tc>
          <w:tcPr>
            <w:tcW w:w="156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Timeframe</w:t>
            </w:r>
          </w:p>
        </w:tc>
        <w:tc>
          <w:tcPr>
            <w:tcW w:w="727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medium to long term (seasons to years)</w:t>
            </w:r>
          </w:p>
        </w:tc>
      </w:tr>
      <w:tr w:rsidR="00753C1A" w:rsidTr="003A5549">
        <w:trPr>
          <w:trHeight w:val="330"/>
        </w:trPr>
        <w:tc>
          <w:tcPr>
            <w:tcW w:w="156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Core Advantages</w:t>
            </w:r>
          </w:p>
        </w:tc>
        <w:tc>
          <w:tcPr>
            <w:tcW w:w="727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supports long-term land use, climate resilience, and biodiversity recovery</w:t>
            </w:r>
          </w:p>
        </w:tc>
      </w:tr>
      <w:tr w:rsidR="00753C1A" w:rsidTr="003A5549">
        <w:trPr>
          <w:trHeight w:val="330"/>
        </w:trPr>
        <w:tc>
          <w:tcPr>
            <w:tcW w:w="156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Core Limitations</w:t>
            </w:r>
          </w:p>
        </w:tc>
        <w:tc>
          <w:tcPr>
            <w:tcW w:w="727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requires technical expertise, long timeframes, and multi-sectoral cooperation</w:t>
            </w:r>
          </w:p>
        </w:tc>
      </w:tr>
      <w:tr w:rsidR="00753C1A" w:rsidTr="003A5549">
        <w:trPr>
          <w:trHeight w:val="330"/>
        </w:trPr>
        <w:tc>
          <w:tcPr>
            <w:tcW w:w="156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Evidence Base</w:t>
            </w:r>
          </w:p>
        </w:tc>
        <w:tc>
          <w:tcPr>
            <w:tcW w:w="727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post-conflict recovery in Bosnia, Colombia, Vietnam, France, and Ukraine</w:t>
            </w:r>
          </w:p>
        </w:tc>
      </w:tr>
      <w:tr w:rsidR="00753C1A" w:rsidTr="003A5549">
        <w:trPr>
          <w:trHeight w:val="810"/>
        </w:trPr>
        <w:tc>
          <w:tcPr>
            <w:tcW w:w="156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Indicative Financing Model</w:t>
            </w:r>
          </w:p>
        </w:tc>
        <w:tc>
          <w:tcPr>
            <w:tcW w:w="727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National environmental recovery funds; EU/UN environmental or agricultural restoration grants; potential carbon markets or biodiversity offsets; support from private agri-business or insurance consortia</w:t>
            </w:r>
          </w:p>
        </w:tc>
      </w:tr>
    </w:tbl>
    <w:p w:rsidR="00753C1A" w:rsidRDefault="00753C1A" w:rsidP="00753C1A">
      <w:pPr>
        <w:spacing w:before="240" w:after="240" w:line="360" w:lineRule="auto"/>
        <w:jc w:val="both"/>
        <w:rPr>
          <w:rFonts w:ascii="Arial" w:eastAsia="Arial" w:hAnsi="Arial" w:cs="Arial"/>
          <w:b/>
          <w:bCs/>
          <w:sz w:val="24"/>
          <w:szCs w:val="24"/>
        </w:rPr>
      </w:pPr>
    </w:p>
    <w:p w:rsidR="00753C1A" w:rsidRDefault="00753C1A" w:rsidP="00753C1A">
      <w:pPr>
        <w:spacing w:before="240" w:after="240" w:line="360" w:lineRule="auto"/>
        <w:jc w:val="both"/>
        <w:rPr>
          <w:rFonts w:ascii="Arial" w:eastAsia="Arial" w:hAnsi="Arial" w:cs="Arial"/>
          <w:b/>
          <w:bCs/>
          <w:color w:val="506E96"/>
          <w:sz w:val="24"/>
          <w:szCs w:val="24"/>
        </w:rPr>
      </w:pPr>
      <w:r>
        <w:rPr>
          <w:rFonts w:ascii="Arial" w:eastAsia="Arial" w:hAnsi="Arial" w:cs="Arial"/>
          <w:b/>
          <w:bCs/>
          <w:color w:val="506E96"/>
          <w:sz w:val="24"/>
          <w:szCs w:val="24"/>
        </w:rPr>
        <w:t>Notes on narrative development</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 xml:space="preserve">This narrative draws from documented ecological restoration interventions in conflict-affected landscapes (e.g. Verdun, Vietnam, Colombia) and builds on principles of landscape-level rehabilitation following contamination or structural degradation. Sources include UN Environment post-conflict assessments, FAO guidance on land restoration, and Ukraine’s post-industrial remediation literature. It emphasizes the link </w:t>
      </w:r>
      <w:r>
        <w:rPr>
          <w:rFonts w:ascii="Arial" w:eastAsia="Arial" w:hAnsi="Arial" w:cs="Arial"/>
          <w:sz w:val="24"/>
          <w:szCs w:val="24"/>
        </w:rPr>
        <w:lastRenderedPageBreak/>
        <w:t>between safety and sustainable recovery and the emerging relevance of nature-based solutions in demining-affected regions.</w:t>
      </w:r>
    </w:p>
    <w:p w:rsidR="00753C1A" w:rsidRDefault="00753C1A" w:rsidP="00753C1A">
      <w:pPr>
        <w:spacing w:before="240" w:after="240" w:line="360" w:lineRule="auto"/>
        <w:jc w:val="both"/>
        <w:rPr>
          <w:rFonts w:ascii="Arial" w:eastAsia="Arial" w:hAnsi="Arial" w:cs="Arial"/>
          <w:b/>
          <w:bCs/>
          <w:sz w:val="24"/>
          <w:szCs w:val="24"/>
        </w:rPr>
      </w:pPr>
    </w:p>
    <w:p w:rsidR="00753C1A" w:rsidRDefault="00753C1A" w:rsidP="00753C1A">
      <w:pPr>
        <w:spacing w:before="240" w:after="240" w:line="360" w:lineRule="auto"/>
        <w:jc w:val="both"/>
        <w:rPr>
          <w:rFonts w:ascii="Arial" w:eastAsia="Arial" w:hAnsi="Arial" w:cs="Arial"/>
          <w:b/>
          <w:bCs/>
          <w:color w:val="506E96"/>
          <w:sz w:val="24"/>
          <w:szCs w:val="24"/>
        </w:rPr>
      </w:pPr>
      <w:r>
        <w:rPr>
          <w:rFonts w:ascii="Arial" w:eastAsia="Arial" w:hAnsi="Arial" w:cs="Arial"/>
          <w:b/>
          <w:bCs/>
          <w:color w:val="506E96"/>
          <w:sz w:val="24"/>
          <w:szCs w:val="24"/>
        </w:rPr>
        <w:t>Guiding questions used in interviews</w:t>
      </w:r>
    </w:p>
    <w:p w:rsidR="00753C1A" w:rsidRDefault="00753C1A" w:rsidP="00753C1A">
      <w:pPr>
        <w:numPr>
          <w:ilvl w:val="0"/>
          <w:numId w:val="7"/>
        </w:numPr>
        <w:pBdr>
          <w:top w:val="nil"/>
          <w:left w:val="nil"/>
          <w:bottom w:val="nil"/>
          <w:right w:val="nil"/>
          <w:between w:val="nil"/>
        </w:pBdr>
        <w:spacing w:after="0" w:line="360" w:lineRule="auto"/>
        <w:rPr>
          <w:rFonts w:ascii="Arial" w:eastAsia="Arial" w:hAnsi="Arial" w:cs="Arial"/>
          <w:color w:val="783F04"/>
          <w:sz w:val="24"/>
          <w:szCs w:val="24"/>
        </w:rPr>
      </w:pPr>
      <w:r>
        <w:rPr>
          <w:rFonts w:ascii="Arial" w:eastAsia="Arial" w:hAnsi="Arial" w:cs="Arial"/>
          <w:color w:val="783F04"/>
          <w:sz w:val="24"/>
          <w:szCs w:val="24"/>
        </w:rPr>
        <w:t>Does this narrative align with how ecological or soil recovery is (or could be) addressed after clearance in Ukraine?</w:t>
      </w:r>
    </w:p>
    <w:p w:rsidR="00753C1A" w:rsidRDefault="00753C1A" w:rsidP="00753C1A">
      <w:pPr>
        <w:numPr>
          <w:ilvl w:val="0"/>
          <w:numId w:val="7"/>
        </w:numPr>
        <w:pBdr>
          <w:top w:val="nil"/>
          <w:left w:val="nil"/>
          <w:bottom w:val="nil"/>
          <w:right w:val="nil"/>
          <w:between w:val="nil"/>
        </w:pBdr>
        <w:spacing w:after="0" w:line="360" w:lineRule="auto"/>
        <w:rPr>
          <w:rFonts w:ascii="Arial" w:eastAsia="Arial" w:hAnsi="Arial" w:cs="Arial"/>
          <w:color w:val="783F04"/>
          <w:sz w:val="24"/>
          <w:szCs w:val="24"/>
        </w:rPr>
      </w:pPr>
      <w:r>
        <w:rPr>
          <w:rFonts w:ascii="Arial" w:eastAsia="Arial" w:hAnsi="Arial" w:cs="Arial"/>
          <w:color w:val="783F04"/>
          <w:sz w:val="24"/>
          <w:szCs w:val="24"/>
        </w:rPr>
        <w:t>What scientific or institutional capacity exists in Ukraine for ecological remediation of war-impacted landscapes?</w:t>
      </w:r>
    </w:p>
    <w:p w:rsidR="00753C1A" w:rsidRDefault="00753C1A" w:rsidP="00753C1A">
      <w:pPr>
        <w:numPr>
          <w:ilvl w:val="0"/>
          <w:numId w:val="7"/>
        </w:numPr>
        <w:pBdr>
          <w:top w:val="nil"/>
          <w:left w:val="nil"/>
          <w:bottom w:val="nil"/>
          <w:right w:val="nil"/>
          <w:between w:val="nil"/>
        </w:pBdr>
        <w:spacing w:after="0" w:line="360" w:lineRule="auto"/>
        <w:rPr>
          <w:rFonts w:ascii="Arial" w:eastAsia="Arial" w:hAnsi="Arial" w:cs="Arial"/>
          <w:color w:val="783F04"/>
          <w:sz w:val="24"/>
          <w:szCs w:val="24"/>
        </w:rPr>
      </w:pPr>
      <w:r>
        <w:rPr>
          <w:rFonts w:ascii="Arial" w:eastAsia="Arial" w:hAnsi="Arial" w:cs="Arial"/>
          <w:color w:val="783F04"/>
          <w:sz w:val="24"/>
          <w:szCs w:val="24"/>
        </w:rPr>
        <w:t>Are there areas where natural regeneration is preferred over active restoration? What factors determine that choice?</w:t>
      </w:r>
    </w:p>
    <w:p w:rsidR="00753C1A" w:rsidRDefault="00753C1A" w:rsidP="00753C1A">
      <w:pPr>
        <w:numPr>
          <w:ilvl w:val="0"/>
          <w:numId w:val="7"/>
        </w:numPr>
        <w:pBdr>
          <w:top w:val="nil"/>
          <w:left w:val="nil"/>
          <w:bottom w:val="nil"/>
          <w:right w:val="nil"/>
          <w:between w:val="nil"/>
        </w:pBdr>
        <w:spacing w:after="0" w:line="360" w:lineRule="auto"/>
        <w:rPr>
          <w:rFonts w:ascii="Arial" w:eastAsia="Arial" w:hAnsi="Arial" w:cs="Arial"/>
          <w:color w:val="783F04"/>
          <w:sz w:val="24"/>
          <w:szCs w:val="24"/>
        </w:rPr>
      </w:pPr>
      <w:r>
        <w:rPr>
          <w:rFonts w:ascii="Arial" w:eastAsia="Arial" w:hAnsi="Arial" w:cs="Arial"/>
          <w:color w:val="783F04"/>
          <w:sz w:val="24"/>
          <w:szCs w:val="24"/>
        </w:rPr>
        <w:t>How can ecological remediation be linked to agricultural recovery, forest management, or climate resilience?</w:t>
      </w:r>
    </w:p>
    <w:p w:rsidR="00753C1A" w:rsidRDefault="00753C1A" w:rsidP="00753C1A">
      <w:pPr>
        <w:numPr>
          <w:ilvl w:val="0"/>
          <w:numId w:val="7"/>
        </w:numPr>
        <w:pBdr>
          <w:top w:val="nil"/>
          <w:left w:val="nil"/>
          <w:bottom w:val="nil"/>
          <w:right w:val="nil"/>
          <w:between w:val="nil"/>
        </w:pBdr>
        <w:spacing w:after="0" w:line="360" w:lineRule="auto"/>
        <w:rPr>
          <w:rFonts w:ascii="Arial" w:eastAsia="Arial" w:hAnsi="Arial" w:cs="Arial"/>
          <w:color w:val="783F04"/>
          <w:sz w:val="24"/>
          <w:szCs w:val="24"/>
        </w:rPr>
      </w:pPr>
      <w:r>
        <w:rPr>
          <w:rFonts w:ascii="Arial" w:eastAsia="Arial" w:hAnsi="Arial" w:cs="Arial"/>
          <w:color w:val="783F04"/>
          <w:sz w:val="24"/>
          <w:szCs w:val="24"/>
        </w:rPr>
        <w:t>What types of financing or governance frameworks would make this strategy scalable and sustainable?</w:t>
      </w:r>
    </w:p>
    <w:p w:rsidR="00753C1A" w:rsidRDefault="00753C1A" w:rsidP="00753C1A">
      <w:pPr>
        <w:numPr>
          <w:ilvl w:val="0"/>
          <w:numId w:val="7"/>
        </w:numPr>
        <w:pBdr>
          <w:top w:val="nil"/>
          <w:left w:val="nil"/>
          <w:bottom w:val="nil"/>
          <w:right w:val="nil"/>
          <w:between w:val="nil"/>
        </w:pBdr>
        <w:spacing w:after="240" w:line="360" w:lineRule="auto"/>
        <w:rPr>
          <w:rFonts w:ascii="Arial" w:eastAsia="Arial" w:hAnsi="Arial" w:cs="Arial"/>
          <w:color w:val="783F04"/>
          <w:sz w:val="24"/>
          <w:szCs w:val="24"/>
        </w:rPr>
      </w:pPr>
      <w:r>
        <w:rPr>
          <w:rFonts w:ascii="Arial" w:eastAsia="Arial" w:hAnsi="Arial" w:cs="Arial"/>
          <w:color w:val="783F04"/>
          <w:sz w:val="24"/>
          <w:szCs w:val="24"/>
        </w:rPr>
        <w:t>Do you see space for social innovation in ecological remediation? For example, community-led seed banks, school-based monitoring programs, or partnerships with eco-businesses?</w:t>
      </w:r>
    </w:p>
    <w:p w:rsidR="00753C1A" w:rsidRDefault="00753C1A" w:rsidP="00753C1A">
      <w:pPr>
        <w:spacing w:before="240" w:after="240" w:line="360" w:lineRule="auto"/>
        <w:jc w:val="both"/>
        <w:rPr>
          <w:rFonts w:ascii="Arial" w:eastAsia="Arial" w:hAnsi="Arial" w:cs="Arial"/>
          <w:b/>
          <w:bCs/>
          <w:color w:val="506E96"/>
          <w:sz w:val="24"/>
          <w:szCs w:val="24"/>
        </w:rPr>
      </w:pPr>
    </w:p>
    <w:p w:rsidR="00753C1A" w:rsidRDefault="00753C1A" w:rsidP="00753C1A">
      <w:pPr>
        <w:spacing w:before="240" w:after="240" w:line="360" w:lineRule="auto"/>
        <w:jc w:val="both"/>
        <w:rPr>
          <w:rFonts w:ascii="Arial" w:eastAsia="Arial" w:hAnsi="Arial" w:cs="Arial"/>
          <w:b/>
          <w:bCs/>
          <w:color w:val="506E96"/>
          <w:sz w:val="24"/>
          <w:szCs w:val="24"/>
        </w:rPr>
      </w:pPr>
      <w:r>
        <w:rPr>
          <w:rFonts w:ascii="Arial" w:eastAsia="Arial" w:hAnsi="Arial" w:cs="Arial"/>
          <w:b/>
          <w:bCs/>
          <w:color w:val="506E96"/>
          <w:sz w:val="24"/>
          <w:szCs w:val="24"/>
        </w:rPr>
        <w:t>Link to actor landscape (see Results section)</w:t>
      </w:r>
    </w:p>
    <w:p w:rsidR="00753C1A" w:rsidRDefault="00753C1A" w:rsidP="00753C1A">
      <w:pPr>
        <w:spacing w:before="240" w:line="360" w:lineRule="auto"/>
        <w:jc w:val="both"/>
        <w:rPr>
          <w:rFonts w:ascii="Arial" w:eastAsia="Arial" w:hAnsi="Arial" w:cs="Arial"/>
          <w:sz w:val="24"/>
          <w:szCs w:val="24"/>
        </w:rPr>
      </w:pPr>
      <w:r>
        <w:rPr>
          <w:rFonts w:ascii="Arial" w:eastAsia="Arial" w:hAnsi="Arial" w:cs="Arial"/>
          <w:sz w:val="24"/>
          <w:szCs w:val="24"/>
        </w:rPr>
        <w:t>The Actor Table includes soil scientists, environmental NGOs, Ministry of Environmental Protection, local authorities, agricultural cooperatives, and international agencies like UNEP and FAO. Accordingly:</w:t>
      </w:r>
    </w:p>
    <w:p w:rsidR="00753C1A" w:rsidRDefault="00753C1A" w:rsidP="00753C1A">
      <w:pPr>
        <w:numPr>
          <w:ilvl w:val="0"/>
          <w:numId w:val="12"/>
        </w:numPr>
        <w:spacing w:after="0" w:line="360" w:lineRule="auto"/>
        <w:rPr>
          <w:rFonts w:ascii="Arial" w:eastAsia="Arial" w:hAnsi="Arial" w:cs="Arial"/>
          <w:sz w:val="24"/>
          <w:szCs w:val="24"/>
        </w:rPr>
      </w:pPr>
      <w:r>
        <w:rPr>
          <w:rFonts w:ascii="Arial" w:eastAsia="Arial" w:hAnsi="Arial" w:cs="Arial"/>
          <w:sz w:val="24"/>
          <w:szCs w:val="24"/>
        </w:rPr>
        <w:t>Q25/ 26 engage technical actors and assess landscape restoration relevance in post-clearance zones.</w:t>
      </w:r>
    </w:p>
    <w:p w:rsidR="00753C1A" w:rsidRDefault="00753C1A" w:rsidP="00753C1A">
      <w:pPr>
        <w:numPr>
          <w:ilvl w:val="0"/>
          <w:numId w:val="12"/>
        </w:numPr>
        <w:spacing w:after="0" w:line="360" w:lineRule="auto"/>
        <w:rPr>
          <w:rFonts w:ascii="Arial" w:eastAsia="Arial" w:hAnsi="Arial" w:cs="Arial"/>
          <w:sz w:val="24"/>
          <w:szCs w:val="24"/>
        </w:rPr>
      </w:pPr>
      <w:r>
        <w:rPr>
          <w:rFonts w:ascii="Arial" w:eastAsia="Arial" w:hAnsi="Arial" w:cs="Arial"/>
          <w:sz w:val="24"/>
          <w:szCs w:val="24"/>
        </w:rPr>
        <w:t>Q27 bridges remediation with recovery priorities (agriculture, forestry, biodiversity).</w:t>
      </w:r>
    </w:p>
    <w:p w:rsidR="00753C1A" w:rsidRDefault="00753C1A" w:rsidP="00753C1A">
      <w:pPr>
        <w:numPr>
          <w:ilvl w:val="0"/>
          <w:numId w:val="12"/>
        </w:numPr>
        <w:spacing w:after="0" w:line="360" w:lineRule="auto"/>
        <w:rPr>
          <w:rFonts w:ascii="Arial" w:eastAsia="Arial" w:hAnsi="Arial" w:cs="Arial"/>
          <w:sz w:val="24"/>
          <w:szCs w:val="24"/>
        </w:rPr>
      </w:pPr>
      <w:r>
        <w:rPr>
          <w:rFonts w:ascii="Arial" w:eastAsia="Arial" w:hAnsi="Arial" w:cs="Arial"/>
          <w:sz w:val="24"/>
          <w:szCs w:val="24"/>
        </w:rPr>
        <w:t>Q28 targets financial/institutional actors noted in the Results (e.g., ministry programs, donor-funded pilots).</w:t>
      </w:r>
    </w:p>
    <w:p w:rsidR="00753C1A" w:rsidRDefault="00753C1A" w:rsidP="00753C1A">
      <w:pPr>
        <w:numPr>
          <w:ilvl w:val="0"/>
          <w:numId w:val="12"/>
        </w:numPr>
        <w:spacing w:after="0" w:line="360" w:lineRule="auto"/>
        <w:rPr>
          <w:rFonts w:ascii="Arial" w:eastAsia="Arial" w:hAnsi="Arial" w:cs="Arial"/>
          <w:sz w:val="24"/>
          <w:szCs w:val="24"/>
        </w:rPr>
      </w:pPr>
      <w:r>
        <w:rPr>
          <w:rFonts w:ascii="Arial" w:eastAsia="Arial" w:hAnsi="Arial" w:cs="Arial"/>
          <w:sz w:val="24"/>
          <w:szCs w:val="24"/>
        </w:rPr>
        <w:t>Q29 is meant to understand enablers of scalability</w:t>
      </w:r>
    </w:p>
    <w:p w:rsidR="00753C1A" w:rsidRDefault="00753C1A" w:rsidP="00753C1A">
      <w:pPr>
        <w:numPr>
          <w:ilvl w:val="0"/>
          <w:numId w:val="12"/>
        </w:numPr>
        <w:spacing w:after="400" w:line="360" w:lineRule="auto"/>
        <w:rPr>
          <w:rFonts w:ascii="Arial" w:eastAsia="Arial" w:hAnsi="Arial" w:cs="Arial"/>
          <w:sz w:val="24"/>
          <w:szCs w:val="24"/>
        </w:rPr>
      </w:pPr>
      <w:r>
        <w:rPr>
          <w:rFonts w:ascii="Arial" w:eastAsia="Arial" w:hAnsi="Arial" w:cs="Arial"/>
          <w:sz w:val="24"/>
          <w:szCs w:val="24"/>
        </w:rPr>
        <w:lastRenderedPageBreak/>
        <w:t>Q30 responds to actor diversity by inviting bottom-up and hybrid innovation models (e.g., farmer-NGO-academic collaborations).</w:t>
      </w:r>
    </w:p>
    <w:p w:rsidR="00753C1A" w:rsidRDefault="00753C1A" w:rsidP="00753C1A">
      <w:pPr>
        <w:spacing w:line="360" w:lineRule="auto"/>
        <w:jc w:val="both"/>
        <w:rPr>
          <w:rFonts w:ascii="Arial" w:eastAsia="Arial" w:hAnsi="Arial" w:cs="Arial"/>
          <w:sz w:val="24"/>
          <w:szCs w:val="24"/>
        </w:rPr>
      </w:pPr>
    </w:p>
    <w:p w:rsidR="00753C1A" w:rsidRDefault="00753C1A" w:rsidP="00753C1A">
      <w:pPr>
        <w:spacing w:before="240" w:line="360" w:lineRule="auto"/>
        <w:jc w:val="both"/>
        <w:rPr>
          <w:rFonts w:ascii="Arial" w:eastAsia="Arial" w:hAnsi="Arial" w:cs="Arial"/>
          <w:sz w:val="24"/>
          <w:szCs w:val="24"/>
        </w:rPr>
      </w:pPr>
    </w:p>
    <w:p w:rsidR="00753C1A" w:rsidRDefault="00753C1A" w:rsidP="00753C1A">
      <w:pPr>
        <w:spacing w:before="240" w:after="240" w:line="360" w:lineRule="auto"/>
        <w:jc w:val="both"/>
        <w:rPr>
          <w:rFonts w:ascii="Arial" w:eastAsia="Arial" w:hAnsi="Arial" w:cs="Arial"/>
          <w:b/>
          <w:bCs/>
          <w:color w:val="506E96"/>
          <w:sz w:val="24"/>
          <w:szCs w:val="24"/>
        </w:rPr>
      </w:pPr>
      <w:r>
        <w:rPr>
          <w:rFonts w:ascii="Arial" w:eastAsia="Arial" w:hAnsi="Arial" w:cs="Arial"/>
          <w:b/>
          <w:bCs/>
          <w:color w:val="506E96"/>
          <w:sz w:val="24"/>
          <w:szCs w:val="24"/>
        </w:rPr>
        <w:t>Strategy Type 6: Legal/institutional frameworks</w:t>
      </w:r>
    </w:p>
    <w:p w:rsidR="00753C1A" w:rsidRDefault="00753C1A" w:rsidP="00753C1A">
      <w:pPr>
        <w:spacing w:before="240" w:after="240" w:line="360" w:lineRule="auto"/>
        <w:jc w:val="both"/>
        <w:rPr>
          <w:rFonts w:ascii="Arial" w:eastAsia="Arial" w:hAnsi="Arial" w:cs="Arial"/>
          <w:b/>
          <w:bCs/>
          <w:color w:val="506E96"/>
          <w:sz w:val="24"/>
          <w:szCs w:val="24"/>
        </w:rPr>
      </w:pPr>
    </w:p>
    <w:p w:rsidR="00753C1A" w:rsidRDefault="00753C1A" w:rsidP="00753C1A">
      <w:pPr>
        <w:spacing w:before="240" w:after="240" w:line="360" w:lineRule="auto"/>
        <w:jc w:val="both"/>
        <w:rPr>
          <w:rFonts w:ascii="Arial" w:eastAsia="Arial" w:hAnsi="Arial" w:cs="Arial"/>
          <w:b/>
          <w:bCs/>
          <w:color w:val="506E96"/>
          <w:sz w:val="24"/>
          <w:szCs w:val="24"/>
        </w:rPr>
      </w:pPr>
      <w:r>
        <w:rPr>
          <w:rFonts w:ascii="Arial" w:eastAsia="Arial" w:hAnsi="Arial" w:cs="Arial"/>
          <w:b/>
          <w:bCs/>
          <w:color w:val="506E96"/>
          <w:sz w:val="24"/>
          <w:szCs w:val="24"/>
        </w:rPr>
        <w:t>Narrative (communication prompt used in interviews)</w:t>
      </w:r>
    </w:p>
    <w:p w:rsidR="00753C1A" w:rsidRDefault="00753C1A" w:rsidP="00753C1A">
      <w:pPr>
        <w:spacing w:before="240" w:after="240" w:line="360" w:lineRule="auto"/>
        <w:jc w:val="both"/>
        <w:rPr>
          <w:rFonts w:ascii="Arial" w:eastAsia="Arial" w:hAnsi="Arial" w:cs="Arial"/>
          <w:i/>
          <w:iCs/>
          <w:sz w:val="24"/>
          <w:szCs w:val="24"/>
        </w:rPr>
      </w:pPr>
      <w:r>
        <w:rPr>
          <w:rFonts w:ascii="Arial" w:eastAsia="Arial" w:hAnsi="Arial" w:cs="Arial"/>
          <w:i/>
          <w:iCs/>
          <w:sz w:val="24"/>
          <w:szCs w:val="24"/>
        </w:rPr>
        <w:t>Note for experts: This narrative is a communication aid designed to convey the defining features of the strategy in an accessible, illustrative format. It is not evidence-based, data-derived, or presented as an analytical finding. Its sole purpose is to help ensure a shared understanding of the strategy type as defined in Section 3 (Results/ Strategy Typology).</w:t>
      </w:r>
    </w:p>
    <w:p w:rsidR="00753C1A" w:rsidRDefault="00753C1A" w:rsidP="00753C1A">
      <w:pPr>
        <w:spacing w:before="240" w:after="240" w:line="360" w:lineRule="auto"/>
        <w:jc w:val="both"/>
        <w:rPr>
          <w:rFonts w:ascii="Arial" w:eastAsia="Arial" w:hAnsi="Arial" w:cs="Arial"/>
          <w:sz w:val="24"/>
          <w:szCs w:val="24"/>
        </w:rPr>
      </w:pP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In Kyiv, a cross-ministerial working group drafts amendments to Ukraine’s national mine action law to streamline coordination among regional authorities, SESU, and international clearance operators. Drawing on field reports and international standards, they refine land release protocols, clarify responsibilities for information management, and develop a public reporting platform to improve transparency. Meanwhile, oblast-level governments designate Mine Action Focal Points to link community needs with national tasking systems. Donors and implementing partners coordinate through the Mine Action Coordination Centre, using a standardized reporting framework aligned with IMSMA. These legal and institutional frameworks are not about removing mines directly, but about ensuring that such efforts are coherent, prioritized, and accountable. The strategy involves harmonizing laws with international humanitarian standards (IMAS), strengthening public procurement and oversight mechanisms, and ensuring that national priorities (e.g., return of IDPs, infrastructure recovery) are legally integrated into mine action planning. Success hinges on institutional memory, political support, and ongoing funding to maintain governance systems even after clearance accelerates (Table Expert Interviews 6</w:t>
      </w:r>
      <w:r>
        <w:rPr>
          <w:rFonts w:ascii="Arial" w:eastAsia="Arial" w:hAnsi="Arial" w:cs="Arial"/>
          <w:b/>
          <w:bCs/>
          <w:sz w:val="24"/>
          <w:szCs w:val="24"/>
        </w:rPr>
        <w:t>)</w:t>
      </w:r>
      <w:r>
        <w:rPr>
          <w:rFonts w:ascii="Arial" w:eastAsia="Arial" w:hAnsi="Arial" w:cs="Arial"/>
          <w:sz w:val="24"/>
          <w:szCs w:val="24"/>
        </w:rPr>
        <w:t>.</w:t>
      </w:r>
    </w:p>
    <w:p w:rsidR="00753C1A" w:rsidRDefault="00753C1A" w:rsidP="00753C1A">
      <w:pPr>
        <w:spacing w:before="240" w:after="240" w:line="360" w:lineRule="auto"/>
        <w:jc w:val="both"/>
        <w:rPr>
          <w:rFonts w:ascii="Arial" w:eastAsia="Arial" w:hAnsi="Arial" w:cs="Arial"/>
          <w:b/>
          <w:bCs/>
          <w:sz w:val="24"/>
          <w:szCs w:val="24"/>
        </w:rPr>
      </w:pPr>
    </w:p>
    <w:p w:rsidR="00753C1A" w:rsidRDefault="00753C1A" w:rsidP="00753C1A">
      <w:pPr>
        <w:spacing w:before="240" w:after="240" w:line="360" w:lineRule="auto"/>
        <w:jc w:val="both"/>
        <w:rPr>
          <w:rFonts w:ascii="Arial" w:eastAsia="Arial" w:hAnsi="Arial" w:cs="Arial"/>
          <w:sz w:val="16"/>
          <w:szCs w:val="16"/>
        </w:rPr>
      </w:pPr>
      <w:r>
        <w:rPr>
          <w:rFonts w:ascii="Arial" w:eastAsia="Arial" w:hAnsi="Arial" w:cs="Arial"/>
          <w:sz w:val="16"/>
          <w:szCs w:val="16"/>
        </w:rPr>
        <w:t>Table Expert Interviews 6. Key characteristics “Legal/Institutional Frameworks”.</w:t>
      </w:r>
    </w:p>
    <w:tbl>
      <w:tblPr>
        <w:tblW w:w="8850" w:type="dxa"/>
        <w:tblBorders>
          <w:top w:val="nil"/>
          <w:left w:val="nil"/>
          <w:bottom w:val="nil"/>
          <w:right w:val="nil"/>
          <w:insideH w:val="nil"/>
          <w:insideV w:val="nil"/>
        </w:tblBorders>
        <w:tblLayout w:type="fixed"/>
        <w:tblLook w:val="0600" w:firstRow="0" w:lastRow="0" w:firstColumn="0" w:lastColumn="0" w:noHBand="1" w:noVBand="1"/>
      </w:tblPr>
      <w:tblGrid>
        <w:gridCol w:w="1635"/>
        <w:gridCol w:w="7215"/>
      </w:tblGrid>
      <w:tr w:rsidR="00753C1A" w:rsidTr="003A5549">
        <w:trPr>
          <w:trHeight w:val="330"/>
        </w:trPr>
        <w:tc>
          <w:tcPr>
            <w:tcW w:w="1635" w:type="dxa"/>
            <w:tcBorders>
              <w:top w:val="nil"/>
              <w:left w:val="nil"/>
              <w:bottom w:val="nil"/>
              <w:right w:val="nil"/>
            </w:tcBorders>
            <w:shd w:val="clear" w:color="auto" w:fill="A6A6A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t>Dimension</w:t>
            </w:r>
          </w:p>
        </w:tc>
        <w:tc>
          <w:tcPr>
            <w:tcW w:w="7215" w:type="dxa"/>
            <w:tcBorders>
              <w:top w:val="nil"/>
              <w:left w:val="nil"/>
              <w:bottom w:val="nil"/>
              <w:right w:val="nil"/>
            </w:tcBorders>
            <w:shd w:val="clear" w:color="auto" w:fill="A6A6A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t>Description</w:t>
            </w:r>
          </w:p>
        </w:tc>
      </w:tr>
      <w:tr w:rsidR="00753C1A" w:rsidTr="003A5549">
        <w:trPr>
          <w:trHeight w:val="330"/>
        </w:trPr>
        <w:tc>
          <w:tcPr>
            <w:tcW w:w="1635" w:type="dxa"/>
            <w:tcBorders>
              <w:top w:val="single" w:sz="5" w:space="0" w:color="FFFFFF"/>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Strategy Name</w:t>
            </w:r>
          </w:p>
        </w:tc>
        <w:tc>
          <w:tcPr>
            <w:tcW w:w="7215" w:type="dxa"/>
            <w:tcBorders>
              <w:top w:val="single" w:sz="5" w:space="0" w:color="FFFFFF"/>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legal/institutional frameworks</w:t>
            </w:r>
          </w:p>
        </w:tc>
      </w:tr>
      <w:tr w:rsidR="00753C1A" w:rsidTr="003A5549">
        <w:trPr>
          <w:trHeight w:val="330"/>
        </w:trPr>
        <w:tc>
          <w:tcPr>
            <w:tcW w:w="163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Primary Objective</w:t>
            </w:r>
          </w:p>
        </w:tc>
        <w:tc>
          <w:tcPr>
            <w:tcW w:w="721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enable effective, transparent, and accountable governance of mine action</w:t>
            </w:r>
          </w:p>
        </w:tc>
      </w:tr>
      <w:tr w:rsidR="00753C1A" w:rsidTr="003A5549">
        <w:trPr>
          <w:trHeight w:val="330"/>
        </w:trPr>
        <w:tc>
          <w:tcPr>
            <w:tcW w:w="163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Lead Actors</w:t>
            </w:r>
          </w:p>
        </w:tc>
        <w:tc>
          <w:tcPr>
            <w:tcW w:w="721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Ministry of Economy (as NMAA), Parliament, SESU, Mine Action Coordination Centre</w:t>
            </w:r>
          </w:p>
        </w:tc>
      </w:tr>
      <w:tr w:rsidR="00753C1A" w:rsidTr="003A5549">
        <w:trPr>
          <w:trHeight w:val="330"/>
        </w:trPr>
        <w:tc>
          <w:tcPr>
            <w:tcW w:w="163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Supporting Actors</w:t>
            </w:r>
          </w:p>
        </w:tc>
        <w:tc>
          <w:tcPr>
            <w:tcW w:w="721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oblast administrations, UNDP, international legal advisors, civil society</w:t>
            </w:r>
          </w:p>
        </w:tc>
      </w:tr>
      <w:tr w:rsidR="00753C1A" w:rsidTr="003A5549">
        <w:trPr>
          <w:trHeight w:val="330"/>
        </w:trPr>
        <w:tc>
          <w:tcPr>
            <w:tcW w:w="163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Operational Tools</w:t>
            </w:r>
          </w:p>
        </w:tc>
        <w:tc>
          <w:tcPr>
            <w:tcW w:w="721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legal amendments, SOPs, tasking and licensing systems, IMSMA standards</w:t>
            </w:r>
          </w:p>
        </w:tc>
      </w:tr>
      <w:tr w:rsidR="00753C1A" w:rsidTr="003A5549">
        <w:trPr>
          <w:trHeight w:val="570"/>
        </w:trPr>
        <w:tc>
          <w:tcPr>
            <w:tcW w:w="163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Application Context</w:t>
            </w:r>
          </w:p>
        </w:tc>
        <w:tc>
          <w:tcPr>
            <w:tcW w:w="721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national and subnational; across all mine action sectors</w:t>
            </w:r>
          </w:p>
        </w:tc>
      </w:tr>
      <w:tr w:rsidR="00753C1A" w:rsidTr="003A5549">
        <w:trPr>
          <w:trHeight w:val="330"/>
        </w:trPr>
        <w:tc>
          <w:tcPr>
            <w:tcW w:w="163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Scale of Use</w:t>
            </w:r>
          </w:p>
        </w:tc>
        <w:tc>
          <w:tcPr>
            <w:tcW w:w="721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system-wide; cross-sectoral and cross-regional</w:t>
            </w:r>
          </w:p>
        </w:tc>
      </w:tr>
      <w:tr w:rsidR="00753C1A" w:rsidTr="003A5549">
        <w:trPr>
          <w:trHeight w:val="330"/>
        </w:trPr>
        <w:tc>
          <w:tcPr>
            <w:tcW w:w="163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Timeframe</w:t>
            </w:r>
          </w:p>
        </w:tc>
        <w:tc>
          <w:tcPr>
            <w:tcW w:w="721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ongoing; builds over years, evolves with operational maturity</w:t>
            </w:r>
          </w:p>
        </w:tc>
      </w:tr>
      <w:tr w:rsidR="00753C1A" w:rsidTr="003A5549">
        <w:trPr>
          <w:trHeight w:val="330"/>
        </w:trPr>
        <w:tc>
          <w:tcPr>
            <w:tcW w:w="163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Core Advantages</w:t>
            </w:r>
          </w:p>
        </w:tc>
        <w:tc>
          <w:tcPr>
            <w:tcW w:w="721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improves efficiency, accountability, and donor confidence; aligns national efforts</w:t>
            </w:r>
          </w:p>
        </w:tc>
      </w:tr>
      <w:tr w:rsidR="00753C1A" w:rsidTr="003A5549">
        <w:trPr>
          <w:trHeight w:val="330"/>
        </w:trPr>
        <w:tc>
          <w:tcPr>
            <w:tcW w:w="163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Core Limitations</w:t>
            </w:r>
          </w:p>
        </w:tc>
        <w:tc>
          <w:tcPr>
            <w:tcW w:w="721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requires political buy-in; can be slow; may lag behind field realities</w:t>
            </w:r>
          </w:p>
        </w:tc>
      </w:tr>
      <w:tr w:rsidR="00753C1A" w:rsidTr="003A5549">
        <w:trPr>
          <w:trHeight w:val="330"/>
        </w:trPr>
        <w:tc>
          <w:tcPr>
            <w:tcW w:w="163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Evidence Base</w:t>
            </w:r>
          </w:p>
        </w:tc>
        <w:tc>
          <w:tcPr>
            <w:tcW w:w="721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Bosnia, Croatia, Colombia, Iraq, and UNMAS/IMAS-based coordination models</w:t>
            </w:r>
          </w:p>
        </w:tc>
      </w:tr>
      <w:tr w:rsidR="00753C1A" w:rsidTr="003A5549">
        <w:trPr>
          <w:trHeight w:val="570"/>
        </w:trPr>
        <w:tc>
          <w:tcPr>
            <w:tcW w:w="1635"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Indicative Financing Model</w:t>
            </w:r>
          </w:p>
        </w:tc>
        <w:tc>
          <w:tcPr>
            <w:tcW w:w="7215"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state budgets; donor-funded technical assistance (e.g. EU, UNDP, US); governance and reform programs; performance-based financing linked to national recovery milestones</w:t>
            </w:r>
          </w:p>
        </w:tc>
      </w:tr>
    </w:tbl>
    <w:p w:rsidR="00753C1A" w:rsidRDefault="00753C1A" w:rsidP="00753C1A">
      <w:pPr>
        <w:spacing w:before="240" w:after="240" w:line="360" w:lineRule="auto"/>
        <w:jc w:val="both"/>
        <w:rPr>
          <w:rFonts w:ascii="Arial" w:eastAsia="Arial" w:hAnsi="Arial" w:cs="Arial"/>
          <w:b/>
          <w:bCs/>
          <w:sz w:val="24"/>
          <w:szCs w:val="24"/>
        </w:rPr>
      </w:pPr>
    </w:p>
    <w:p w:rsidR="00753C1A" w:rsidRDefault="00753C1A" w:rsidP="00753C1A">
      <w:pPr>
        <w:spacing w:before="240" w:after="240" w:line="360" w:lineRule="auto"/>
        <w:jc w:val="both"/>
        <w:rPr>
          <w:rFonts w:ascii="Arial" w:eastAsia="Arial" w:hAnsi="Arial" w:cs="Arial"/>
          <w:b/>
          <w:bCs/>
          <w:color w:val="506E96"/>
          <w:sz w:val="24"/>
          <w:szCs w:val="24"/>
        </w:rPr>
      </w:pPr>
      <w:r>
        <w:rPr>
          <w:rFonts w:ascii="Arial" w:eastAsia="Arial" w:hAnsi="Arial" w:cs="Arial"/>
          <w:b/>
          <w:bCs/>
          <w:color w:val="506E96"/>
          <w:sz w:val="24"/>
          <w:szCs w:val="24"/>
        </w:rPr>
        <w:t>Notes on narrative development</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lastRenderedPageBreak/>
        <w:t>This narrative reflects international best practices in mine action governance and Ukraine’s own evolving legal and institutional architecture since 2019. It draws on lessons from countries where institutional coordination, legislation, and data management systems significantly improved clearance outcomes and resource use. Sources include UNMAS coordination guidance, World Bank governance assessments, and analysis of Ukraine’s 2023 mine action reform documents. The narrative emphasizes enabling structures over direct action, with a focus on long-term institutional resilience.</w:t>
      </w:r>
    </w:p>
    <w:p w:rsidR="00753C1A" w:rsidRDefault="00753C1A" w:rsidP="00753C1A">
      <w:pPr>
        <w:spacing w:before="240" w:after="240" w:line="360" w:lineRule="auto"/>
        <w:jc w:val="both"/>
        <w:rPr>
          <w:rFonts w:ascii="Arial" w:eastAsia="Arial" w:hAnsi="Arial" w:cs="Arial"/>
          <w:b/>
          <w:bCs/>
          <w:sz w:val="24"/>
          <w:szCs w:val="24"/>
        </w:rPr>
      </w:pPr>
    </w:p>
    <w:p w:rsidR="00753C1A" w:rsidRDefault="00753C1A" w:rsidP="00753C1A">
      <w:pPr>
        <w:spacing w:before="240" w:after="240" w:line="360" w:lineRule="auto"/>
        <w:jc w:val="both"/>
        <w:rPr>
          <w:rFonts w:ascii="Arial" w:eastAsia="Arial" w:hAnsi="Arial" w:cs="Arial"/>
          <w:b/>
          <w:bCs/>
          <w:color w:val="506E96"/>
          <w:sz w:val="24"/>
          <w:szCs w:val="24"/>
        </w:rPr>
      </w:pPr>
      <w:r>
        <w:rPr>
          <w:rFonts w:ascii="Arial" w:eastAsia="Arial" w:hAnsi="Arial" w:cs="Arial"/>
          <w:b/>
          <w:bCs/>
          <w:color w:val="506E96"/>
          <w:sz w:val="24"/>
          <w:szCs w:val="24"/>
        </w:rPr>
        <w:t>Guiding questions used in interviews</w:t>
      </w:r>
    </w:p>
    <w:p w:rsidR="00753C1A" w:rsidRDefault="00753C1A" w:rsidP="00753C1A">
      <w:pPr>
        <w:numPr>
          <w:ilvl w:val="0"/>
          <w:numId w:val="7"/>
        </w:numPr>
        <w:pBdr>
          <w:top w:val="nil"/>
          <w:left w:val="nil"/>
          <w:bottom w:val="nil"/>
          <w:right w:val="nil"/>
          <w:between w:val="nil"/>
        </w:pBdr>
        <w:spacing w:after="0" w:line="360" w:lineRule="auto"/>
        <w:rPr>
          <w:rFonts w:ascii="Arial" w:eastAsia="Arial" w:hAnsi="Arial" w:cs="Arial"/>
          <w:color w:val="783F04"/>
          <w:sz w:val="24"/>
          <w:szCs w:val="24"/>
        </w:rPr>
      </w:pPr>
      <w:r>
        <w:rPr>
          <w:rFonts w:ascii="Arial" w:eastAsia="Arial" w:hAnsi="Arial" w:cs="Arial"/>
          <w:color w:val="783F04"/>
          <w:sz w:val="24"/>
          <w:szCs w:val="24"/>
        </w:rPr>
        <w:t>Does this narrative reflect current institutional efforts to govern mine action in Ukraine? What is working, or what is not?</w:t>
      </w:r>
    </w:p>
    <w:p w:rsidR="00753C1A" w:rsidRDefault="00753C1A" w:rsidP="00753C1A">
      <w:pPr>
        <w:numPr>
          <w:ilvl w:val="0"/>
          <w:numId w:val="7"/>
        </w:numPr>
        <w:pBdr>
          <w:top w:val="nil"/>
          <w:left w:val="nil"/>
          <w:bottom w:val="nil"/>
          <w:right w:val="nil"/>
          <w:between w:val="nil"/>
        </w:pBdr>
        <w:spacing w:after="0" w:line="360" w:lineRule="auto"/>
        <w:rPr>
          <w:rFonts w:ascii="Arial" w:eastAsia="Arial" w:hAnsi="Arial" w:cs="Arial"/>
          <w:color w:val="783F04"/>
          <w:sz w:val="24"/>
          <w:szCs w:val="24"/>
        </w:rPr>
      </w:pPr>
      <w:r>
        <w:rPr>
          <w:rFonts w:ascii="Arial" w:eastAsia="Arial" w:hAnsi="Arial" w:cs="Arial"/>
          <w:color w:val="783F04"/>
          <w:sz w:val="24"/>
          <w:szCs w:val="24"/>
        </w:rPr>
        <w:t>What are the most urgent legal or procedural gaps impeding effective demining and land recovery?</w:t>
      </w:r>
    </w:p>
    <w:p w:rsidR="00753C1A" w:rsidRDefault="00753C1A" w:rsidP="00753C1A">
      <w:pPr>
        <w:numPr>
          <w:ilvl w:val="0"/>
          <w:numId w:val="7"/>
        </w:numPr>
        <w:pBdr>
          <w:top w:val="nil"/>
          <w:left w:val="nil"/>
          <w:bottom w:val="nil"/>
          <w:right w:val="nil"/>
          <w:between w:val="nil"/>
        </w:pBdr>
        <w:spacing w:after="0" w:line="360" w:lineRule="auto"/>
        <w:rPr>
          <w:rFonts w:ascii="Arial" w:eastAsia="Arial" w:hAnsi="Arial" w:cs="Arial"/>
          <w:color w:val="783F04"/>
          <w:sz w:val="24"/>
          <w:szCs w:val="24"/>
        </w:rPr>
      </w:pPr>
      <w:r>
        <w:rPr>
          <w:rFonts w:ascii="Arial" w:eastAsia="Arial" w:hAnsi="Arial" w:cs="Arial"/>
          <w:color w:val="783F04"/>
          <w:sz w:val="24"/>
          <w:szCs w:val="24"/>
        </w:rPr>
        <w:t>How can oblast-level actors and national institutions better align their priorities and responsibilities?</w:t>
      </w:r>
    </w:p>
    <w:p w:rsidR="00753C1A" w:rsidRDefault="00753C1A" w:rsidP="00753C1A">
      <w:pPr>
        <w:numPr>
          <w:ilvl w:val="0"/>
          <w:numId w:val="7"/>
        </w:numPr>
        <w:pBdr>
          <w:top w:val="nil"/>
          <w:left w:val="nil"/>
          <w:bottom w:val="nil"/>
          <w:right w:val="nil"/>
          <w:between w:val="nil"/>
        </w:pBdr>
        <w:spacing w:after="0" w:line="360" w:lineRule="auto"/>
        <w:rPr>
          <w:rFonts w:ascii="Arial" w:eastAsia="Arial" w:hAnsi="Arial" w:cs="Arial"/>
          <w:color w:val="783F04"/>
          <w:sz w:val="24"/>
          <w:szCs w:val="24"/>
        </w:rPr>
      </w:pPr>
      <w:r>
        <w:rPr>
          <w:rFonts w:ascii="Arial" w:eastAsia="Arial" w:hAnsi="Arial" w:cs="Arial"/>
          <w:color w:val="783F04"/>
          <w:sz w:val="24"/>
          <w:szCs w:val="24"/>
        </w:rPr>
        <w:t>What forms of donor or technical support are most useful for strengthening governance in this sector?</w:t>
      </w:r>
    </w:p>
    <w:p w:rsidR="00753C1A" w:rsidRDefault="00753C1A" w:rsidP="00753C1A">
      <w:pPr>
        <w:numPr>
          <w:ilvl w:val="0"/>
          <w:numId w:val="7"/>
        </w:numPr>
        <w:pBdr>
          <w:top w:val="nil"/>
          <w:left w:val="nil"/>
          <w:bottom w:val="nil"/>
          <w:right w:val="nil"/>
          <w:between w:val="nil"/>
        </w:pBdr>
        <w:spacing w:after="0" w:line="360" w:lineRule="auto"/>
        <w:rPr>
          <w:rFonts w:ascii="Arial" w:eastAsia="Arial" w:hAnsi="Arial" w:cs="Arial"/>
          <w:color w:val="783F04"/>
          <w:sz w:val="24"/>
          <w:szCs w:val="24"/>
        </w:rPr>
      </w:pPr>
      <w:r>
        <w:rPr>
          <w:rFonts w:ascii="Arial" w:eastAsia="Arial" w:hAnsi="Arial" w:cs="Arial"/>
          <w:color w:val="783F04"/>
          <w:sz w:val="24"/>
          <w:szCs w:val="24"/>
        </w:rPr>
        <w:t>How do legal and institutional reforms interact with financing mechanisms, public trust, or land use planning? Examples?</w:t>
      </w:r>
    </w:p>
    <w:p w:rsidR="00753C1A" w:rsidRDefault="00753C1A" w:rsidP="00753C1A">
      <w:pPr>
        <w:numPr>
          <w:ilvl w:val="0"/>
          <w:numId w:val="7"/>
        </w:numPr>
        <w:pBdr>
          <w:top w:val="nil"/>
          <w:left w:val="nil"/>
          <w:bottom w:val="nil"/>
          <w:right w:val="nil"/>
          <w:between w:val="nil"/>
        </w:pBdr>
        <w:spacing w:after="240" w:line="360" w:lineRule="auto"/>
        <w:rPr>
          <w:rFonts w:ascii="Arial" w:eastAsia="Arial" w:hAnsi="Arial" w:cs="Arial"/>
          <w:color w:val="783F04"/>
          <w:sz w:val="24"/>
          <w:szCs w:val="24"/>
        </w:rPr>
      </w:pPr>
      <w:r>
        <w:rPr>
          <w:rFonts w:ascii="Arial" w:eastAsia="Arial" w:hAnsi="Arial" w:cs="Arial"/>
          <w:color w:val="783F04"/>
          <w:sz w:val="24"/>
          <w:szCs w:val="24"/>
        </w:rPr>
        <w:t>What forms of social or institutional innovation could enhance legal coordination, inter-agency data sharing, or public accountability?</w:t>
      </w:r>
    </w:p>
    <w:p w:rsidR="00753C1A" w:rsidRDefault="00753C1A" w:rsidP="00753C1A">
      <w:pPr>
        <w:spacing w:before="240" w:after="240" w:line="360" w:lineRule="auto"/>
        <w:jc w:val="both"/>
        <w:rPr>
          <w:rFonts w:ascii="Arial" w:eastAsia="Arial" w:hAnsi="Arial" w:cs="Arial"/>
          <w:b/>
          <w:bCs/>
          <w:color w:val="506E96"/>
          <w:sz w:val="24"/>
          <w:szCs w:val="24"/>
        </w:rPr>
      </w:pPr>
    </w:p>
    <w:p w:rsidR="00753C1A" w:rsidRDefault="00753C1A" w:rsidP="00753C1A">
      <w:pPr>
        <w:spacing w:before="240" w:after="240" w:line="360" w:lineRule="auto"/>
        <w:jc w:val="both"/>
        <w:rPr>
          <w:rFonts w:ascii="Arial" w:eastAsia="Arial" w:hAnsi="Arial" w:cs="Arial"/>
          <w:b/>
          <w:bCs/>
          <w:color w:val="506E96"/>
          <w:sz w:val="24"/>
          <w:szCs w:val="24"/>
        </w:rPr>
      </w:pPr>
      <w:r>
        <w:rPr>
          <w:rFonts w:ascii="Arial" w:eastAsia="Arial" w:hAnsi="Arial" w:cs="Arial"/>
          <w:b/>
          <w:bCs/>
          <w:color w:val="506E96"/>
          <w:sz w:val="24"/>
          <w:szCs w:val="24"/>
        </w:rPr>
        <w:t>Link to actor landscape (cf. Results section)</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Lead actors listed in the Actor Table include the Ministry of Economy, SESU, Parliament, and regional administrations, alongside international governance support agencies. Accordingly:</w:t>
      </w:r>
    </w:p>
    <w:p w:rsidR="00753C1A" w:rsidRDefault="00753C1A" w:rsidP="00753C1A">
      <w:pPr>
        <w:numPr>
          <w:ilvl w:val="0"/>
          <w:numId w:val="8"/>
        </w:numPr>
        <w:spacing w:after="0" w:line="360" w:lineRule="auto"/>
        <w:rPr>
          <w:rFonts w:ascii="Arial" w:eastAsia="Arial" w:hAnsi="Arial" w:cs="Arial"/>
          <w:sz w:val="24"/>
          <w:szCs w:val="24"/>
        </w:rPr>
      </w:pPr>
      <w:r>
        <w:rPr>
          <w:rFonts w:ascii="Arial" w:eastAsia="Arial" w:hAnsi="Arial" w:cs="Arial"/>
          <w:sz w:val="24"/>
          <w:szCs w:val="24"/>
        </w:rPr>
        <w:t>Q31–33 interrogate alignment between national frameworks and oblast implementation, addressing roles identified in Results.</w:t>
      </w:r>
    </w:p>
    <w:p w:rsidR="00753C1A" w:rsidRDefault="00753C1A" w:rsidP="00753C1A">
      <w:pPr>
        <w:numPr>
          <w:ilvl w:val="0"/>
          <w:numId w:val="8"/>
        </w:numPr>
        <w:spacing w:after="0" w:line="360" w:lineRule="auto"/>
        <w:rPr>
          <w:rFonts w:ascii="Arial" w:eastAsia="Arial" w:hAnsi="Arial" w:cs="Arial"/>
          <w:sz w:val="24"/>
          <w:szCs w:val="24"/>
        </w:rPr>
      </w:pPr>
      <w:r>
        <w:rPr>
          <w:rFonts w:ascii="Arial" w:eastAsia="Arial" w:hAnsi="Arial" w:cs="Arial"/>
          <w:sz w:val="24"/>
          <w:szCs w:val="24"/>
        </w:rPr>
        <w:lastRenderedPageBreak/>
        <w:t>Q34 explores technical assistance from donor agencies already mapped in the Actor Table.</w:t>
      </w:r>
    </w:p>
    <w:p w:rsidR="00753C1A" w:rsidRDefault="00753C1A" w:rsidP="00753C1A">
      <w:pPr>
        <w:numPr>
          <w:ilvl w:val="0"/>
          <w:numId w:val="8"/>
        </w:numPr>
        <w:spacing w:after="0" w:line="360" w:lineRule="auto"/>
        <w:rPr>
          <w:rFonts w:ascii="Arial" w:eastAsia="Arial" w:hAnsi="Arial" w:cs="Arial"/>
          <w:sz w:val="24"/>
          <w:szCs w:val="24"/>
        </w:rPr>
      </w:pPr>
      <w:r>
        <w:rPr>
          <w:rFonts w:ascii="Arial" w:eastAsia="Arial" w:hAnsi="Arial" w:cs="Arial"/>
          <w:sz w:val="24"/>
          <w:szCs w:val="24"/>
        </w:rPr>
        <w:t>Q35 links legal frameworks to other strategic areas like land use and public trust.</w:t>
      </w:r>
    </w:p>
    <w:p w:rsidR="00753C1A" w:rsidRDefault="00753C1A" w:rsidP="00753C1A">
      <w:pPr>
        <w:numPr>
          <w:ilvl w:val="0"/>
          <w:numId w:val="8"/>
        </w:numPr>
        <w:spacing w:after="240" w:line="360" w:lineRule="auto"/>
        <w:rPr>
          <w:rFonts w:ascii="Arial" w:eastAsia="Arial" w:hAnsi="Arial" w:cs="Arial"/>
          <w:sz w:val="24"/>
          <w:szCs w:val="24"/>
        </w:rPr>
      </w:pPr>
      <w:r>
        <w:rPr>
          <w:rFonts w:ascii="Arial" w:eastAsia="Arial" w:hAnsi="Arial" w:cs="Arial"/>
          <w:sz w:val="24"/>
          <w:szCs w:val="24"/>
        </w:rPr>
        <w:t>Q36 draws on actor fragmentation and coordination bottlenecks noted in Results, to invite forward-looking governance innovation.</w:t>
      </w:r>
    </w:p>
    <w:p w:rsidR="00753C1A" w:rsidRDefault="00753C1A" w:rsidP="00753C1A">
      <w:pPr>
        <w:spacing w:line="256" w:lineRule="auto"/>
        <w:jc w:val="both"/>
        <w:rPr>
          <w:rFonts w:ascii="Arial" w:eastAsia="Arial" w:hAnsi="Arial" w:cs="Arial"/>
          <w:sz w:val="24"/>
          <w:szCs w:val="24"/>
        </w:rPr>
      </w:pPr>
    </w:p>
    <w:p w:rsidR="00753C1A" w:rsidRDefault="00753C1A" w:rsidP="00753C1A">
      <w:pPr>
        <w:spacing w:before="240" w:line="256" w:lineRule="auto"/>
        <w:jc w:val="both"/>
        <w:rPr>
          <w:rFonts w:ascii="Arial" w:eastAsia="Arial" w:hAnsi="Arial" w:cs="Arial"/>
          <w:sz w:val="24"/>
          <w:szCs w:val="24"/>
        </w:rPr>
      </w:pPr>
    </w:p>
    <w:p w:rsidR="00753C1A" w:rsidRDefault="00753C1A" w:rsidP="00753C1A">
      <w:pPr>
        <w:spacing w:before="240" w:after="240" w:line="360" w:lineRule="auto"/>
        <w:jc w:val="both"/>
        <w:rPr>
          <w:rFonts w:ascii="Arial" w:eastAsia="Arial" w:hAnsi="Arial" w:cs="Arial"/>
          <w:b/>
          <w:bCs/>
          <w:color w:val="506E96"/>
          <w:sz w:val="24"/>
          <w:szCs w:val="24"/>
        </w:rPr>
      </w:pPr>
      <w:r>
        <w:rPr>
          <w:rFonts w:ascii="Arial" w:eastAsia="Arial" w:hAnsi="Arial" w:cs="Arial"/>
          <w:b/>
          <w:bCs/>
          <w:color w:val="506E96"/>
          <w:sz w:val="24"/>
          <w:szCs w:val="24"/>
        </w:rPr>
        <w:t>Strategy Type 7: Post-conflict land zoning</w:t>
      </w:r>
    </w:p>
    <w:p w:rsidR="00753C1A" w:rsidRDefault="00753C1A" w:rsidP="00753C1A">
      <w:pPr>
        <w:spacing w:before="240" w:after="240" w:line="360" w:lineRule="auto"/>
        <w:jc w:val="both"/>
        <w:rPr>
          <w:rFonts w:ascii="Arial" w:eastAsia="Arial" w:hAnsi="Arial" w:cs="Arial"/>
          <w:b/>
          <w:bCs/>
          <w:color w:val="506E96"/>
          <w:sz w:val="24"/>
          <w:szCs w:val="24"/>
        </w:rPr>
      </w:pPr>
    </w:p>
    <w:p w:rsidR="00753C1A" w:rsidRDefault="00753C1A" w:rsidP="00753C1A">
      <w:pPr>
        <w:spacing w:before="240" w:after="240" w:line="360" w:lineRule="auto"/>
        <w:jc w:val="both"/>
        <w:rPr>
          <w:rFonts w:ascii="Arial" w:eastAsia="Arial" w:hAnsi="Arial" w:cs="Arial"/>
          <w:b/>
          <w:bCs/>
          <w:color w:val="506E96"/>
          <w:sz w:val="24"/>
          <w:szCs w:val="24"/>
        </w:rPr>
      </w:pPr>
      <w:r>
        <w:rPr>
          <w:rFonts w:ascii="Arial" w:eastAsia="Arial" w:hAnsi="Arial" w:cs="Arial"/>
          <w:b/>
          <w:bCs/>
          <w:color w:val="506E96"/>
          <w:sz w:val="24"/>
          <w:szCs w:val="24"/>
        </w:rPr>
        <w:t>Narrative (communication prompt used in interviews)</w:t>
      </w:r>
    </w:p>
    <w:p w:rsidR="00753C1A" w:rsidRDefault="00753C1A" w:rsidP="00753C1A">
      <w:pPr>
        <w:spacing w:before="240" w:after="240" w:line="360" w:lineRule="auto"/>
        <w:jc w:val="both"/>
        <w:rPr>
          <w:rFonts w:ascii="Arial" w:eastAsia="Arial" w:hAnsi="Arial" w:cs="Arial"/>
          <w:i/>
          <w:iCs/>
          <w:sz w:val="24"/>
          <w:szCs w:val="24"/>
        </w:rPr>
      </w:pPr>
      <w:r>
        <w:rPr>
          <w:rFonts w:ascii="Arial" w:eastAsia="Arial" w:hAnsi="Arial" w:cs="Arial"/>
          <w:i/>
          <w:iCs/>
          <w:sz w:val="24"/>
          <w:szCs w:val="24"/>
        </w:rPr>
        <w:t>Note: This narrative is a communication aid designed to convey the defining features of the strategy in an accessible, illustrative format. It is not evidence-based, data-derived, or presented as an analytical finding. Its sole purpose is to help ensure a shared understanding of the strategy type as defined in Section 3 (Results – Strategy Typology).</w:t>
      </w:r>
    </w:p>
    <w:p w:rsidR="00753C1A" w:rsidRDefault="00753C1A" w:rsidP="00753C1A">
      <w:pPr>
        <w:spacing w:before="240" w:after="240" w:line="360" w:lineRule="auto"/>
        <w:jc w:val="both"/>
        <w:rPr>
          <w:rFonts w:ascii="Arial" w:eastAsia="Arial" w:hAnsi="Arial" w:cs="Arial"/>
          <w:sz w:val="24"/>
          <w:szCs w:val="24"/>
        </w:rPr>
      </w:pP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 xml:space="preserve">In newly cleared sections of Chernihiv oblast, regional planners and land use specialists meet with farmers, environmental groups, and displaced families to assess how land should be used going forward. While some areas are prioritized for rapid return to agricultural use, others, especially those affected by heavy shelling or close to wetlands, are designated for conservation or delayed re-entry pending soil remediation. In peri-urban zones, zoning plans integrate mine clearance maps with future infrastructure corridors and housing developments. This post-conflict land zoning approach seeks to prevent ad hoc resettlement and unsafe land use, while aligning recovery efforts with long-term spatial planning. The strategy does not remove mines itself but helps guide and prioritize clearance based on intended future land uses. Legal, ecological, and social inputs are combined in participatory planning processes. Challenges include unclear land tenure, overlapping mandates, and limited </w:t>
      </w:r>
      <w:r>
        <w:rPr>
          <w:rFonts w:ascii="Arial" w:eastAsia="Arial" w:hAnsi="Arial" w:cs="Arial"/>
          <w:sz w:val="24"/>
          <w:szCs w:val="24"/>
        </w:rPr>
        <w:lastRenderedPageBreak/>
        <w:t>integration of clearance timelines with civilian expectations. However, the approach offers a path to sustainable and equitable recovery when paired with strong governance and communication (Table Expert Interviews 7</w:t>
      </w:r>
      <w:r>
        <w:rPr>
          <w:rFonts w:ascii="Arial" w:eastAsia="Arial" w:hAnsi="Arial" w:cs="Arial"/>
          <w:b/>
          <w:bCs/>
          <w:sz w:val="24"/>
          <w:szCs w:val="24"/>
        </w:rPr>
        <w:t>)</w:t>
      </w:r>
      <w:r>
        <w:rPr>
          <w:rFonts w:ascii="Arial" w:eastAsia="Arial" w:hAnsi="Arial" w:cs="Arial"/>
          <w:sz w:val="24"/>
          <w:szCs w:val="24"/>
        </w:rPr>
        <w:t>.</w:t>
      </w:r>
    </w:p>
    <w:p w:rsidR="00753C1A" w:rsidRDefault="00753C1A" w:rsidP="00753C1A">
      <w:pPr>
        <w:spacing w:before="240" w:after="240" w:line="360" w:lineRule="auto"/>
        <w:jc w:val="both"/>
        <w:rPr>
          <w:rFonts w:ascii="Arial" w:eastAsia="Arial" w:hAnsi="Arial" w:cs="Arial"/>
          <w:b/>
          <w:bCs/>
          <w:sz w:val="24"/>
          <w:szCs w:val="24"/>
        </w:rPr>
      </w:pPr>
    </w:p>
    <w:p w:rsidR="00753C1A" w:rsidRDefault="00753C1A" w:rsidP="00753C1A">
      <w:pPr>
        <w:spacing w:before="240" w:after="240" w:line="360" w:lineRule="auto"/>
        <w:jc w:val="both"/>
        <w:rPr>
          <w:rFonts w:ascii="Arial" w:eastAsia="Arial" w:hAnsi="Arial" w:cs="Arial"/>
          <w:sz w:val="16"/>
          <w:szCs w:val="16"/>
        </w:rPr>
      </w:pPr>
      <w:r>
        <w:rPr>
          <w:rFonts w:ascii="Arial" w:eastAsia="Arial" w:hAnsi="Arial" w:cs="Arial"/>
          <w:sz w:val="16"/>
          <w:szCs w:val="16"/>
        </w:rPr>
        <w:t>Table Expert Interviews 7. Key characteristics “Post-Conflict Land Zoning”.</w:t>
      </w:r>
    </w:p>
    <w:tbl>
      <w:tblPr>
        <w:tblW w:w="8850" w:type="dxa"/>
        <w:tblBorders>
          <w:top w:val="nil"/>
          <w:left w:val="nil"/>
          <w:bottom w:val="nil"/>
          <w:right w:val="nil"/>
          <w:insideH w:val="nil"/>
          <w:insideV w:val="nil"/>
        </w:tblBorders>
        <w:tblLayout w:type="fixed"/>
        <w:tblLook w:val="0600" w:firstRow="0" w:lastRow="0" w:firstColumn="0" w:lastColumn="0" w:noHBand="1" w:noVBand="1"/>
      </w:tblPr>
      <w:tblGrid>
        <w:gridCol w:w="1650"/>
        <w:gridCol w:w="7200"/>
      </w:tblGrid>
      <w:tr w:rsidR="00753C1A" w:rsidTr="003A5549">
        <w:trPr>
          <w:trHeight w:val="330"/>
        </w:trPr>
        <w:tc>
          <w:tcPr>
            <w:tcW w:w="1650" w:type="dxa"/>
            <w:tcBorders>
              <w:top w:val="nil"/>
              <w:left w:val="nil"/>
              <w:bottom w:val="nil"/>
              <w:right w:val="nil"/>
            </w:tcBorders>
            <w:shd w:val="clear" w:color="auto" w:fill="A6A6A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t>Dimension</w:t>
            </w:r>
          </w:p>
        </w:tc>
        <w:tc>
          <w:tcPr>
            <w:tcW w:w="7200" w:type="dxa"/>
            <w:tcBorders>
              <w:top w:val="nil"/>
              <w:left w:val="nil"/>
              <w:bottom w:val="nil"/>
              <w:right w:val="nil"/>
            </w:tcBorders>
            <w:shd w:val="clear" w:color="auto" w:fill="A6A6A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b/>
                <w:bCs/>
                <w:sz w:val="16"/>
                <w:szCs w:val="16"/>
              </w:rPr>
            </w:pPr>
            <w:r>
              <w:rPr>
                <w:rFonts w:ascii="Arial" w:eastAsia="Arial" w:hAnsi="Arial" w:cs="Arial"/>
                <w:b/>
                <w:bCs/>
                <w:sz w:val="16"/>
                <w:szCs w:val="16"/>
              </w:rPr>
              <w:t>Description</w:t>
            </w:r>
          </w:p>
        </w:tc>
      </w:tr>
      <w:tr w:rsidR="00753C1A" w:rsidTr="003A5549">
        <w:trPr>
          <w:trHeight w:val="330"/>
        </w:trPr>
        <w:tc>
          <w:tcPr>
            <w:tcW w:w="1650" w:type="dxa"/>
            <w:tcBorders>
              <w:top w:val="single" w:sz="5" w:space="0" w:color="FFFFFF"/>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Strategy Name</w:t>
            </w:r>
          </w:p>
        </w:tc>
        <w:tc>
          <w:tcPr>
            <w:tcW w:w="7200" w:type="dxa"/>
            <w:tcBorders>
              <w:top w:val="single" w:sz="5" w:space="0" w:color="FFFFFF"/>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post-conflict land zoning</w:t>
            </w:r>
          </w:p>
        </w:tc>
      </w:tr>
      <w:tr w:rsidR="00753C1A" w:rsidTr="003A5549">
        <w:trPr>
          <w:trHeight w:val="570"/>
        </w:trPr>
        <w:tc>
          <w:tcPr>
            <w:tcW w:w="165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Primary Objective</w:t>
            </w:r>
          </w:p>
        </w:tc>
        <w:tc>
          <w:tcPr>
            <w:tcW w:w="720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guide land use decisions post-clearance to ensure safe, equitable, and sustainable recovery</w:t>
            </w:r>
          </w:p>
        </w:tc>
      </w:tr>
      <w:tr w:rsidR="00753C1A" w:rsidTr="003A5549">
        <w:trPr>
          <w:trHeight w:val="330"/>
        </w:trPr>
        <w:tc>
          <w:tcPr>
            <w:tcW w:w="165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Lead Actors</w:t>
            </w:r>
          </w:p>
        </w:tc>
        <w:tc>
          <w:tcPr>
            <w:tcW w:w="720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local and regional governments, land use planners, Ministry of Environmental Protection</w:t>
            </w:r>
          </w:p>
        </w:tc>
      </w:tr>
      <w:tr w:rsidR="00753C1A" w:rsidTr="003A5549">
        <w:trPr>
          <w:trHeight w:val="330"/>
        </w:trPr>
        <w:tc>
          <w:tcPr>
            <w:tcW w:w="165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Supporting Actors</w:t>
            </w:r>
          </w:p>
        </w:tc>
        <w:tc>
          <w:tcPr>
            <w:tcW w:w="720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SESU (for clearance maps), community councils, environmental and agri experts</w:t>
            </w:r>
          </w:p>
        </w:tc>
      </w:tr>
      <w:tr w:rsidR="00753C1A" w:rsidTr="003A5549">
        <w:trPr>
          <w:trHeight w:val="330"/>
        </w:trPr>
        <w:tc>
          <w:tcPr>
            <w:tcW w:w="165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Operational Tools</w:t>
            </w:r>
          </w:p>
        </w:tc>
        <w:tc>
          <w:tcPr>
            <w:tcW w:w="720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spatial planning tools, clearance overlays, land use zoning maps, stakeholder forums</w:t>
            </w:r>
          </w:p>
        </w:tc>
      </w:tr>
      <w:tr w:rsidR="00753C1A" w:rsidTr="003A5549">
        <w:trPr>
          <w:trHeight w:val="570"/>
        </w:trPr>
        <w:tc>
          <w:tcPr>
            <w:tcW w:w="165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Application Context</w:t>
            </w:r>
          </w:p>
        </w:tc>
        <w:tc>
          <w:tcPr>
            <w:tcW w:w="720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post-clearance zones; returnee areas; infrastructure or nature-sensitive corridors</w:t>
            </w:r>
          </w:p>
        </w:tc>
      </w:tr>
      <w:tr w:rsidR="00753C1A" w:rsidTr="003A5549">
        <w:trPr>
          <w:trHeight w:val="330"/>
        </w:trPr>
        <w:tc>
          <w:tcPr>
            <w:tcW w:w="165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Scale of Use</w:t>
            </w:r>
          </w:p>
        </w:tc>
        <w:tc>
          <w:tcPr>
            <w:tcW w:w="720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regional to municipal; cluster- or corridor-based</w:t>
            </w:r>
          </w:p>
        </w:tc>
      </w:tr>
      <w:tr w:rsidR="00753C1A" w:rsidTr="003A5549">
        <w:trPr>
          <w:trHeight w:val="330"/>
        </w:trPr>
        <w:tc>
          <w:tcPr>
            <w:tcW w:w="165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Timeframe</w:t>
            </w:r>
          </w:p>
        </w:tc>
        <w:tc>
          <w:tcPr>
            <w:tcW w:w="720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medium- to long-term; aligned with phased recovery</w:t>
            </w:r>
          </w:p>
        </w:tc>
      </w:tr>
      <w:tr w:rsidR="00753C1A" w:rsidTr="003A5549">
        <w:trPr>
          <w:trHeight w:val="330"/>
        </w:trPr>
        <w:tc>
          <w:tcPr>
            <w:tcW w:w="165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Core Advantages</w:t>
            </w:r>
          </w:p>
        </w:tc>
        <w:tc>
          <w:tcPr>
            <w:tcW w:w="720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aligns clearance with future land use; prevents re-contamination or unsafe return</w:t>
            </w:r>
          </w:p>
        </w:tc>
      </w:tr>
      <w:tr w:rsidR="00753C1A" w:rsidTr="003A5549">
        <w:trPr>
          <w:trHeight w:val="330"/>
        </w:trPr>
        <w:tc>
          <w:tcPr>
            <w:tcW w:w="165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Core Limitations</w:t>
            </w:r>
          </w:p>
        </w:tc>
        <w:tc>
          <w:tcPr>
            <w:tcW w:w="720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requires cross-sector coordination; can be politically sensitive or slow</w:t>
            </w:r>
          </w:p>
        </w:tc>
      </w:tr>
      <w:tr w:rsidR="00753C1A" w:rsidTr="003A5549">
        <w:trPr>
          <w:trHeight w:val="330"/>
        </w:trPr>
        <w:tc>
          <w:tcPr>
            <w:tcW w:w="165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Evidence Base</w:t>
            </w:r>
          </w:p>
        </w:tc>
        <w:tc>
          <w:tcPr>
            <w:tcW w:w="720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applied in Bosnia, Lebanon, Vietnam, and increasingly piloted in Ukraine</w:t>
            </w:r>
          </w:p>
        </w:tc>
      </w:tr>
      <w:tr w:rsidR="00753C1A" w:rsidTr="003A5549">
        <w:trPr>
          <w:trHeight w:val="570"/>
        </w:trPr>
        <w:tc>
          <w:tcPr>
            <w:tcW w:w="1650" w:type="dxa"/>
            <w:tcBorders>
              <w:top w:val="nil"/>
              <w:left w:val="single" w:sz="5" w:space="0" w:color="FFFFFF"/>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Indicative Financing Model</w:t>
            </w:r>
          </w:p>
        </w:tc>
        <w:tc>
          <w:tcPr>
            <w:tcW w:w="7200" w:type="dxa"/>
            <w:tcBorders>
              <w:top w:val="nil"/>
              <w:left w:val="nil"/>
              <w:bottom w:val="single" w:sz="5" w:space="0" w:color="FFFFFF"/>
              <w:right w:val="single" w:sz="5" w:space="0" w:color="FFFFFF"/>
            </w:tcBorders>
            <w:shd w:val="clear" w:color="auto" w:fill="E6E6E6"/>
            <w:tcMar>
              <w:top w:w="40" w:type="dxa"/>
              <w:left w:w="80" w:type="dxa"/>
              <w:bottom w:w="40" w:type="dxa"/>
              <w:right w:w="80" w:type="dxa"/>
            </w:tcMar>
          </w:tcPr>
          <w:p w:rsidR="00753C1A" w:rsidRDefault="00753C1A" w:rsidP="003A5549">
            <w:pPr>
              <w:spacing w:before="240" w:after="240" w:line="360" w:lineRule="auto"/>
              <w:ind w:left="80"/>
              <w:jc w:val="both"/>
              <w:rPr>
                <w:rFonts w:ascii="Arial" w:eastAsia="Arial" w:hAnsi="Arial" w:cs="Arial"/>
                <w:sz w:val="16"/>
                <w:szCs w:val="16"/>
              </w:rPr>
            </w:pPr>
            <w:r>
              <w:rPr>
                <w:rFonts w:ascii="Arial" w:eastAsia="Arial" w:hAnsi="Arial" w:cs="Arial"/>
                <w:sz w:val="16"/>
                <w:szCs w:val="16"/>
              </w:rPr>
              <w:t>public sector spatial planning budgets; international recovery and development programs; EU accession instruments</w:t>
            </w:r>
          </w:p>
        </w:tc>
      </w:tr>
    </w:tbl>
    <w:p w:rsidR="00753C1A" w:rsidRDefault="00753C1A" w:rsidP="00753C1A">
      <w:pPr>
        <w:spacing w:before="240" w:after="240" w:line="360" w:lineRule="auto"/>
        <w:jc w:val="both"/>
        <w:rPr>
          <w:rFonts w:ascii="Arial" w:eastAsia="Arial" w:hAnsi="Arial" w:cs="Arial"/>
          <w:b/>
          <w:bCs/>
          <w:sz w:val="24"/>
          <w:szCs w:val="24"/>
        </w:rPr>
      </w:pPr>
    </w:p>
    <w:p w:rsidR="00753C1A" w:rsidRDefault="00753C1A" w:rsidP="00753C1A">
      <w:pPr>
        <w:spacing w:before="240" w:after="240" w:line="360" w:lineRule="auto"/>
        <w:jc w:val="both"/>
        <w:rPr>
          <w:rFonts w:ascii="Arial" w:eastAsia="Arial" w:hAnsi="Arial" w:cs="Arial"/>
          <w:b/>
          <w:bCs/>
          <w:color w:val="506E96"/>
          <w:sz w:val="24"/>
          <w:szCs w:val="24"/>
        </w:rPr>
      </w:pPr>
      <w:r>
        <w:rPr>
          <w:rFonts w:ascii="Arial" w:eastAsia="Arial" w:hAnsi="Arial" w:cs="Arial"/>
          <w:b/>
          <w:bCs/>
          <w:color w:val="506E96"/>
          <w:sz w:val="24"/>
          <w:szCs w:val="24"/>
        </w:rPr>
        <w:t>Notes on narrative development</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The narrative synthesizes post-conflict spatial planning strategies documented in the Balkans, Southeast Asia, and early post-2022 pilot projects in Ukraine. It reflects the increasing recognition that mine action and land use planning must be integrated to avoid premature or unsafe returns and to maximize recovery gains. Sources include UN-Habitat guidance, World Bank post-conflict land use diagnostics, and Ukraine’s regional recovery frameworks. The strategy complements physical clearance by giving it a forward-looking purpose (Table Expert Interviews 7).</w:t>
      </w:r>
    </w:p>
    <w:p w:rsidR="00753C1A" w:rsidRDefault="00753C1A" w:rsidP="00753C1A">
      <w:pPr>
        <w:spacing w:before="240" w:after="240" w:line="360" w:lineRule="auto"/>
        <w:jc w:val="both"/>
        <w:rPr>
          <w:rFonts w:ascii="Arial" w:eastAsia="Arial" w:hAnsi="Arial" w:cs="Arial"/>
          <w:b/>
          <w:bCs/>
          <w:sz w:val="24"/>
          <w:szCs w:val="24"/>
        </w:rPr>
      </w:pPr>
    </w:p>
    <w:p w:rsidR="00753C1A" w:rsidRDefault="00753C1A" w:rsidP="00753C1A">
      <w:pPr>
        <w:spacing w:before="240" w:after="240" w:line="360" w:lineRule="auto"/>
        <w:jc w:val="both"/>
        <w:rPr>
          <w:rFonts w:ascii="Arial" w:eastAsia="Arial" w:hAnsi="Arial" w:cs="Arial"/>
          <w:b/>
          <w:bCs/>
          <w:color w:val="506E96"/>
          <w:sz w:val="24"/>
          <w:szCs w:val="24"/>
        </w:rPr>
      </w:pPr>
      <w:r>
        <w:rPr>
          <w:rFonts w:ascii="Arial" w:eastAsia="Arial" w:hAnsi="Arial" w:cs="Arial"/>
          <w:b/>
          <w:bCs/>
          <w:color w:val="506E96"/>
          <w:sz w:val="24"/>
          <w:szCs w:val="24"/>
        </w:rPr>
        <w:t>Guiding questions used in interviews</w:t>
      </w:r>
    </w:p>
    <w:p w:rsidR="00753C1A" w:rsidRDefault="00753C1A" w:rsidP="00753C1A">
      <w:pPr>
        <w:numPr>
          <w:ilvl w:val="0"/>
          <w:numId w:val="7"/>
        </w:numPr>
        <w:pBdr>
          <w:top w:val="nil"/>
          <w:left w:val="nil"/>
          <w:bottom w:val="nil"/>
          <w:right w:val="nil"/>
          <w:between w:val="nil"/>
        </w:pBdr>
        <w:spacing w:after="0" w:line="360" w:lineRule="auto"/>
        <w:rPr>
          <w:rFonts w:ascii="Arial" w:eastAsia="Arial" w:hAnsi="Arial" w:cs="Arial"/>
          <w:color w:val="783F04"/>
          <w:sz w:val="24"/>
          <w:szCs w:val="24"/>
        </w:rPr>
      </w:pPr>
      <w:r>
        <w:rPr>
          <w:rFonts w:ascii="Arial" w:eastAsia="Arial" w:hAnsi="Arial" w:cs="Arial"/>
          <w:color w:val="783F04"/>
          <w:sz w:val="24"/>
          <w:szCs w:val="24"/>
        </w:rPr>
        <w:t>How realistic or applicable is this narrative in Ukraine’s current recovery landscape?</w:t>
      </w:r>
    </w:p>
    <w:p w:rsidR="00753C1A" w:rsidRDefault="00753C1A" w:rsidP="00753C1A">
      <w:pPr>
        <w:numPr>
          <w:ilvl w:val="0"/>
          <w:numId w:val="7"/>
        </w:numPr>
        <w:pBdr>
          <w:top w:val="nil"/>
          <w:left w:val="nil"/>
          <w:bottom w:val="nil"/>
          <w:right w:val="nil"/>
          <w:between w:val="nil"/>
        </w:pBdr>
        <w:spacing w:after="0" w:line="360" w:lineRule="auto"/>
        <w:rPr>
          <w:rFonts w:ascii="Arial" w:eastAsia="Arial" w:hAnsi="Arial" w:cs="Arial"/>
          <w:color w:val="783F04"/>
          <w:sz w:val="24"/>
          <w:szCs w:val="24"/>
        </w:rPr>
      </w:pPr>
      <w:r>
        <w:rPr>
          <w:rFonts w:ascii="Arial" w:eastAsia="Arial" w:hAnsi="Arial" w:cs="Arial"/>
          <w:color w:val="783F04"/>
          <w:sz w:val="24"/>
          <w:szCs w:val="24"/>
        </w:rPr>
        <w:t>Are regional or municipal governments currently using spatial planning to inform clearance or land allocation?</w:t>
      </w:r>
    </w:p>
    <w:p w:rsidR="00753C1A" w:rsidRDefault="00753C1A" w:rsidP="00753C1A">
      <w:pPr>
        <w:numPr>
          <w:ilvl w:val="0"/>
          <w:numId w:val="7"/>
        </w:numPr>
        <w:pBdr>
          <w:top w:val="nil"/>
          <w:left w:val="nil"/>
          <w:bottom w:val="nil"/>
          <w:right w:val="nil"/>
          <w:between w:val="nil"/>
        </w:pBdr>
        <w:spacing w:after="0" w:line="360" w:lineRule="auto"/>
        <w:rPr>
          <w:rFonts w:ascii="Arial" w:eastAsia="Arial" w:hAnsi="Arial" w:cs="Arial"/>
          <w:color w:val="783F04"/>
          <w:sz w:val="24"/>
          <w:szCs w:val="24"/>
        </w:rPr>
      </w:pPr>
      <w:r>
        <w:rPr>
          <w:rFonts w:ascii="Arial" w:eastAsia="Arial" w:hAnsi="Arial" w:cs="Arial"/>
          <w:color w:val="783F04"/>
          <w:sz w:val="24"/>
          <w:szCs w:val="24"/>
        </w:rPr>
        <w:t>What are the key constraints to aligning land use planning with mine action, considering legal, political, technical, or financial aspects?</w:t>
      </w:r>
    </w:p>
    <w:p w:rsidR="00753C1A" w:rsidRDefault="00753C1A" w:rsidP="00753C1A">
      <w:pPr>
        <w:numPr>
          <w:ilvl w:val="0"/>
          <w:numId w:val="7"/>
        </w:numPr>
        <w:pBdr>
          <w:top w:val="nil"/>
          <w:left w:val="nil"/>
          <w:bottom w:val="nil"/>
          <w:right w:val="nil"/>
          <w:between w:val="nil"/>
        </w:pBdr>
        <w:spacing w:after="0" w:line="360" w:lineRule="auto"/>
        <w:rPr>
          <w:rFonts w:ascii="Arial" w:eastAsia="Arial" w:hAnsi="Arial" w:cs="Arial"/>
          <w:color w:val="783F04"/>
          <w:sz w:val="24"/>
          <w:szCs w:val="24"/>
        </w:rPr>
      </w:pPr>
      <w:r>
        <w:rPr>
          <w:rFonts w:ascii="Arial" w:eastAsia="Arial" w:hAnsi="Arial" w:cs="Arial"/>
          <w:color w:val="783F04"/>
          <w:sz w:val="24"/>
          <w:szCs w:val="24"/>
        </w:rPr>
        <w:t>In your view, how can participatory or community-led zoning support safer and more inclusive recovery?</w:t>
      </w:r>
    </w:p>
    <w:p w:rsidR="00753C1A" w:rsidRDefault="00753C1A" w:rsidP="00753C1A">
      <w:pPr>
        <w:numPr>
          <w:ilvl w:val="0"/>
          <w:numId w:val="7"/>
        </w:numPr>
        <w:pBdr>
          <w:top w:val="nil"/>
          <w:left w:val="nil"/>
          <w:bottom w:val="nil"/>
          <w:right w:val="nil"/>
          <w:between w:val="nil"/>
        </w:pBdr>
        <w:spacing w:after="0" w:line="360" w:lineRule="auto"/>
        <w:rPr>
          <w:rFonts w:ascii="Arial" w:eastAsia="Arial" w:hAnsi="Arial" w:cs="Arial"/>
          <w:color w:val="783F04"/>
          <w:sz w:val="24"/>
          <w:szCs w:val="24"/>
        </w:rPr>
      </w:pPr>
      <w:r>
        <w:rPr>
          <w:rFonts w:ascii="Arial" w:eastAsia="Arial" w:hAnsi="Arial" w:cs="Arial"/>
          <w:color w:val="783F04"/>
          <w:sz w:val="24"/>
          <w:szCs w:val="24"/>
        </w:rPr>
        <w:t>What tools or frameworks are needed to improve spatial planning in war-affected areas, especially before mass return (of both, soldiers from the front and refugees from abroad), or reinvestment?</w:t>
      </w:r>
    </w:p>
    <w:p w:rsidR="00753C1A" w:rsidRDefault="00753C1A" w:rsidP="00753C1A">
      <w:pPr>
        <w:numPr>
          <w:ilvl w:val="0"/>
          <w:numId w:val="7"/>
        </w:numPr>
        <w:pBdr>
          <w:top w:val="nil"/>
          <w:left w:val="nil"/>
          <w:bottom w:val="nil"/>
          <w:right w:val="nil"/>
          <w:between w:val="nil"/>
        </w:pBdr>
        <w:spacing w:after="240" w:line="360" w:lineRule="auto"/>
        <w:rPr>
          <w:rFonts w:ascii="Arial" w:eastAsia="Arial" w:hAnsi="Arial" w:cs="Arial"/>
          <w:color w:val="783F04"/>
          <w:sz w:val="24"/>
          <w:szCs w:val="24"/>
        </w:rPr>
      </w:pPr>
      <w:r>
        <w:rPr>
          <w:rFonts w:ascii="Arial" w:eastAsia="Arial" w:hAnsi="Arial" w:cs="Arial"/>
          <w:color w:val="783F04"/>
          <w:sz w:val="24"/>
          <w:szCs w:val="24"/>
        </w:rPr>
        <w:t>Where do you see potential for social innovation in this area, such as co-designed land use plans, interactive mapping platforms, or community audits of zoning processes?</w:t>
      </w:r>
    </w:p>
    <w:p w:rsidR="00753C1A" w:rsidRDefault="00753C1A" w:rsidP="00753C1A">
      <w:pPr>
        <w:spacing w:before="240" w:after="240" w:line="360" w:lineRule="auto"/>
        <w:jc w:val="both"/>
        <w:rPr>
          <w:rFonts w:ascii="Arial" w:eastAsia="Arial" w:hAnsi="Arial" w:cs="Arial"/>
          <w:b/>
          <w:bCs/>
          <w:color w:val="506E96"/>
          <w:sz w:val="24"/>
          <w:szCs w:val="24"/>
        </w:rPr>
      </w:pPr>
    </w:p>
    <w:p w:rsidR="00753C1A" w:rsidRDefault="00753C1A" w:rsidP="00753C1A">
      <w:pPr>
        <w:spacing w:before="240" w:after="240" w:line="360" w:lineRule="auto"/>
        <w:jc w:val="both"/>
        <w:rPr>
          <w:rFonts w:ascii="Arial" w:eastAsia="Arial" w:hAnsi="Arial" w:cs="Arial"/>
          <w:b/>
          <w:bCs/>
          <w:color w:val="506E96"/>
          <w:sz w:val="24"/>
          <w:szCs w:val="24"/>
        </w:rPr>
      </w:pPr>
      <w:r>
        <w:rPr>
          <w:rFonts w:ascii="Arial" w:eastAsia="Arial" w:hAnsi="Arial" w:cs="Arial"/>
          <w:b/>
          <w:bCs/>
          <w:color w:val="506E96"/>
          <w:sz w:val="24"/>
          <w:szCs w:val="24"/>
        </w:rPr>
        <w:t>Link to actor landscape (see Results section)</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lastRenderedPageBreak/>
        <w:t>Actors listed in the Actor Table include regional planners, local councils, SESU (data provider), Ministry for Restoration, environmental agencies, and land management offices. Accordingly:</w:t>
      </w:r>
    </w:p>
    <w:p w:rsidR="00753C1A" w:rsidRDefault="00753C1A" w:rsidP="00753C1A">
      <w:pPr>
        <w:numPr>
          <w:ilvl w:val="0"/>
          <w:numId w:val="1"/>
        </w:numPr>
        <w:spacing w:after="0" w:line="360" w:lineRule="auto"/>
        <w:rPr>
          <w:rFonts w:ascii="Arial" w:eastAsia="Arial" w:hAnsi="Arial" w:cs="Arial"/>
          <w:sz w:val="24"/>
          <w:szCs w:val="24"/>
        </w:rPr>
      </w:pPr>
      <w:r>
        <w:rPr>
          <w:rFonts w:ascii="Arial" w:eastAsia="Arial" w:hAnsi="Arial" w:cs="Arial"/>
          <w:sz w:val="24"/>
          <w:szCs w:val="24"/>
        </w:rPr>
        <w:t>Q37/ 38 test current practices against this model, focusing on local and oblast actors.</w:t>
      </w:r>
    </w:p>
    <w:p w:rsidR="00753C1A" w:rsidRDefault="00753C1A" w:rsidP="00753C1A">
      <w:pPr>
        <w:numPr>
          <w:ilvl w:val="0"/>
          <w:numId w:val="1"/>
        </w:numPr>
        <w:spacing w:after="0" w:line="360" w:lineRule="auto"/>
        <w:rPr>
          <w:rFonts w:ascii="Arial" w:eastAsia="Arial" w:hAnsi="Arial" w:cs="Arial"/>
          <w:sz w:val="24"/>
          <w:szCs w:val="24"/>
        </w:rPr>
      </w:pPr>
      <w:r>
        <w:rPr>
          <w:rFonts w:ascii="Arial" w:eastAsia="Arial" w:hAnsi="Arial" w:cs="Arial"/>
          <w:sz w:val="24"/>
          <w:szCs w:val="24"/>
        </w:rPr>
        <w:t>Q39 explores technical, legal, and political coordination gaps flagged in the Actor Table.</w:t>
      </w:r>
    </w:p>
    <w:p w:rsidR="00753C1A" w:rsidRDefault="00753C1A" w:rsidP="00753C1A">
      <w:pPr>
        <w:numPr>
          <w:ilvl w:val="0"/>
          <w:numId w:val="1"/>
        </w:numPr>
        <w:spacing w:after="0" w:line="360" w:lineRule="auto"/>
        <w:rPr>
          <w:rFonts w:ascii="Arial" w:eastAsia="Arial" w:hAnsi="Arial" w:cs="Arial"/>
          <w:sz w:val="24"/>
          <w:szCs w:val="24"/>
        </w:rPr>
      </w:pPr>
      <w:r>
        <w:rPr>
          <w:rFonts w:ascii="Arial" w:eastAsia="Arial" w:hAnsi="Arial" w:cs="Arial"/>
          <w:sz w:val="24"/>
          <w:szCs w:val="24"/>
        </w:rPr>
        <w:t>Q40/ 41 address participatory governance, including how local actors contribute to spatial planning.</w:t>
      </w:r>
    </w:p>
    <w:p w:rsidR="00753C1A" w:rsidRDefault="00753C1A" w:rsidP="00753C1A">
      <w:pPr>
        <w:numPr>
          <w:ilvl w:val="0"/>
          <w:numId w:val="1"/>
        </w:numPr>
        <w:spacing w:after="240" w:line="360" w:lineRule="auto"/>
        <w:rPr>
          <w:rFonts w:ascii="Arial" w:eastAsia="Arial" w:hAnsi="Arial" w:cs="Arial"/>
          <w:sz w:val="24"/>
          <w:szCs w:val="24"/>
        </w:rPr>
      </w:pPr>
      <w:r>
        <w:rPr>
          <w:rFonts w:ascii="Arial" w:eastAsia="Arial" w:hAnsi="Arial" w:cs="Arial"/>
          <w:sz w:val="24"/>
          <w:szCs w:val="24"/>
        </w:rPr>
        <w:t>Q42 introduces innovation framing tied to actors involved in land management, digital mapping, and returnee consultation.</w:t>
      </w:r>
    </w:p>
    <w:p w:rsidR="00753C1A" w:rsidRDefault="00753C1A" w:rsidP="00753C1A">
      <w:pPr>
        <w:spacing w:before="240" w:line="256" w:lineRule="auto"/>
        <w:jc w:val="both"/>
        <w:rPr>
          <w:rFonts w:ascii="Arial" w:eastAsia="Arial" w:hAnsi="Arial" w:cs="Arial"/>
          <w:sz w:val="24"/>
          <w:szCs w:val="24"/>
        </w:rPr>
      </w:pPr>
    </w:p>
    <w:p w:rsidR="00753C1A" w:rsidRDefault="00753C1A" w:rsidP="00753C1A">
      <w:pPr>
        <w:spacing w:before="240" w:after="240" w:line="360" w:lineRule="auto"/>
        <w:jc w:val="both"/>
        <w:rPr>
          <w:rFonts w:ascii="Arial" w:eastAsia="Arial" w:hAnsi="Arial" w:cs="Arial"/>
          <w:color w:val="506E96"/>
          <w:sz w:val="24"/>
          <w:szCs w:val="24"/>
        </w:rPr>
      </w:pPr>
      <w:r>
        <w:rPr>
          <w:rFonts w:ascii="Arial" w:eastAsia="Arial" w:hAnsi="Arial" w:cs="Arial"/>
          <w:color w:val="506E96"/>
          <w:sz w:val="24"/>
          <w:szCs w:val="24"/>
        </w:rPr>
        <w:t>Rationale for complementary open-ended questions</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In addition to the strategy-specific prompts, we included a small set of broader, open-ended questions to give respondents space to raise cross-cutting issues, share specific examples, or reflect on aspects that may not surface through structured questions. These prompts are intended to capture more of the lived complexity of Ukraine’s demining and recovery efforts, including local innovations, institutional tensions, and practical constraints. They also allow us to identify emerging themes and context-specific dynamics that could inform future strategy development. And, it helps us better tailoring the globally derived strategy types to Ukraine’s specific institutional, ecological, and social realities.</w:t>
      </w:r>
    </w:p>
    <w:p w:rsidR="00753C1A" w:rsidRDefault="00753C1A" w:rsidP="00753C1A">
      <w:pPr>
        <w:numPr>
          <w:ilvl w:val="0"/>
          <w:numId w:val="3"/>
        </w:numPr>
        <w:spacing w:before="240" w:after="0" w:line="360" w:lineRule="auto"/>
        <w:jc w:val="both"/>
        <w:rPr>
          <w:rFonts w:ascii="Arial" w:eastAsia="Arial" w:hAnsi="Arial" w:cs="Arial"/>
          <w:color w:val="783F04"/>
          <w:sz w:val="24"/>
          <w:szCs w:val="24"/>
        </w:rPr>
      </w:pPr>
      <w:r>
        <w:rPr>
          <w:rFonts w:ascii="Arial" w:eastAsia="Arial" w:hAnsi="Arial" w:cs="Arial"/>
          <w:color w:val="783F04"/>
          <w:sz w:val="24"/>
          <w:szCs w:val="24"/>
        </w:rPr>
        <w:t>Based on your experience, what are some of the biggest challenges or contradictions you've encountered in Ukraine’s post-2022 mine action and land recovery efforts?</w:t>
      </w:r>
    </w:p>
    <w:p w:rsidR="00753C1A" w:rsidRDefault="00753C1A" w:rsidP="00753C1A">
      <w:pPr>
        <w:numPr>
          <w:ilvl w:val="0"/>
          <w:numId w:val="3"/>
        </w:numPr>
        <w:spacing w:before="240" w:after="0" w:line="360" w:lineRule="auto"/>
        <w:jc w:val="both"/>
      </w:pPr>
      <w:r>
        <w:rPr>
          <w:rFonts w:ascii="Arial" w:eastAsia="Arial" w:hAnsi="Arial" w:cs="Arial"/>
          <w:i/>
          <w:iCs/>
          <w:sz w:val="24"/>
          <w:szCs w:val="24"/>
        </w:rPr>
        <w:t>(Prompts: Coordination issues? Funding gaps? Actor conflicts? Unrealistic expectations?)</w:t>
      </w:r>
    </w:p>
    <w:p w:rsidR="00753C1A" w:rsidRDefault="00753C1A" w:rsidP="00753C1A">
      <w:pPr>
        <w:numPr>
          <w:ilvl w:val="0"/>
          <w:numId w:val="3"/>
        </w:numPr>
        <w:spacing w:after="0" w:line="360" w:lineRule="auto"/>
        <w:jc w:val="both"/>
        <w:rPr>
          <w:rFonts w:ascii="Arial" w:eastAsia="Arial" w:hAnsi="Arial" w:cs="Arial"/>
          <w:color w:val="783F04"/>
          <w:sz w:val="24"/>
          <w:szCs w:val="24"/>
        </w:rPr>
      </w:pPr>
      <w:r>
        <w:rPr>
          <w:rFonts w:ascii="Arial" w:eastAsia="Arial" w:hAnsi="Arial" w:cs="Arial"/>
          <w:color w:val="783F04"/>
          <w:sz w:val="24"/>
          <w:szCs w:val="24"/>
        </w:rPr>
        <w:t xml:space="preserve"> Can you share an example—positive or negative—of a specific case, location, or project that illustrates how demining or land recovery has worked in practice?</w:t>
      </w:r>
    </w:p>
    <w:p w:rsidR="00753C1A" w:rsidRDefault="00753C1A" w:rsidP="00753C1A">
      <w:pPr>
        <w:numPr>
          <w:ilvl w:val="0"/>
          <w:numId w:val="3"/>
        </w:numPr>
        <w:spacing w:after="0" w:line="360" w:lineRule="auto"/>
        <w:jc w:val="both"/>
        <w:rPr>
          <w:rFonts w:ascii="Arial" w:eastAsia="Arial" w:hAnsi="Arial" w:cs="Arial"/>
          <w:sz w:val="24"/>
          <w:szCs w:val="24"/>
        </w:rPr>
      </w:pPr>
      <w:r>
        <w:rPr>
          <w:rFonts w:ascii="Arial" w:eastAsia="Arial" w:hAnsi="Arial" w:cs="Arial"/>
          <w:i/>
          <w:iCs/>
          <w:sz w:val="24"/>
          <w:szCs w:val="24"/>
        </w:rPr>
        <w:t>(Prompts: What made it work? Or what went wrong? Who was involved?)</w:t>
      </w:r>
    </w:p>
    <w:p w:rsidR="00753C1A" w:rsidRDefault="00753C1A" w:rsidP="00753C1A">
      <w:pPr>
        <w:numPr>
          <w:ilvl w:val="0"/>
          <w:numId w:val="3"/>
        </w:numPr>
        <w:spacing w:after="0" w:line="360" w:lineRule="auto"/>
        <w:jc w:val="both"/>
        <w:rPr>
          <w:rFonts w:ascii="Arial" w:eastAsia="Arial" w:hAnsi="Arial" w:cs="Arial"/>
          <w:color w:val="783F04"/>
          <w:sz w:val="24"/>
          <w:szCs w:val="24"/>
        </w:rPr>
      </w:pPr>
      <w:r>
        <w:rPr>
          <w:rFonts w:ascii="Arial" w:eastAsia="Arial" w:hAnsi="Arial" w:cs="Arial"/>
          <w:color w:val="783F04"/>
          <w:sz w:val="24"/>
          <w:szCs w:val="24"/>
        </w:rPr>
        <w:lastRenderedPageBreak/>
        <w:t>Where do you see the greatest need, or opportunity, for innovation, whether technical, institutional, or social, in Ukraine’s current approach to mine action?</w:t>
      </w:r>
    </w:p>
    <w:p w:rsidR="00753C1A" w:rsidRDefault="00753C1A" w:rsidP="00753C1A">
      <w:pPr>
        <w:numPr>
          <w:ilvl w:val="0"/>
          <w:numId w:val="3"/>
        </w:numPr>
        <w:spacing w:after="0" w:line="360" w:lineRule="auto"/>
        <w:jc w:val="both"/>
        <w:rPr>
          <w:rFonts w:ascii="Arial" w:eastAsia="Arial" w:hAnsi="Arial" w:cs="Arial"/>
          <w:sz w:val="24"/>
          <w:szCs w:val="24"/>
        </w:rPr>
      </w:pPr>
      <w:r>
        <w:rPr>
          <w:rFonts w:ascii="Arial" w:eastAsia="Arial" w:hAnsi="Arial" w:cs="Arial"/>
          <w:i/>
          <w:iCs/>
          <w:sz w:val="24"/>
          <w:szCs w:val="24"/>
        </w:rPr>
        <w:t>(Prompts: Who could lead this? What’s missing? Where is experimentation already happening?)</w:t>
      </w:r>
    </w:p>
    <w:p w:rsidR="00753C1A" w:rsidRDefault="00753C1A" w:rsidP="00753C1A">
      <w:pPr>
        <w:numPr>
          <w:ilvl w:val="0"/>
          <w:numId w:val="3"/>
        </w:numPr>
        <w:spacing w:after="240" w:line="360" w:lineRule="auto"/>
        <w:jc w:val="both"/>
        <w:rPr>
          <w:rFonts w:ascii="Arial" w:eastAsia="Arial" w:hAnsi="Arial" w:cs="Arial"/>
          <w:b/>
          <w:bCs/>
          <w:sz w:val="24"/>
          <w:szCs w:val="24"/>
        </w:rPr>
      </w:pPr>
      <w:r>
        <w:rPr>
          <w:rFonts w:ascii="Arial" w:eastAsia="Arial" w:hAnsi="Arial" w:cs="Arial"/>
          <w:color w:val="783F04"/>
          <w:sz w:val="24"/>
          <w:szCs w:val="24"/>
        </w:rPr>
        <w:t>Looking ahead, what do you think a “successful” mine action and land recovery process would look like in Ukraine five years from now?</w:t>
      </w:r>
    </w:p>
    <w:p w:rsidR="00753C1A" w:rsidRDefault="00753C1A" w:rsidP="00753C1A">
      <w:pPr>
        <w:numPr>
          <w:ilvl w:val="0"/>
          <w:numId w:val="3"/>
        </w:numPr>
        <w:spacing w:after="240" w:line="360" w:lineRule="auto"/>
        <w:jc w:val="both"/>
        <w:rPr>
          <w:rFonts w:ascii="Arial" w:eastAsia="Arial" w:hAnsi="Arial" w:cs="Arial"/>
          <w:sz w:val="24"/>
          <w:szCs w:val="24"/>
        </w:rPr>
      </w:pPr>
      <w:r>
        <w:rPr>
          <w:rFonts w:ascii="Arial" w:eastAsia="Arial" w:hAnsi="Arial" w:cs="Arial"/>
          <w:i/>
          <w:iCs/>
          <w:sz w:val="24"/>
          <w:szCs w:val="24"/>
        </w:rPr>
        <w:t>(Prompts: Which actors are central? What would be different from today? What risks or trade-offs remain?)</w:t>
      </w:r>
    </w:p>
    <w:p w:rsidR="00753C1A" w:rsidRDefault="00753C1A" w:rsidP="00753C1A">
      <w:pPr>
        <w:spacing w:line="360" w:lineRule="auto"/>
        <w:jc w:val="both"/>
        <w:rPr>
          <w:rFonts w:ascii="Arial" w:eastAsia="Arial" w:hAnsi="Arial" w:cs="Arial"/>
          <w:sz w:val="24"/>
          <w:szCs w:val="24"/>
        </w:rPr>
      </w:pPr>
    </w:p>
    <w:p w:rsidR="00753C1A" w:rsidRDefault="00753C1A" w:rsidP="00753C1A">
      <w:pPr>
        <w:spacing w:line="360" w:lineRule="auto"/>
        <w:jc w:val="both"/>
        <w:rPr>
          <w:rFonts w:ascii="Arial" w:eastAsia="Arial" w:hAnsi="Arial" w:cs="Arial"/>
          <w:sz w:val="24"/>
          <w:szCs w:val="24"/>
        </w:rPr>
      </w:pPr>
    </w:p>
    <w:p w:rsidR="00753C1A" w:rsidRDefault="00753C1A" w:rsidP="00753C1A">
      <w:pPr>
        <w:pStyle w:val="Heading3"/>
        <w:pBdr>
          <w:top w:val="nil"/>
          <w:left w:val="nil"/>
          <w:bottom w:val="nil"/>
          <w:right w:val="nil"/>
          <w:between w:val="nil"/>
        </w:pBdr>
        <w:spacing w:before="240" w:after="240" w:line="360" w:lineRule="auto"/>
        <w:jc w:val="both"/>
        <w:rPr>
          <w:rFonts w:ascii="Arial" w:eastAsia="Arial" w:hAnsi="Arial" w:cs="Arial"/>
          <w:color w:val="3C78D8"/>
          <w:sz w:val="24"/>
          <w:szCs w:val="24"/>
        </w:rPr>
      </w:pPr>
      <w:bookmarkStart w:id="9" w:name="_heading=h.ijusno4l76bc" w:colFirst="0" w:colLast="0"/>
      <w:bookmarkEnd w:id="9"/>
      <w:r>
        <w:rPr>
          <w:rFonts w:ascii="Arial" w:eastAsia="Arial" w:hAnsi="Arial" w:cs="Arial"/>
          <w:color w:val="3C78D8"/>
          <w:sz w:val="24"/>
          <w:szCs w:val="24"/>
        </w:rPr>
        <w:t>4.2 Coding</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This subsection documents the coding workflow used to analyze the expert interviews. It complements the description in Section 3.4 by detailing how the coding was operationalized, how analytical themes were generated and how saturation was tracked.</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Coding proceeded in three stages, corresponding to the three files provided (A, B and C). Before coding, each interview transcript was segmented into utterances. An utterance contained a single coherent idea. Segments containing multiple ideas were split, and short consecutive turns expressing the same idea were merged. This ensured consistent and analytically comparable coding units.</w:t>
      </w:r>
    </w:p>
    <w:p w:rsidR="00753C1A" w:rsidRDefault="00753C1A" w:rsidP="00753C1A">
      <w:pPr>
        <w:pStyle w:val="Heading4"/>
        <w:pBdr>
          <w:top w:val="nil"/>
          <w:left w:val="nil"/>
          <w:bottom w:val="nil"/>
          <w:right w:val="nil"/>
          <w:between w:val="nil"/>
        </w:pBdr>
        <w:rPr>
          <w:rFonts w:ascii="Arial" w:eastAsia="Arial" w:hAnsi="Arial" w:cs="Arial"/>
          <w:b/>
          <w:bCs/>
          <w:color w:val="506E96"/>
          <w:sz w:val="24"/>
          <w:szCs w:val="24"/>
        </w:rPr>
      </w:pPr>
      <w:r>
        <w:rPr>
          <w:rFonts w:ascii="Arial" w:eastAsia="Arial" w:hAnsi="Arial" w:cs="Arial"/>
          <w:b/>
          <w:bCs/>
          <w:color w:val="506E96"/>
          <w:sz w:val="24"/>
          <w:szCs w:val="24"/>
        </w:rPr>
        <w:t>S4.2.1. Strategy-type coding (0–7)</w:t>
      </w:r>
    </w:p>
    <w:p w:rsidR="00753C1A" w:rsidRDefault="00753C1A" w:rsidP="00753C1A">
      <w:pPr>
        <w:spacing w:before="240" w:after="240" w:line="360" w:lineRule="auto"/>
        <w:rPr>
          <w:rFonts w:ascii="Arial" w:eastAsia="Arial" w:hAnsi="Arial" w:cs="Arial"/>
          <w:sz w:val="24"/>
          <w:szCs w:val="24"/>
        </w:rPr>
      </w:pPr>
      <w:r>
        <w:rPr>
          <w:rFonts w:ascii="Arial" w:eastAsia="Arial" w:hAnsi="Arial" w:cs="Arial"/>
          <w:sz w:val="24"/>
          <w:szCs w:val="24"/>
        </w:rPr>
        <w:t>In the first stage, each utterance was assigned to one of the seven strategy categories, or, coded 0 if it did not relate to any strategy. Three criteria guided classification:</w:t>
      </w:r>
    </w:p>
    <w:p w:rsidR="00753C1A" w:rsidRDefault="00753C1A" w:rsidP="00753C1A">
      <w:pPr>
        <w:spacing w:before="240" w:after="240" w:line="360" w:lineRule="auto"/>
        <w:rPr>
          <w:rFonts w:ascii="Arial" w:eastAsia="Arial" w:hAnsi="Arial" w:cs="Arial"/>
          <w:b/>
          <w:bCs/>
          <w:sz w:val="24"/>
          <w:szCs w:val="24"/>
        </w:rPr>
      </w:pPr>
      <w:r>
        <w:rPr>
          <w:rFonts w:ascii="Arial" w:eastAsia="Arial" w:hAnsi="Arial" w:cs="Arial"/>
          <w:sz w:val="24"/>
          <w:szCs w:val="24"/>
        </w:rPr>
        <w:t>1. Reference to an intervention or way of acting</w:t>
      </w:r>
    </w:p>
    <w:p w:rsidR="00753C1A" w:rsidRDefault="00753C1A" w:rsidP="00753C1A">
      <w:pPr>
        <w:spacing w:before="240" w:after="240" w:line="360" w:lineRule="auto"/>
        <w:rPr>
          <w:rFonts w:ascii="Arial" w:eastAsia="Arial" w:hAnsi="Arial" w:cs="Arial"/>
          <w:sz w:val="24"/>
          <w:szCs w:val="24"/>
        </w:rPr>
      </w:pPr>
      <w:r>
        <w:rPr>
          <w:rFonts w:ascii="Arial" w:eastAsia="Arial" w:hAnsi="Arial" w:cs="Arial"/>
          <w:sz w:val="24"/>
          <w:szCs w:val="24"/>
        </w:rPr>
        <w:t>The utterance had to describe or evaluate an activity, approach or operational practice within mineaction or land recovery.</w:t>
      </w:r>
    </w:p>
    <w:p w:rsidR="00753C1A" w:rsidRDefault="00753C1A" w:rsidP="00753C1A">
      <w:pPr>
        <w:spacing w:before="240" w:after="240" w:line="360" w:lineRule="auto"/>
        <w:rPr>
          <w:rFonts w:ascii="Arial" w:eastAsia="Arial" w:hAnsi="Arial" w:cs="Arial"/>
          <w:b/>
          <w:bCs/>
          <w:sz w:val="24"/>
          <w:szCs w:val="24"/>
        </w:rPr>
      </w:pPr>
      <w:r>
        <w:rPr>
          <w:rFonts w:ascii="Arial" w:eastAsia="Arial" w:hAnsi="Arial" w:cs="Arial"/>
          <w:sz w:val="24"/>
          <w:szCs w:val="24"/>
        </w:rPr>
        <w:t>2. Clear link to the dominant logic of one of the seven strategies</w:t>
      </w:r>
    </w:p>
    <w:p w:rsidR="00753C1A" w:rsidRDefault="00753C1A" w:rsidP="00753C1A">
      <w:pPr>
        <w:spacing w:before="240" w:after="240" w:line="360" w:lineRule="auto"/>
        <w:rPr>
          <w:rFonts w:ascii="Arial" w:eastAsia="Arial" w:hAnsi="Arial" w:cs="Arial"/>
          <w:sz w:val="24"/>
          <w:szCs w:val="24"/>
        </w:rPr>
      </w:pPr>
      <w:r>
        <w:rPr>
          <w:rFonts w:ascii="Arial" w:eastAsia="Arial" w:hAnsi="Arial" w:cs="Arial"/>
          <w:sz w:val="24"/>
          <w:szCs w:val="24"/>
        </w:rPr>
        <w:lastRenderedPageBreak/>
        <w:t>The content needed to align with the functional logic of a strategy category, such as manual demining, mechanical clearance, remote sensing, community-based approaches, ecological remediation, legal and institutional frameworks or post-conflict zoning.</w:t>
      </w:r>
    </w:p>
    <w:p w:rsidR="00753C1A" w:rsidRDefault="00753C1A" w:rsidP="00753C1A">
      <w:pPr>
        <w:spacing w:before="240" w:after="240" w:line="360" w:lineRule="auto"/>
        <w:rPr>
          <w:rFonts w:ascii="Arial" w:eastAsia="Arial" w:hAnsi="Arial" w:cs="Arial"/>
          <w:b/>
          <w:bCs/>
          <w:sz w:val="24"/>
          <w:szCs w:val="24"/>
        </w:rPr>
      </w:pPr>
      <w:r>
        <w:rPr>
          <w:rFonts w:ascii="Arial" w:eastAsia="Arial" w:hAnsi="Arial" w:cs="Arial"/>
          <w:sz w:val="24"/>
          <w:szCs w:val="24"/>
        </w:rPr>
        <w:t>3. Relevance for implementation in Ukraine</w:t>
      </w:r>
    </w:p>
    <w:p w:rsidR="00753C1A" w:rsidRDefault="00753C1A" w:rsidP="00753C1A">
      <w:pPr>
        <w:spacing w:before="240" w:after="240" w:line="360" w:lineRule="auto"/>
        <w:rPr>
          <w:rFonts w:ascii="Arial" w:eastAsia="Arial" w:hAnsi="Arial" w:cs="Arial"/>
          <w:sz w:val="24"/>
          <w:szCs w:val="24"/>
        </w:rPr>
      </w:pPr>
      <w:r>
        <w:rPr>
          <w:rFonts w:ascii="Arial" w:eastAsia="Arial" w:hAnsi="Arial" w:cs="Arial"/>
          <w:sz w:val="24"/>
          <w:szCs w:val="24"/>
        </w:rPr>
        <w:t>The utterance had to speak to feasibility, constraints, opportunities, governance issues or practical considerations in the Ukrainian context. Purely descriptive comments without implications for practice were coded as 0.</w:t>
      </w:r>
    </w:p>
    <w:p w:rsidR="00753C1A" w:rsidRDefault="00753C1A" w:rsidP="00753C1A">
      <w:pPr>
        <w:spacing w:before="240" w:after="240" w:line="360" w:lineRule="auto"/>
        <w:rPr>
          <w:rFonts w:ascii="Arial" w:eastAsia="Arial" w:hAnsi="Arial" w:cs="Arial"/>
          <w:sz w:val="24"/>
          <w:szCs w:val="24"/>
        </w:rPr>
      </w:pPr>
      <w:r>
        <w:rPr>
          <w:rFonts w:ascii="Arial" w:eastAsia="Arial" w:hAnsi="Arial" w:cs="Arial"/>
          <w:sz w:val="24"/>
          <w:szCs w:val="24"/>
        </w:rPr>
        <w:t>Coders documented a short rationale for each assignment, which provided the basis for the intercoder reliability check reported in Section 3.4.</w:t>
      </w:r>
    </w:p>
    <w:p w:rsidR="00753C1A" w:rsidRDefault="00753C1A" w:rsidP="00753C1A">
      <w:pPr>
        <w:spacing w:before="240" w:after="240" w:line="360" w:lineRule="auto"/>
        <w:rPr>
          <w:rFonts w:ascii="Arial" w:eastAsia="Arial" w:hAnsi="Arial" w:cs="Arial"/>
          <w:sz w:val="24"/>
          <w:szCs w:val="24"/>
        </w:rPr>
      </w:pPr>
    </w:p>
    <w:p w:rsidR="00753C1A" w:rsidRDefault="00753C1A" w:rsidP="00753C1A">
      <w:pPr>
        <w:pStyle w:val="Heading4"/>
        <w:pBdr>
          <w:top w:val="nil"/>
          <w:left w:val="nil"/>
          <w:bottom w:val="nil"/>
          <w:right w:val="nil"/>
          <w:between w:val="nil"/>
        </w:pBdr>
        <w:rPr>
          <w:rFonts w:ascii="Arial" w:eastAsia="Arial" w:hAnsi="Arial" w:cs="Arial"/>
          <w:b/>
          <w:bCs/>
          <w:color w:val="506E96"/>
          <w:sz w:val="24"/>
          <w:szCs w:val="24"/>
        </w:rPr>
      </w:pPr>
      <w:r>
        <w:rPr>
          <w:rFonts w:ascii="Arial" w:eastAsia="Arial" w:hAnsi="Arial" w:cs="Arial"/>
          <w:b/>
          <w:bCs/>
          <w:color w:val="506E96"/>
          <w:sz w:val="24"/>
          <w:szCs w:val="24"/>
        </w:rPr>
        <w:t>S4.2.2. Theme formulation (one-sentence summaries + canonical labels)</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In the second stage, each utterance was condensed into a one-sentence summary capturing its essential meaning. Similar summaries were grouped and consolidated into canonical themes. This produced the final set of roughly one hundred analytical themes that structure the Results section. The resulting canonical themes are presented in Table S4.2, which also illustrates how individual utterances were abstracted into cross-interview thematic categories.</w:t>
      </w:r>
    </w:p>
    <w:p w:rsidR="00753C1A" w:rsidRDefault="00753C1A" w:rsidP="00753C1A">
      <w:pPr>
        <w:pStyle w:val="Heading4"/>
        <w:pBdr>
          <w:top w:val="nil"/>
          <w:left w:val="nil"/>
          <w:bottom w:val="nil"/>
          <w:right w:val="nil"/>
          <w:between w:val="nil"/>
        </w:pBdr>
        <w:rPr>
          <w:rFonts w:ascii="Arial" w:eastAsia="Arial" w:hAnsi="Arial" w:cs="Arial"/>
          <w:b/>
          <w:bCs/>
          <w:color w:val="506E96"/>
          <w:sz w:val="24"/>
          <w:szCs w:val="24"/>
        </w:rPr>
      </w:pPr>
      <w:r>
        <w:rPr>
          <w:rFonts w:ascii="Arial" w:eastAsia="Arial" w:hAnsi="Arial" w:cs="Arial"/>
          <w:b/>
          <w:bCs/>
          <w:color w:val="506E96"/>
          <w:sz w:val="24"/>
          <w:szCs w:val="24"/>
        </w:rPr>
        <w:t>S4.2.3. Saturation tracking</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The third stage involved assessing saturation. A saturation grid recorded when each canonical theme first appeared across interviews. This provided the basis for the cumulative saturation curve (Figure S4.2). The curve captures theme-level emergence rather than saturation of the seven strategy categories.</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As described in the main text, saturation was assessed at two levels. Conceptual saturation was reached at the strategy level once at least three independent experts discussed a strategy without adding new validation or critique. Thematic saturation was assessed separately and reflects the progressive identification of second-order analytical themes across interviews. Our aim was analytical depth rather than representativeness.</w:t>
      </w:r>
    </w:p>
    <w:p w:rsidR="00753C1A" w:rsidRDefault="00753C1A" w:rsidP="00753C1A">
      <w:pPr>
        <w:spacing w:before="240" w:after="240" w:line="360" w:lineRule="auto"/>
        <w:jc w:val="both"/>
        <w:rPr>
          <w:rFonts w:ascii="Arial" w:eastAsia="Arial" w:hAnsi="Arial" w:cs="Arial"/>
          <w:sz w:val="24"/>
          <w:szCs w:val="24"/>
        </w:rPr>
      </w:pPr>
    </w:p>
    <w:p w:rsidR="00753C1A" w:rsidRDefault="00753C1A" w:rsidP="00753C1A">
      <w:pPr>
        <w:spacing w:before="240" w:after="240" w:line="360" w:lineRule="auto"/>
        <w:jc w:val="both"/>
        <w:rPr>
          <w:rFonts w:ascii="Arial" w:eastAsia="Arial" w:hAnsi="Arial" w:cs="Arial"/>
          <w:sz w:val="24"/>
          <w:szCs w:val="24"/>
        </w:rPr>
      </w:pPr>
    </w:p>
    <w:p w:rsidR="00753C1A" w:rsidRDefault="00753C1A" w:rsidP="00753C1A">
      <w:pPr>
        <w:spacing w:before="240" w:after="240" w:line="360" w:lineRule="auto"/>
        <w:jc w:val="both"/>
        <w:rPr>
          <w:rFonts w:ascii="Arial" w:eastAsia="Arial" w:hAnsi="Arial" w:cs="Arial"/>
          <w:sz w:val="24"/>
          <w:szCs w:val="24"/>
        </w:rPr>
      </w:pPr>
    </w:p>
    <w:p w:rsidR="00753C1A" w:rsidRDefault="00753C1A" w:rsidP="00753C1A">
      <w:pPr>
        <w:spacing w:before="240" w:after="240" w:line="360" w:lineRule="auto"/>
        <w:jc w:val="both"/>
        <w:rPr>
          <w:rFonts w:ascii="Arial" w:eastAsia="Arial" w:hAnsi="Arial" w:cs="Arial"/>
          <w:sz w:val="24"/>
          <w:szCs w:val="24"/>
        </w:rPr>
      </w:pPr>
    </w:p>
    <w:p w:rsidR="00753C1A" w:rsidRDefault="00753C1A" w:rsidP="00753C1A">
      <w:pPr>
        <w:spacing w:before="240" w:after="240" w:line="360" w:lineRule="auto"/>
        <w:jc w:val="both"/>
        <w:rPr>
          <w:rFonts w:ascii="Arial" w:eastAsia="Arial" w:hAnsi="Arial" w:cs="Arial"/>
          <w:sz w:val="24"/>
          <w:szCs w:val="24"/>
        </w:rPr>
      </w:pPr>
    </w:p>
    <w:p w:rsidR="00753C1A" w:rsidRDefault="00753C1A" w:rsidP="00753C1A">
      <w:pPr>
        <w:spacing w:before="240" w:after="240" w:line="360" w:lineRule="auto"/>
        <w:jc w:val="both"/>
        <w:rPr>
          <w:rFonts w:ascii="Arial" w:eastAsia="Arial" w:hAnsi="Arial" w:cs="Arial"/>
          <w:sz w:val="24"/>
          <w:szCs w:val="24"/>
        </w:rPr>
      </w:pPr>
    </w:p>
    <w:p w:rsidR="00753C1A" w:rsidRDefault="00753C1A" w:rsidP="00753C1A">
      <w:pPr>
        <w:rPr>
          <w:rFonts w:ascii="Arial" w:eastAsia="Arial" w:hAnsi="Arial" w:cs="Arial"/>
          <w:sz w:val="16"/>
          <w:szCs w:val="16"/>
        </w:rPr>
      </w:pPr>
      <w:bookmarkStart w:id="10" w:name="_heading=h.5g66zn24wwc3" w:colFirst="0" w:colLast="0"/>
      <w:bookmarkEnd w:id="10"/>
      <w:r>
        <w:rPr>
          <w:rFonts w:ascii="Arial" w:eastAsia="Arial" w:hAnsi="Arial" w:cs="Arial"/>
          <w:sz w:val="16"/>
          <w:szCs w:val="16"/>
        </w:rPr>
        <w:t>Table S4.2. Canonical themes from the expert interview analysis. Each theme includes: (i) its unique ID, (ii) the assigned strategy category (1–7) and (iii) its canonical label. These labels are analytical summaries used to consolidate and organise the coded material and are not intended to stand as standalone statements.</w:t>
      </w:r>
    </w:p>
    <w:tbl>
      <w:tblPr>
        <w:tblW w:w="9068" w:type="dxa"/>
        <w:tblBorders>
          <w:top w:val="nil"/>
          <w:left w:val="nil"/>
          <w:bottom w:val="nil"/>
          <w:right w:val="nil"/>
          <w:insideH w:val="nil"/>
          <w:insideV w:val="nil"/>
        </w:tblBorders>
        <w:tblLayout w:type="fixed"/>
        <w:tblLook w:val="0600" w:firstRow="0" w:lastRow="0" w:firstColumn="0" w:lastColumn="0" w:noHBand="1" w:noVBand="1"/>
      </w:tblPr>
      <w:tblGrid>
        <w:gridCol w:w="1088"/>
        <w:gridCol w:w="6922"/>
        <w:gridCol w:w="1058"/>
      </w:tblGrid>
      <w:tr w:rsidR="00753C1A" w:rsidTr="003A5549">
        <w:trPr>
          <w:trHeight w:val="740"/>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Theme ID</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Canonical label</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Strategy (1–7)</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T001</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Manual demining with hand tools, testimonies, and maps</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1</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T002</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Environment Ministry to lead coordination of manual demining</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1</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T003</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Channel skills and funding to community and NGO actors</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4</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T004</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Trusted local institutions as channels for mine risk education</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4</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T005</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Mechanical demining needed, but terrain and cost limit use</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2</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T006</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Local OEM and assembly for mechanical demining equipment</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2</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T007</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Calibration standards and insurance constraints on mechanical demining</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2</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T008</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Contractor- and consultant-led IMSMA (Information Management System for Mine Action) development</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6</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lastRenderedPageBreak/>
              <w:t>T009</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Legal and military access constraints on scaling governance</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6</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T010</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Align mine-action governance with NEAP and Rio/BRS frameworks</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6</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T011</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Dependence on volatile international donor funding</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6</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T012</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Parallel, practice-based regional capacity building for governance</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6</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T013</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Embed mine-action legacies via legal, social, and financial reforms</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6</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T014</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Post-conflict hub-and-spoke coordination with regional donor assignment</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6</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T015</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Systemic legal, political, technical, and financial bottlenecks to land-use planning</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7</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T016</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Ukrainian-owned sector with aligned donor and INGO incentives</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6</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T017</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Open global geospatial platforms for pre-clearance mapping and prioritization</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3</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T018</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Fragmented small-scale AI pilots in remote sensing/ mapping</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3</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T019</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Calibration and reporting authorization barriers to scaling remote sensing</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3</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T020</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Open, collaborative editor for remote-sensing hazard mapping</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3</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T021</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GIS plus surveyor and legal capacity for pre-return planning</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3</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T022</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Enterprise-grade GIS for participatory hazard and land-use mapping</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3</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lastRenderedPageBreak/>
              <w:t>T023</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Strong domestic science base for ecological remediation planning</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5</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T024</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Decision-tree guidance for remediation in rare/ fragile ecosystems</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5</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T025</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EU/ Rio-aligned environmental finance for post-clearance ecosystem recovery</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5</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T026</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Link demining to soil and land restoration targets</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5</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T027</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Land-use planning constrained by limited access to current-generation tech</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7</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T028</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E-government and SaaS capacity gaps in land-use planning</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7</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T029</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Manual metal-detector lanes in metal-cluttered frontlines</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1</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T030</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High-sensitivity manual search for low-metal/ plastic mines</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1</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T031</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Frozen ground halts manual probing and makes operations seasonal</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1</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T032</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Winter stand-down used for training manual clearance crews</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1</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T033</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Canopy density/ type constrain UAV-based detection</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3</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T034</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AI anomaly detection with human review to triage UAV imagery</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3</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T035</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COTS drones: resolution–coverage trade-off; data collection is the bottleneck</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3</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T036</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Democratized drone imaging for non-expert data collection</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4</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lastRenderedPageBreak/>
              <w:t>T037</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Cloud processing easy; UAV data capture limits scale</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3</w:t>
            </w:r>
          </w:p>
        </w:tc>
      </w:tr>
      <w:tr w:rsidR="00753C1A" w:rsidTr="003A5549">
        <w:trPr>
          <w:trHeight w:val="740"/>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T038</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Standardized hazard status recorded in IMSMA (Information Management System for Mine Action)</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6</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T039</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SOPs (Standard Operating Processes) place and updateable; coordination bottleneck</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6</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T040</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Civilian mine action centers coordinate clearance; military minefields remain opaque</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6</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T041</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Open-market auction pilots for demining contracts</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6</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T042</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Explosive ordnance risk education for children and communities</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4</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T043</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Risks of flailing in mechanical demining</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2</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T044</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Uncertainty of flailing depth effectiveness</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2</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T045</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Commercial pushback on costly clearance</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7</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T046</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Mapping and sensing to support farmer confidence</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3</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T047</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Illegal or black-market demining</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6</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T048</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Heavy roller equipment in mechanical demining</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2</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T049</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Soil compaction from mechanical clearance</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2</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T050</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Governance bias towards large-scale agriculture</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6</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lastRenderedPageBreak/>
              <w:t>T051</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Soil contamination in/ around craters</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5</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T052</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Regulations on safe soil sampling depth</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5</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T053</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Scaling challenges in crater soil sampling</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5</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T054</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Community divisions in soil science approaches</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4</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T055</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High costs of conventional soil sampling</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5</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T056</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Mobile soil labs and sustainability risks</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5</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T057</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Trader-driven soil safety concerns</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4</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T058</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Scale shifts priorities in Ukraine</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6</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T059</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Scaling land release with remote sensing</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3</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T060</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Manual release of land after clearance</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3</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T061</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Value of local knowledge in soil assessments</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4</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T062</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Interdisciplinary coordination needs</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6</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T063</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Spectrometry for soil element detection</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3</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T064</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pH management for heavy metal control</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5</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lastRenderedPageBreak/>
              <w:t>T065</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Advanced soil restoration measures</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5</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T066</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Balancing manual and mechanical clearance in forest shelterbelts</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1</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T067</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Governance gaps in demining strategy choice</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6</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T068</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Firewood dependence undermines shelterbelt restoration</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5</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T069</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Shelterbelt silviculture for sustainable firewood supply</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5</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T070</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Unclear shelterbelt landownership undermines governance and long-term planning</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7</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T071</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Governance gap in shelterbelt restoration and clearance</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6</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T072</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Lack of community ownership undermines shelterbelt projects and restoration</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4</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T073</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Crisis conditions undermine land-use planning priorities</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7</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T074</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Small farmers lack decision power in shelterbelt clearance</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6</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T075</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Community disengagement and veteran reintegration into demining</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4</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T076</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NGO capacity surpasses state actors in demining</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6</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T077</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Workforce shortages and gender gap in demining</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6</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T078</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Crisis-driven innovation in demining and restoration</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6</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lastRenderedPageBreak/>
              <w:t>T079</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Replicability of Ukrainian demining and restoration practices</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6</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T080</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Weak state surveys undermine demining quality and trust</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6</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T081</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NGOs ensure higher accountability; training gaps remain</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6</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T082</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Urgency of speeding demining operations</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6</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T083</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Agriculture prioritized over forest demining by institutions</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7</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T084</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Expanding legislative attention to environmental dimensions of demining</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6</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T085</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Proliferation of stakeholders complicates mineaction governance</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6</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T086</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Collaboration and adaptive legislation as keys for mineaction reform</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6</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T087</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Bureaucracy slows large international NGOs</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6</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T088</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Coordination and expertise needed for efficient demining governance</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6</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T089</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Diverse risk education and victim assistance programs</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4</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T090</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Integrating combat records and remote sensing for contamination mapping</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3</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T091</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Human safety and fire risk as demining priorities</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7</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T092</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Permanent exclusion zones in inaccessible ecosystems</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7</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lastRenderedPageBreak/>
              <w:t>T093</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Governance and incentive mechanisms for forest demining</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6</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T094</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Linking remediation science with long-term recovery</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5</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T095</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Economic disincentives to report contamination</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4</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T096</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Translating remediation research into practice</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5</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T097</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Dissemination networks for farmer education on remediation</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4</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T098</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Forest edges/ shelterbelts treated as high-risk buffer zones requiring prioritized clearance</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7</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T099</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Deep plowing and mineral irrigation as remediation methods</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5</w:t>
            </w:r>
          </w:p>
        </w:tc>
      </w:tr>
      <w:tr w:rsidR="00753C1A" w:rsidTr="003A5549">
        <w:trPr>
          <w:trHeight w:val="485"/>
        </w:trPr>
        <w:tc>
          <w:tcPr>
            <w:tcW w:w="108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T100</w:t>
            </w:r>
          </w:p>
        </w:tc>
        <w:tc>
          <w:tcPr>
            <w:tcW w:w="6922"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Dam restoration as foundation for long-term land recovery</w:t>
            </w:r>
          </w:p>
        </w:tc>
        <w:tc>
          <w:tcPr>
            <w:tcW w:w="1058" w:type="dxa"/>
            <w:tcBorders>
              <w:top w:val="nil"/>
              <w:left w:val="nil"/>
              <w:bottom w:val="nil"/>
              <w:right w:val="nil"/>
            </w:tcBorders>
            <w:tcMar>
              <w:top w:w="100" w:type="dxa"/>
              <w:left w:w="100" w:type="dxa"/>
              <w:bottom w:w="100" w:type="dxa"/>
              <w:right w:w="100" w:type="dxa"/>
            </w:tcMar>
          </w:tcPr>
          <w:p w:rsidR="00753C1A" w:rsidRDefault="00753C1A" w:rsidP="003A5549">
            <w:pPr>
              <w:spacing w:before="240" w:after="240" w:line="360" w:lineRule="auto"/>
              <w:jc w:val="both"/>
              <w:rPr>
                <w:rFonts w:ascii="Arial" w:eastAsia="Arial" w:hAnsi="Arial" w:cs="Arial"/>
                <w:sz w:val="16"/>
                <w:szCs w:val="16"/>
              </w:rPr>
            </w:pPr>
            <w:r>
              <w:rPr>
                <w:rFonts w:ascii="Arial" w:eastAsia="Arial" w:hAnsi="Arial" w:cs="Arial"/>
                <w:sz w:val="16"/>
                <w:szCs w:val="16"/>
              </w:rPr>
              <w:t>5</w:t>
            </w:r>
          </w:p>
        </w:tc>
      </w:tr>
    </w:tbl>
    <w:p w:rsidR="00753C1A" w:rsidRDefault="00753C1A" w:rsidP="00753C1A">
      <w:pPr>
        <w:spacing w:before="240" w:after="240" w:line="360" w:lineRule="auto"/>
        <w:jc w:val="both"/>
        <w:rPr>
          <w:rFonts w:ascii="Arial" w:eastAsia="Arial" w:hAnsi="Arial" w:cs="Arial"/>
          <w:sz w:val="24"/>
          <w:szCs w:val="24"/>
        </w:rPr>
      </w:pPr>
    </w:p>
    <w:p w:rsidR="00753C1A" w:rsidRDefault="00753C1A" w:rsidP="00753C1A">
      <w:pPr>
        <w:spacing w:before="240" w:after="240" w:line="360" w:lineRule="auto"/>
        <w:jc w:val="both"/>
        <w:rPr>
          <w:rFonts w:ascii="Arial" w:eastAsia="Arial" w:hAnsi="Arial" w:cs="Arial"/>
          <w:sz w:val="24"/>
          <w:szCs w:val="24"/>
        </w:rPr>
      </w:pPr>
    </w:p>
    <w:p w:rsidR="00753C1A" w:rsidRDefault="00753C1A" w:rsidP="00753C1A">
      <w:pPr>
        <w:spacing w:line="360" w:lineRule="auto"/>
        <w:jc w:val="both"/>
        <w:rPr>
          <w:rFonts w:ascii="Arial" w:eastAsia="Arial" w:hAnsi="Arial" w:cs="Arial"/>
          <w:sz w:val="24"/>
          <w:szCs w:val="24"/>
        </w:rPr>
      </w:pPr>
      <w:r>
        <w:rPr>
          <w:rFonts w:ascii="Arial" w:eastAsia="Arial" w:hAnsi="Arial" w:cs="Arial"/>
          <w:noProof/>
          <w:sz w:val="24"/>
          <w:szCs w:val="24"/>
          <w:lang w:eastAsia="en-IN"/>
        </w:rPr>
        <w:lastRenderedPageBreak/>
        <w:drawing>
          <wp:inline distT="114300" distB="114300" distL="114300" distR="114300" wp14:anchorId="13746CE4" wp14:editId="748235CD">
            <wp:extent cx="5760410" cy="3492500"/>
            <wp:effectExtent l="0" t="0" r="0" b="0"/>
            <wp:docPr id="2" name="image2.png" descr="A graph with a red line&#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png" descr="A graph with a red line&#10;&#10;AI-generated content may be incorrect."/>
                    <pic:cNvPicPr preferRelativeResize="0"/>
                  </pic:nvPicPr>
                  <pic:blipFill>
                    <a:blip r:embed="rId11"/>
                    <a:srcRect/>
                    <a:stretch>
                      <a:fillRect/>
                    </a:stretch>
                  </pic:blipFill>
                  <pic:spPr>
                    <a:xfrm>
                      <a:off x="0" y="0"/>
                      <a:ext cx="5760410" cy="3492500"/>
                    </a:xfrm>
                    <a:prstGeom prst="rect">
                      <a:avLst/>
                    </a:prstGeom>
                    <a:ln/>
                  </pic:spPr>
                </pic:pic>
              </a:graphicData>
            </a:graphic>
          </wp:inline>
        </w:drawing>
      </w:r>
    </w:p>
    <w:p w:rsidR="00753C1A" w:rsidRDefault="00753C1A" w:rsidP="00753C1A">
      <w:pPr>
        <w:spacing w:line="360" w:lineRule="auto"/>
        <w:jc w:val="both"/>
        <w:rPr>
          <w:rFonts w:ascii="Arial" w:eastAsia="Arial" w:hAnsi="Arial" w:cs="Arial"/>
          <w:sz w:val="18"/>
          <w:szCs w:val="18"/>
        </w:rPr>
      </w:pPr>
      <w:r>
        <w:rPr>
          <w:rFonts w:ascii="Arial" w:eastAsia="Arial" w:hAnsi="Arial" w:cs="Arial"/>
          <w:sz w:val="18"/>
          <w:szCs w:val="18"/>
        </w:rPr>
        <w:t xml:space="preserve">Figure S4.2. </w:t>
      </w:r>
      <w:r>
        <w:rPr>
          <w:rFonts w:ascii="Arial" w:eastAsia="Arial" w:hAnsi="Arial" w:cs="Arial"/>
          <w:sz w:val="20"/>
          <w:szCs w:val="20"/>
        </w:rPr>
        <w:t xml:space="preserve">Saturation curve across the nine expert interviews. </w:t>
      </w:r>
      <w:r>
        <w:rPr>
          <w:rFonts w:ascii="Arial" w:eastAsia="Arial" w:hAnsi="Arial" w:cs="Arial"/>
          <w:sz w:val="18"/>
          <w:szCs w:val="18"/>
        </w:rPr>
        <w:t>The curve shows the cumulative emergence of unique themes (y-axis) over Interviews 1–9 (x-axis). Note: The saturation curve reflects the emergence of second-order analytical themes across interviews. Conceptual saturation at the level of the seven strategy categories was assessed separately and was reached once at least three independent experts discussed a strategy without adding new validation or critique.</w:t>
      </w:r>
    </w:p>
    <w:p w:rsidR="00753C1A" w:rsidRDefault="00753C1A" w:rsidP="00753C1A">
      <w:pPr>
        <w:spacing w:line="360" w:lineRule="auto"/>
        <w:jc w:val="both"/>
        <w:rPr>
          <w:rFonts w:ascii="Arial" w:eastAsia="Arial" w:hAnsi="Arial" w:cs="Arial"/>
          <w:sz w:val="18"/>
          <w:szCs w:val="18"/>
        </w:rPr>
      </w:pPr>
    </w:p>
    <w:p w:rsidR="00753C1A" w:rsidRDefault="00753C1A" w:rsidP="00753C1A">
      <w:pPr>
        <w:spacing w:line="360" w:lineRule="auto"/>
        <w:jc w:val="both"/>
        <w:rPr>
          <w:rFonts w:ascii="Arial" w:eastAsia="Arial" w:hAnsi="Arial" w:cs="Arial"/>
          <w:sz w:val="18"/>
          <w:szCs w:val="18"/>
        </w:rPr>
      </w:pPr>
    </w:p>
    <w:p w:rsidR="00753C1A" w:rsidRDefault="00753C1A" w:rsidP="00753C1A">
      <w:pPr>
        <w:pStyle w:val="Heading3"/>
        <w:rPr>
          <w:rFonts w:ascii="Arial" w:eastAsia="Arial" w:hAnsi="Arial" w:cs="Arial"/>
          <w:color w:val="3C78D8"/>
          <w:sz w:val="24"/>
          <w:szCs w:val="24"/>
        </w:rPr>
      </w:pPr>
      <w:r>
        <w:rPr>
          <w:rFonts w:ascii="Arial" w:eastAsia="Arial" w:hAnsi="Arial" w:cs="Arial"/>
          <w:color w:val="3C78D8"/>
          <w:sz w:val="24"/>
          <w:szCs w:val="24"/>
        </w:rPr>
        <w:t>References S4</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Elliott, J., 2005. Using narrative in social research: Qualitative and quantitative approaches.</w:t>
      </w:r>
    </w:p>
    <w:p w:rsidR="00753C1A" w:rsidRDefault="00753C1A" w:rsidP="00753C1A">
      <w:pPr>
        <w:spacing w:before="240" w:after="240" w:line="360" w:lineRule="auto"/>
        <w:jc w:val="both"/>
        <w:rPr>
          <w:rFonts w:ascii="Arial" w:eastAsia="Arial" w:hAnsi="Arial" w:cs="Arial"/>
          <w:sz w:val="24"/>
          <w:szCs w:val="24"/>
        </w:rPr>
      </w:pPr>
      <w:r>
        <w:rPr>
          <w:rFonts w:ascii="Arial" w:eastAsia="Arial" w:hAnsi="Arial" w:cs="Arial"/>
          <w:sz w:val="24"/>
          <w:szCs w:val="24"/>
        </w:rPr>
        <w:t>Leavy, P., 2016. Fiction as research practice: Short stories, novellas, and novels. Routledge. https://doi.org/10.4324/9781315428499</w:t>
      </w:r>
    </w:p>
    <w:p w:rsidR="00EE0F52" w:rsidRDefault="00EE0F52"/>
    <w:sectPr w:rsidR="00EE0F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Lucida Sans">
    <w:altName w:val="Lucida Sans Unicode"/>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6B18FC"/>
    <w:multiLevelType w:val="multilevel"/>
    <w:tmpl w:val="7A883B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A38337B"/>
    <w:multiLevelType w:val="multilevel"/>
    <w:tmpl w:val="7EFA9B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142873F0"/>
    <w:multiLevelType w:val="multilevel"/>
    <w:tmpl w:val="106EA8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4A659F9"/>
    <w:multiLevelType w:val="multilevel"/>
    <w:tmpl w:val="C946F6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2924918"/>
    <w:multiLevelType w:val="multilevel"/>
    <w:tmpl w:val="CDBC4F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74330FC"/>
    <w:multiLevelType w:val="multilevel"/>
    <w:tmpl w:val="CEA047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8437874"/>
    <w:multiLevelType w:val="multilevel"/>
    <w:tmpl w:val="8CC4DC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D0D3835"/>
    <w:multiLevelType w:val="multilevel"/>
    <w:tmpl w:val="26A4AC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FF94B3A"/>
    <w:multiLevelType w:val="multilevel"/>
    <w:tmpl w:val="7C6A54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1CD4FFC"/>
    <w:multiLevelType w:val="multilevel"/>
    <w:tmpl w:val="6B7C0A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A45187A"/>
    <w:multiLevelType w:val="multilevel"/>
    <w:tmpl w:val="7E6ED3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DD8379B"/>
    <w:multiLevelType w:val="multilevel"/>
    <w:tmpl w:val="FF006A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22E302E"/>
    <w:multiLevelType w:val="multilevel"/>
    <w:tmpl w:val="2000EA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6"/>
  </w:num>
  <w:num w:numId="3">
    <w:abstractNumId w:val="7"/>
  </w:num>
  <w:num w:numId="4">
    <w:abstractNumId w:val="8"/>
  </w:num>
  <w:num w:numId="5">
    <w:abstractNumId w:val="3"/>
  </w:num>
  <w:num w:numId="6">
    <w:abstractNumId w:val="9"/>
  </w:num>
  <w:num w:numId="7">
    <w:abstractNumId w:val="1"/>
  </w:num>
  <w:num w:numId="8">
    <w:abstractNumId w:val="12"/>
  </w:num>
  <w:num w:numId="9">
    <w:abstractNumId w:val="10"/>
  </w:num>
  <w:num w:numId="10">
    <w:abstractNumId w:val="11"/>
  </w:num>
  <w:num w:numId="11">
    <w:abstractNumId w:val="5"/>
  </w:num>
  <w:num w:numId="12">
    <w:abstractNumId w:val="4"/>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3C1A"/>
    <w:rsid w:val="0001643D"/>
    <w:rsid w:val="00024CEB"/>
    <w:rsid w:val="000F2157"/>
    <w:rsid w:val="000F5052"/>
    <w:rsid w:val="00102879"/>
    <w:rsid w:val="001161EF"/>
    <w:rsid w:val="00124170"/>
    <w:rsid w:val="0013025C"/>
    <w:rsid w:val="001C4CEB"/>
    <w:rsid w:val="001D68A5"/>
    <w:rsid w:val="002A1EBE"/>
    <w:rsid w:val="002F7651"/>
    <w:rsid w:val="0034235A"/>
    <w:rsid w:val="00343A7D"/>
    <w:rsid w:val="00361372"/>
    <w:rsid w:val="00436165"/>
    <w:rsid w:val="00490AFC"/>
    <w:rsid w:val="004A09B1"/>
    <w:rsid w:val="004A56F8"/>
    <w:rsid w:val="00512D67"/>
    <w:rsid w:val="00517C8E"/>
    <w:rsid w:val="005679D4"/>
    <w:rsid w:val="005A75CE"/>
    <w:rsid w:val="005D1B06"/>
    <w:rsid w:val="005E717D"/>
    <w:rsid w:val="00666336"/>
    <w:rsid w:val="006B5CBB"/>
    <w:rsid w:val="007103E4"/>
    <w:rsid w:val="00753C1A"/>
    <w:rsid w:val="00754312"/>
    <w:rsid w:val="007D472D"/>
    <w:rsid w:val="007E4F01"/>
    <w:rsid w:val="00820E4D"/>
    <w:rsid w:val="0082551B"/>
    <w:rsid w:val="00853116"/>
    <w:rsid w:val="008805E1"/>
    <w:rsid w:val="00893ADA"/>
    <w:rsid w:val="0089687A"/>
    <w:rsid w:val="00925CDB"/>
    <w:rsid w:val="009401B2"/>
    <w:rsid w:val="009657E9"/>
    <w:rsid w:val="00975F38"/>
    <w:rsid w:val="009A270F"/>
    <w:rsid w:val="009E78A7"/>
    <w:rsid w:val="00A37A12"/>
    <w:rsid w:val="00A52E1F"/>
    <w:rsid w:val="00A70F1D"/>
    <w:rsid w:val="00A82497"/>
    <w:rsid w:val="00B00A14"/>
    <w:rsid w:val="00B37E87"/>
    <w:rsid w:val="00B61754"/>
    <w:rsid w:val="00BC4EB9"/>
    <w:rsid w:val="00C351F0"/>
    <w:rsid w:val="00C417A3"/>
    <w:rsid w:val="00C751CD"/>
    <w:rsid w:val="00C92D14"/>
    <w:rsid w:val="00CE384D"/>
    <w:rsid w:val="00D107B2"/>
    <w:rsid w:val="00D32002"/>
    <w:rsid w:val="00D709F3"/>
    <w:rsid w:val="00D81B59"/>
    <w:rsid w:val="00DA7CD3"/>
    <w:rsid w:val="00EA3F3B"/>
    <w:rsid w:val="00EE0F52"/>
    <w:rsid w:val="00F23144"/>
    <w:rsid w:val="00F23AC7"/>
    <w:rsid w:val="00F46B7D"/>
    <w:rsid w:val="00FD0C9F"/>
    <w:rsid w:val="00FD256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633264-09FD-4117-968A-856E9198A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53C1A"/>
    <w:pPr>
      <w:keepNext/>
      <w:keepLines/>
      <w:tabs>
        <w:tab w:val="left" w:pos="340"/>
        <w:tab w:val="left" w:pos="567"/>
        <w:tab w:val="left" w:pos="794"/>
      </w:tabs>
      <w:spacing w:before="360" w:after="240"/>
      <w:outlineLvl w:val="0"/>
    </w:pPr>
    <w:rPr>
      <w:rFonts w:ascii="Lucida Sans" w:eastAsia="Lucida Sans" w:hAnsi="Lucida Sans" w:cs="Lucida Sans"/>
      <w:sz w:val="28"/>
      <w:szCs w:val="28"/>
      <w:lang w:val="en-GB" w:eastAsia="aa-ET"/>
    </w:rPr>
  </w:style>
  <w:style w:type="paragraph" w:styleId="Heading2">
    <w:name w:val="heading 2"/>
    <w:basedOn w:val="Normal"/>
    <w:next w:val="Normal"/>
    <w:link w:val="Heading2Char"/>
    <w:uiPriority w:val="9"/>
    <w:unhideWhenUsed/>
    <w:qFormat/>
    <w:rsid w:val="00753C1A"/>
    <w:pPr>
      <w:keepNext/>
      <w:keepLines/>
      <w:tabs>
        <w:tab w:val="left" w:pos="567"/>
        <w:tab w:val="left" w:pos="794"/>
      </w:tabs>
      <w:spacing w:before="360" w:after="120"/>
      <w:outlineLvl w:val="1"/>
    </w:pPr>
    <w:rPr>
      <w:rFonts w:ascii="Lucida Sans" w:eastAsia="Lucida Sans" w:hAnsi="Lucida Sans" w:cs="Lucida Sans"/>
      <w:b/>
      <w:bCs/>
      <w:sz w:val="19"/>
      <w:szCs w:val="19"/>
      <w:lang w:val="en-GB" w:eastAsia="aa-ET"/>
    </w:rPr>
  </w:style>
  <w:style w:type="paragraph" w:styleId="Heading3">
    <w:name w:val="heading 3"/>
    <w:basedOn w:val="Normal"/>
    <w:next w:val="Normal"/>
    <w:link w:val="Heading3Char"/>
    <w:uiPriority w:val="9"/>
    <w:unhideWhenUsed/>
    <w:qFormat/>
    <w:rsid w:val="00753C1A"/>
    <w:pPr>
      <w:keepNext/>
      <w:spacing w:after="0"/>
      <w:outlineLvl w:val="2"/>
    </w:pPr>
    <w:rPr>
      <w:rFonts w:ascii="Lucida Sans" w:eastAsia="Lucida Sans" w:hAnsi="Lucida Sans" w:cs="Lucida Sans"/>
      <w:sz w:val="19"/>
      <w:szCs w:val="19"/>
      <w:lang w:val="en-GB" w:eastAsia="aa-ET"/>
    </w:rPr>
  </w:style>
  <w:style w:type="paragraph" w:styleId="Heading4">
    <w:name w:val="heading 4"/>
    <w:basedOn w:val="Normal"/>
    <w:next w:val="Normal"/>
    <w:link w:val="Heading4Char"/>
    <w:uiPriority w:val="9"/>
    <w:unhideWhenUsed/>
    <w:qFormat/>
    <w:rsid w:val="00753C1A"/>
    <w:pPr>
      <w:keepNext/>
      <w:spacing w:after="0"/>
      <w:outlineLvl w:val="3"/>
    </w:pPr>
    <w:rPr>
      <w:rFonts w:ascii="Lucida Sans" w:eastAsia="Lucida Sans" w:hAnsi="Lucida Sans" w:cs="Lucida Sans"/>
      <w:sz w:val="19"/>
      <w:szCs w:val="19"/>
      <w:lang w:val="en-GB" w:eastAsia="aa-ET"/>
    </w:rPr>
  </w:style>
  <w:style w:type="paragraph" w:styleId="Heading5">
    <w:name w:val="heading 5"/>
    <w:basedOn w:val="Normal"/>
    <w:next w:val="Normal"/>
    <w:link w:val="Heading5Char"/>
    <w:uiPriority w:val="9"/>
    <w:semiHidden/>
    <w:unhideWhenUsed/>
    <w:qFormat/>
    <w:rsid w:val="00753C1A"/>
    <w:pPr>
      <w:spacing w:after="0"/>
      <w:outlineLvl w:val="4"/>
    </w:pPr>
    <w:rPr>
      <w:rFonts w:ascii="Lucida Sans" w:eastAsia="Lucida Sans" w:hAnsi="Lucida Sans" w:cs="Lucida Sans"/>
      <w:sz w:val="19"/>
      <w:szCs w:val="19"/>
      <w:lang w:val="en-GB" w:eastAsia="aa-ET"/>
    </w:rPr>
  </w:style>
  <w:style w:type="paragraph" w:styleId="Heading6">
    <w:name w:val="heading 6"/>
    <w:basedOn w:val="Normal"/>
    <w:next w:val="Normal"/>
    <w:link w:val="Heading6Char"/>
    <w:uiPriority w:val="9"/>
    <w:semiHidden/>
    <w:unhideWhenUsed/>
    <w:qFormat/>
    <w:rsid w:val="00753C1A"/>
    <w:pPr>
      <w:spacing w:after="0"/>
      <w:outlineLvl w:val="5"/>
    </w:pPr>
    <w:rPr>
      <w:rFonts w:ascii="Lucida Sans" w:eastAsia="Lucida Sans" w:hAnsi="Lucida Sans" w:cs="Lucida Sans"/>
      <w:sz w:val="19"/>
      <w:szCs w:val="19"/>
      <w:lang w:val="en-GB" w:eastAsia="aa-E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3C1A"/>
    <w:rPr>
      <w:rFonts w:ascii="Lucida Sans" w:eastAsia="Lucida Sans" w:hAnsi="Lucida Sans" w:cs="Lucida Sans"/>
      <w:sz w:val="28"/>
      <w:szCs w:val="28"/>
      <w:lang w:val="en-GB" w:eastAsia="aa-ET"/>
    </w:rPr>
  </w:style>
  <w:style w:type="character" w:customStyle="1" w:styleId="Heading2Char">
    <w:name w:val="Heading 2 Char"/>
    <w:basedOn w:val="DefaultParagraphFont"/>
    <w:link w:val="Heading2"/>
    <w:uiPriority w:val="9"/>
    <w:rsid w:val="00753C1A"/>
    <w:rPr>
      <w:rFonts w:ascii="Lucida Sans" w:eastAsia="Lucida Sans" w:hAnsi="Lucida Sans" w:cs="Lucida Sans"/>
      <w:b/>
      <w:bCs/>
      <w:sz w:val="19"/>
      <w:szCs w:val="19"/>
      <w:lang w:val="en-GB" w:eastAsia="aa-ET"/>
    </w:rPr>
  </w:style>
  <w:style w:type="character" w:customStyle="1" w:styleId="Heading3Char">
    <w:name w:val="Heading 3 Char"/>
    <w:basedOn w:val="DefaultParagraphFont"/>
    <w:link w:val="Heading3"/>
    <w:uiPriority w:val="9"/>
    <w:rsid w:val="00753C1A"/>
    <w:rPr>
      <w:rFonts w:ascii="Lucida Sans" w:eastAsia="Lucida Sans" w:hAnsi="Lucida Sans" w:cs="Lucida Sans"/>
      <w:sz w:val="19"/>
      <w:szCs w:val="19"/>
      <w:lang w:val="en-GB" w:eastAsia="aa-ET"/>
    </w:rPr>
  </w:style>
  <w:style w:type="character" w:customStyle="1" w:styleId="Heading4Char">
    <w:name w:val="Heading 4 Char"/>
    <w:basedOn w:val="DefaultParagraphFont"/>
    <w:link w:val="Heading4"/>
    <w:uiPriority w:val="9"/>
    <w:rsid w:val="00753C1A"/>
    <w:rPr>
      <w:rFonts w:ascii="Lucida Sans" w:eastAsia="Lucida Sans" w:hAnsi="Lucida Sans" w:cs="Lucida Sans"/>
      <w:sz w:val="19"/>
      <w:szCs w:val="19"/>
      <w:lang w:val="en-GB" w:eastAsia="aa-ET"/>
    </w:rPr>
  </w:style>
  <w:style w:type="character" w:customStyle="1" w:styleId="Heading5Char">
    <w:name w:val="Heading 5 Char"/>
    <w:basedOn w:val="DefaultParagraphFont"/>
    <w:link w:val="Heading5"/>
    <w:uiPriority w:val="9"/>
    <w:semiHidden/>
    <w:rsid w:val="00753C1A"/>
    <w:rPr>
      <w:rFonts w:ascii="Lucida Sans" w:eastAsia="Lucida Sans" w:hAnsi="Lucida Sans" w:cs="Lucida Sans"/>
      <w:sz w:val="19"/>
      <w:szCs w:val="19"/>
      <w:lang w:val="en-GB" w:eastAsia="aa-ET"/>
    </w:rPr>
  </w:style>
  <w:style w:type="character" w:customStyle="1" w:styleId="Heading6Char">
    <w:name w:val="Heading 6 Char"/>
    <w:basedOn w:val="DefaultParagraphFont"/>
    <w:link w:val="Heading6"/>
    <w:uiPriority w:val="9"/>
    <w:semiHidden/>
    <w:rsid w:val="00753C1A"/>
    <w:rPr>
      <w:rFonts w:ascii="Lucida Sans" w:eastAsia="Lucida Sans" w:hAnsi="Lucida Sans" w:cs="Lucida Sans"/>
      <w:sz w:val="19"/>
      <w:szCs w:val="19"/>
      <w:lang w:val="en-GB" w:eastAsia="aa-ET"/>
    </w:rPr>
  </w:style>
  <w:style w:type="table" w:customStyle="1" w:styleId="TableNormal0">
    <w:name w:val="TableNormal"/>
    <w:rsid w:val="00753C1A"/>
    <w:pPr>
      <w:spacing w:after="0"/>
    </w:pPr>
    <w:rPr>
      <w:rFonts w:ascii="Lucida Sans" w:eastAsia="Lucida Sans" w:hAnsi="Lucida Sans" w:cs="Lucida Sans"/>
      <w:sz w:val="19"/>
      <w:szCs w:val="19"/>
      <w:lang w:val="en-GB" w:eastAsia="aa-ET"/>
    </w:rPr>
    <w:tblPr>
      <w:tblCellMar>
        <w:top w:w="100" w:type="dxa"/>
        <w:left w:w="100" w:type="dxa"/>
        <w:bottom w:w="100" w:type="dxa"/>
        <w:right w:w="100" w:type="dxa"/>
      </w:tblCellMar>
    </w:tblPr>
  </w:style>
  <w:style w:type="paragraph" w:styleId="Title">
    <w:name w:val="Title"/>
    <w:basedOn w:val="Normal"/>
    <w:next w:val="Normal"/>
    <w:link w:val="TitleChar"/>
    <w:uiPriority w:val="10"/>
    <w:qFormat/>
    <w:rsid w:val="00753C1A"/>
    <w:pPr>
      <w:spacing w:after="0"/>
    </w:pPr>
    <w:rPr>
      <w:rFonts w:ascii="Lucida Sans" w:eastAsia="Lucida Sans" w:hAnsi="Lucida Sans" w:cs="Lucida Sans"/>
      <w:color w:val="000000"/>
      <w:sz w:val="48"/>
      <w:szCs w:val="48"/>
      <w:lang w:val="en-GB" w:eastAsia="aa-ET"/>
    </w:rPr>
  </w:style>
  <w:style w:type="character" w:customStyle="1" w:styleId="TitleChar">
    <w:name w:val="Title Char"/>
    <w:basedOn w:val="DefaultParagraphFont"/>
    <w:link w:val="Title"/>
    <w:uiPriority w:val="10"/>
    <w:rsid w:val="00753C1A"/>
    <w:rPr>
      <w:rFonts w:ascii="Lucida Sans" w:eastAsia="Lucida Sans" w:hAnsi="Lucida Sans" w:cs="Lucida Sans"/>
      <w:color w:val="000000"/>
      <w:sz w:val="48"/>
      <w:szCs w:val="48"/>
      <w:lang w:val="en-GB" w:eastAsia="aa-ET"/>
    </w:rPr>
  </w:style>
  <w:style w:type="paragraph" w:styleId="Subtitle">
    <w:name w:val="Subtitle"/>
    <w:basedOn w:val="Normal"/>
    <w:next w:val="Normal"/>
    <w:link w:val="SubtitleChar"/>
    <w:uiPriority w:val="11"/>
    <w:qFormat/>
    <w:rsid w:val="00753C1A"/>
    <w:pPr>
      <w:spacing w:before="260" w:after="0"/>
    </w:pPr>
    <w:rPr>
      <w:rFonts w:ascii="Lucida Sans" w:eastAsia="Lucida Sans" w:hAnsi="Lucida Sans" w:cs="Lucida Sans"/>
      <w:sz w:val="28"/>
      <w:szCs w:val="28"/>
      <w:lang w:val="en-GB" w:eastAsia="aa-ET"/>
    </w:rPr>
  </w:style>
  <w:style w:type="character" w:customStyle="1" w:styleId="SubtitleChar">
    <w:name w:val="Subtitle Char"/>
    <w:basedOn w:val="DefaultParagraphFont"/>
    <w:link w:val="Subtitle"/>
    <w:uiPriority w:val="11"/>
    <w:rsid w:val="00753C1A"/>
    <w:rPr>
      <w:rFonts w:ascii="Lucida Sans" w:eastAsia="Lucida Sans" w:hAnsi="Lucida Sans" w:cs="Lucida Sans"/>
      <w:sz w:val="28"/>
      <w:szCs w:val="28"/>
      <w:lang w:val="en-GB" w:eastAsia="aa-ET"/>
    </w:rPr>
  </w:style>
  <w:style w:type="paragraph" w:styleId="CommentText">
    <w:name w:val="annotation text"/>
    <w:basedOn w:val="Normal"/>
    <w:link w:val="CommentTextChar"/>
    <w:uiPriority w:val="99"/>
    <w:semiHidden/>
    <w:unhideWhenUsed/>
    <w:rsid w:val="00753C1A"/>
    <w:pPr>
      <w:spacing w:after="0" w:line="240" w:lineRule="auto"/>
    </w:pPr>
    <w:rPr>
      <w:rFonts w:ascii="Lucida Sans" w:eastAsia="Lucida Sans" w:hAnsi="Lucida Sans" w:cs="Lucida Sans"/>
      <w:sz w:val="20"/>
      <w:szCs w:val="20"/>
      <w:lang w:val="en-GB" w:eastAsia="aa-ET"/>
    </w:rPr>
  </w:style>
  <w:style w:type="character" w:customStyle="1" w:styleId="CommentTextChar">
    <w:name w:val="Comment Text Char"/>
    <w:basedOn w:val="DefaultParagraphFont"/>
    <w:link w:val="CommentText"/>
    <w:uiPriority w:val="99"/>
    <w:semiHidden/>
    <w:rsid w:val="00753C1A"/>
    <w:rPr>
      <w:rFonts w:ascii="Lucida Sans" w:eastAsia="Lucida Sans" w:hAnsi="Lucida Sans" w:cs="Lucida Sans"/>
      <w:sz w:val="20"/>
      <w:szCs w:val="20"/>
      <w:lang w:val="en-GB" w:eastAsia="aa-ET"/>
    </w:rPr>
  </w:style>
  <w:style w:type="character" w:styleId="CommentReference">
    <w:name w:val="annotation reference"/>
    <w:basedOn w:val="DefaultParagraphFont"/>
    <w:uiPriority w:val="99"/>
    <w:semiHidden/>
    <w:unhideWhenUsed/>
    <w:rsid w:val="00753C1A"/>
    <w:rPr>
      <w:sz w:val="16"/>
      <w:szCs w:val="16"/>
    </w:rPr>
  </w:style>
  <w:style w:type="character" w:styleId="LineNumber">
    <w:name w:val="line number"/>
    <w:basedOn w:val="DefaultParagraphFont"/>
    <w:uiPriority w:val="99"/>
    <w:semiHidden/>
    <w:unhideWhenUsed/>
    <w:rsid w:val="00753C1A"/>
  </w:style>
  <w:style w:type="paragraph" w:styleId="Revision">
    <w:name w:val="Revision"/>
    <w:hidden/>
    <w:uiPriority w:val="99"/>
    <w:semiHidden/>
    <w:rsid w:val="00753C1A"/>
    <w:pPr>
      <w:spacing w:after="0" w:line="240" w:lineRule="auto"/>
    </w:pPr>
    <w:rPr>
      <w:rFonts w:ascii="Lucida Sans" w:eastAsia="Lucida Sans" w:hAnsi="Lucida Sans" w:cs="Lucida Sans"/>
      <w:sz w:val="19"/>
      <w:szCs w:val="19"/>
      <w:lang w:val="en-GB" w:eastAsia="aa-ET"/>
    </w:rPr>
  </w:style>
  <w:style w:type="table" w:styleId="GridTable5Dark">
    <w:name w:val="Grid Table 5 Dark"/>
    <w:basedOn w:val="TableNormal"/>
    <w:uiPriority w:val="50"/>
    <w:rsid w:val="00753C1A"/>
    <w:pPr>
      <w:spacing w:after="0" w:line="240" w:lineRule="auto"/>
    </w:pPr>
    <w:rPr>
      <w:rFonts w:ascii="Lucida Sans" w:eastAsia="Lucida Sans" w:hAnsi="Lucida Sans" w:cs="Lucida Sans"/>
      <w:sz w:val="19"/>
      <w:szCs w:val="19"/>
      <w:lang w:val="en-GB" w:eastAsia="aa-ET"/>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Grid">
    <w:name w:val="Table Grid"/>
    <w:basedOn w:val="TableNormal"/>
    <w:uiPriority w:val="39"/>
    <w:rsid w:val="00753C1A"/>
    <w:pPr>
      <w:spacing w:after="0" w:line="240" w:lineRule="auto"/>
    </w:pPr>
    <w:rPr>
      <w:rFonts w:ascii="Lucida Sans" w:eastAsia="Lucida Sans" w:hAnsi="Lucida Sans" w:cs="Lucida Sans"/>
      <w:sz w:val="19"/>
      <w:szCs w:val="19"/>
      <w:lang w:val="en-GB" w:eastAsia="aa-E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
    <w:name w:val="Grid Table 2"/>
    <w:basedOn w:val="TableNormal"/>
    <w:uiPriority w:val="47"/>
    <w:rsid w:val="00753C1A"/>
    <w:pPr>
      <w:spacing w:after="0" w:line="240" w:lineRule="auto"/>
    </w:pPr>
    <w:rPr>
      <w:rFonts w:ascii="Lucida Sans" w:eastAsia="Lucida Sans" w:hAnsi="Lucida Sans" w:cs="Lucida Sans"/>
      <w:sz w:val="19"/>
      <w:szCs w:val="19"/>
      <w:lang w:val="en-GB" w:eastAsia="aa-ET"/>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
    <w:name w:val="Grid Table 1 Light"/>
    <w:basedOn w:val="TableNormal"/>
    <w:uiPriority w:val="46"/>
    <w:rsid w:val="00753C1A"/>
    <w:pPr>
      <w:spacing w:after="0" w:line="240" w:lineRule="auto"/>
    </w:pPr>
    <w:rPr>
      <w:rFonts w:ascii="Lucida Sans" w:eastAsia="Lucida Sans" w:hAnsi="Lucida Sans" w:cs="Lucida Sans"/>
      <w:sz w:val="19"/>
      <w:szCs w:val="19"/>
      <w:lang w:val="en-GB" w:eastAsia="aa-ET"/>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BalloonText">
    <w:name w:val="Balloon Text"/>
    <w:basedOn w:val="Normal"/>
    <w:link w:val="BalloonTextChar"/>
    <w:uiPriority w:val="99"/>
    <w:semiHidden/>
    <w:unhideWhenUsed/>
    <w:rsid w:val="00753C1A"/>
    <w:pPr>
      <w:spacing w:after="0" w:line="240" w:lineRule="auto"/>
    </w:pPr>
    <w:rPr>
      <w:rFonts w:ascii="Segoe UI" w:eastAsia="Lucida Sans" w:hAnsi="Segoe UI" w:cs="Segoe UI"/>
      <w:sz w:val="18"/>
      <w:szCs w:val="18"/>
      <w:lang w:val="en-GB" w:eastAsia="aa-ET"/>
    </w:rPr>
  </w:style>
  <w:style w:type="character" w:customStyle="1" w:styleId="BalloonTextChar">
    <w:name w:val="Balloon Text Char"/>
    <w:basedOn w:val="DefaultParagraphFont"/>
    <w:link w:val="BalloonText"/>
    <w:uiPriority w:val="99"/>
    <w:semiHidden/>
    <w:rsid w:val="00753C1A"/>
    <w:rPr>
      <w:rFonts w:ascii="Segoe UI" w:eastAsia="Lucida Sans" w:hAnsi="Segoe UI" w:cs="Segoe UI"/>
      <w:sz w:val="18"/>
      <w:szCs w:val="18"/>
      <w:lang w:val="en-GB" w:eastAsia="aa-E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mac.gov.kh"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1016/j.apgeog.2017.05.007"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hmac.org/" TargetMode="External"/><Relationship Id="rId11" Type="http://schemas.openxmlformats.org/officeDocument/2006/relationships/image" Target="media/image1.png"/><Relationship Id="rId5" Type="http://schemas.openxmlformats.org/officeDocument/2006/relationships/hyperlink" Target="https://apopo.org/wp-content/uploads/2025/05/APOPO-Annual-Report-2024.pdf" TargetMode="External"/><Relationship Id="rId10" Type="http://schemas.openxmlformats.org/officeDocument/2006/relationships/hyperlink" Target="https://eustafor.eu/the-continuous-challenge-of-demining-the-bosnian-forests/" TargetMode="External"/><Relationship Id="rId4" Type="http://schemas.openxmlformats.org/officeDocument/2006/relationships/webSettings" Target="webSettings.xml"/><Relationship Id="rId9" Type="http://schemas.openxmlformats.org/officeDocument/2006/relationships/hyperlink" Target="https://fsd.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70</Pages>
  <Words>15805</Words>
  <Characters>90094</Characters>
  <Application>Microsoft Office Word</Application>
  <DocSecurity>0</DocSecurity>
  <Lines>750</Lines>
  <Paragraphs>211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Raja R Ramasamy M</dc:creator>
  <cp:keywords/>
  <dc:description/>
  <cp:lastModifiedBy>Raja R Ramasamy M</cp:lastModifiedBy>
  <cp:revision>1</cp:revision>
  <dcterms:created xsi:type="dcterms:W3CDTF">2026-08-19T11:53:00Z</dcterms:created>
  <dcterms:modified xsi:type="dcterms:W3CDTF">2026-08-19T11:54:00Z</dcterms:modified>
</cp:coreProperties>
</file>