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1"/>
        <w:tblpPr w:leftFromText="180" w:rightFromText="180" w:tblpY="-420"/>
        <w:tblW w:w="13104" w:type="dxa"/>
        <w:tblLook w:val="04A0" w:firstRow="1" w:lastRow="0" w:firstColumn="1" w:lastColumn="0" w:noHBand="0" w:noVBand="1"/>
      </w:tblPr>
      <w:tblGrid>
        <w:gridCol w:w="3595"/>
        <w:gridCol w:w="2340"/>
        <w:gridCol w:w="3780"/>
        <w:gridCol w:w="3389"/>
      </w:tblGrid>
      <w:tr w:rsidR="001F7B4E" w:rsidRPr="00832130" w14:paraId="67E61DE9" w14:textId="77777777" w:rsidTr="00420EDD">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3104" w:type="dxa"/>
            <w:gridSpan w:val="4"/>
          </w:tcPr>
          <w:p w14:paraId="1D8DE710" w14:textId="77BD20B8" w:rsidR="001F7B4E" w:rsidRPr="00CD07A7" w:rsidRDefault="001F7B4E" w:rsidP="002458F1">
            <w:pPr>
              <w:rPr>
                <w:sz w:val="28"/>
                <w:szCs w:val="28"/>
                <w:u w:val="single"/>
              </w:rPr>
            </w:pPr>
            <w:r w:rsidRPr="00CD07A7">
              <w:rPr>
                <w:sz w:val="28"/>
                <w:szCs w:val="28"/>
                <w:u w:val="single"/>
              </w:rPr>
              <w:t xml:space="preserve">Table </w:t>
            </w:r>
            <w:r w:rsidR="005B3C34">
              <w:rPr>
                <w:sz w:val="28"/>
                <w:szCs w:val="28"/>
                <w:u w:val="single"/>
              </w:rPr>
              <w:t>S</w:t>
            </w:r>
            <w:r w:rsidRPr="00CD07A7">
              <w:rPr>
                <w:sz w:val="28"/>
                <w:szCs w:val="28"/>
                <w:u w:val="single"/>
              </w:rPr>
              <w:t>1. All studies demonstrating editing in trees and clonal crops 2017-present</w:t>
            </w:r>
          </w:p>
        </w:tc>
      </w:tr>
      <w:tr w:rsidR="00E5150D" w:rsidRPr="00832130" w14:paraId="4DD4AFCB" w14:textId="77777777" w:rsidTr="00832130">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3595" w:type="dxa"/>
          </w:tcPr>
          <w:p w14:paraId="55FE2285" w14:textId="6AD70966" w:rsidR="00627C2F" w:rsidRPr="004E4ECA" w:rsidRDefault="000B1737" w:rsidP="002458F1">
            <w:pPr>
              <w:rPr>
                <w:sz w:val="20"/>
                <w:szCs w:val="20"/>
              </w:rPr>
            </w:pPr>
            <w:r w:rsidRPr="004E4ECA">
              <w:rPr>
                <w:sz w:val="20"/>
                <w:szCs w:val="20"/>
              </w:rPr>
              <w:t>Genus or species</w:t>
            </w:r>
          </w:p>
        </w:tc>
        <w:tc>
          <w:tcPr>
            <w:tcW w:w="2340" w:type="dxa"/>
          </w:tcPr>
          <w:p w14:paraId="117F327E" w14:textId="073EBADA" w:rsidR="000B1737" w:rsidRPr="004E4ECA" w:rsidRDefault="000B1737" w:rsidP="002458F1">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Editing Strategy (stable (S), transient (T), virus (V))</w:t>
            </w:r>
          </w:p>
        </w:tc>
        <w:tc>
          <w:tcPr>
            <w:tcW w:w="3780" w:type="dxa"/>
          </w:tcPr>
          <w:p w14:paraId="57C0CE02" w14:textId="20AFD5FC" w:rsidR="000B1737" w:rsidRPr="004E4ECA" w:rsidRDefault="000B1737" w:rsidP="002458F1">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 xml:space="preserve">Target and trait </w:t>
            </w:r>
          </w:p>
        </w:tc>
        <w:tc>
          <w:tcPr>
            <w:tcW w:w="3389" w:type="dxa"/>
          </w:tcPr>
          <w:p w14:paraId="1AAC1272" w14:textId="45F1DCD9" w:rsidR="000B1737" w:rsidRPr="004E4ECA" w:rsidRDefault="000B1737" w:rsidP="002458F1">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Reference</w:t>
            </w:r>
          </w:p>
        </w:tc>
      </w:tr>
      <w:tr w:rsidR="00627C2F" w:rsidRPr="00832130" w14:paraId="67CD8569" w14:textId="77777777" w:rsidTr="00832130">
        <w:trPr>
          <w:trHeight w:val="247"/>
        </w:trPr>
        <w:tc>
          <w:tcPr>
            <w:cnfStyle w:val="001000000000" w:firstRow="0" w:lastRow="0" w:firstColumn="1" w:lastColumn="0" w:oddVBand="0" w:evenVBand="0" w:oddHBand="0" w:evenHBand="0" w:firstRowFirstColumn="0" w:firstRowLastColumn="0" w:lastRowFirstColumn="0" w:lastRowLastColumn="0"/>
            <w:tcW w:w="3595" w:type="dxa"/>
          </w:tcPr>
          <w:p w14:paraId="4A668869" w14:textId="32BD9488" w:rsidR="00627C2F" w:rsidRPr="004E4ECA" w:rsidRDefault="00720D33" w:rsidP="00627C2F">
            <w:pPr>
              <w:rPr>
                <w:sz w:val="20"/>
                <w:szCs w:val="20"/>
              </w:rPr>
            </w:pPr>
            <w:r w:rsidRPr="004E4ECA">
              <w:rPr>
                <w:sz w:val="20"/>
                <w:szCs w:val="20"/>
              </w:rPr>
              <w:softHyphen/>
            </w:r>
            <w:r w:rsidRPr="004E4ECA">
              <w:rPr>
                <w:sz w:val="20"/>
                <w:szCs w:val="20"/>
              </w:rPr>
              <w:softHyphen/>
            </w:r>
            <w:r w:rsidR="00D75CD6" w:rsidRPr="004E4ECA">
              <w:rPr>
                <w:sz w:val="20"/>
                <w:szCs w:val="20"/>
              </w:rPr>
              <w:t>(GYMNOSPERMS)</w:t>
            </w:r>
          </w:p>
        </w:tc>
        <w:tc>
          <w:tcPr>
            <w:tcW w:w="2340" w:type="dxa"/>
          </w:tcPr>
          <w:p w14:paraId="5A8C0B3F" w14:textId="77777777"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p>
        </w:tc>
        <w:tc>
          <w:tcPr>
            <w:tcW w:w="3780" w:type="dxa"/>
          </w:tcPr>
          <w:p w14:paraId="49984754" w14:textId="77777777"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i/>
                <w:iCs/>
                <w:sz w:val="20"/>
                <w:szCs w:val="20"/>
              </w:rPr>
            </w:pPr>
          </w:p>
        </w:tc>
        <w:tc>
          <w:tcPr>
            <w:tcW w:w="3389" w:type="dxa"/>
          </w:tcPr>
          <w:p w14:paraId="71F53A61" w14:textId="77777777"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p>
        </w:tc>
      </w:tr>
      <w:tr w:rsidR="00627C2F" w:rsidRPr="00832130" w14:paraId="6C63C3E8" w14:textId="77777777" w:rsidTr="0083213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595" w:type="dxa"/>
          </w:tcPr>
          <w:p w14:paraId="4BDBFA4E" w14:textId="4D52CADC" w:rsidR="00627C2F" w:rsidRPr="004E4ECA" w:rsidRDefault="00627C2F" w:rsidP="00627C2F">
            <w:pPr>
              <w:rPr>
                <w:sz w:val="20"/>
                <w:szCs w:val="20"/>
              </w:rPr>
            </w:pPr>
            <w:r w:rsidRPr="004E4ECA">
              <w:rPr>
                <w:i/>
                <w:iCs/>
                <w:sz w:val="20"/>
                <w:szCs w:val="20"/>
              </w:rPr>
              <w:t>Pinus radiata</w:t>
            </w:r>
          </w:p>
        </w:tc>
        <w:tc>
          <w:tcPr>
            <w:tcW w:w="2340" w:type="dxa"/>
          </w:tcPr>
          <w:p w14:paraId="511E5787" w14:textId="7C3D31CF"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1410C40A" w14:textId="52ACD4E0"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i/>
                <w:iCs/>
                <w:sz w:val="20"/>
                <w:szCs w:val="20"/>
              </w:rPr>
            </w:pPr>
            <w:r w:rsidRPr="004E4ECA">
              <w:rPr>
                <w:i/>
                <w:iCs/>
                <w:sz w:val="20"/>
                <w:szCs w:val="20"/>
              </w:rPr>
              <w:t>GUX1</w:t>
            </w:r>
            <w:r w:rsidRPr="004E4ECA">
              <w:rPr>
                <w:sz w:val="20"/>
                <w:szCs w:val="20"/>
              </w:rPr>
              <w:t>, cell wall modification</w:t>
            </w:r>
          </w:p>
        </w:tc>
        <w:tc>
          <w:tcPr>
            <w:tcW w:w="3389" w:type="dxa"/>
          </w:tcPr>
          <w:p w14:paraId="623D7FFC" w14:textId="7308AA77" w:rsidR="00627C2F" w:rsidRPr="004E4ECA" w:rsidRDefault="00A566EE"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{"citationID":"r9fr0HXY","properties":{"formattedCitation":"(Poovaiah et al., 2020)","plainCitation":"(Poovaiah et al., 2020)","noteIndex":0},"citationItems":[{"id":46,"uris":["http://zotero.org/users/local/ftZVc0Fk/items/KHJNAG8N"],"uri":["http://zotero.org/users/local/ftZVc0Fk/items/KHJNAG8N"],"itemData":{"id":46,"type":"report","abstract":"Abstract\n          \n            BackgroundTo meet increasing demand for forest-based products and protect natural forests from further deforestation requires increased productivity from planted forests. Genetic improvement of conifers by traditional breeding is time consuming due to the long juvenile phase and genome complexity. Genetic modification (GM) offers the opportunity to make transformational changes in shorter time frames but is challenged by current genetically modified organism (GMO) regulations. Genome editing, which can be used to generate site-specific mutations, offers the opportunity to rapidly implement targeted improvements and is globally regulated in a less restrictive way than GM technologies.ResultsWe evaluated U6 snRNA promoters from three different species that were able to drive expression of guide RNA (gRNA) for CRISPR/Cas9 genome editing in\n            P. radiata\n            . Using a single-copy cell wall gene GUX1 as a target, we have demonstrated genome editing using CRISPR/Cas9 in somatic embryogenic tissue and plantlets derived from the edited tissue. We generated biallelic INDELs with an efficiency of 15% using a single gRNA. Twelve percent of the transgenic embryogenic tissue was edited when two gRNAs were used and deletions of up to 1.3 kb were identified. However, the regenerated plants did not contain large deletions but had single nucleotide insertions at one of the target sites. We also assessed the use of CRISPR/Cas9 ribonucleoproteins (RNPs) for their ability to accomplish DNA-free genome editing in\n            P\n            .\n            radiata.\n            We chose a hybrid approach, with RNPs co-delivered with a plasmid-based selectable marker. A two-gRNA strategy was used which produced an editing efficiency of 33%, and generated INDELs, including large deletions. Using the RNP approach, deletions found in embryogenic tissue were also present in the plantlets. But, all plants produced using the RNP strategy were monoallelic.Conclusion We have demonstrated the generation of biallelic and monoallelic INDELs in the coniferous tree\n            P. radiata\n            with the CRISPR/Cas9 system using DNA and RNPs respectively. This opens the opportunity to apply genome editing in conifers to rapidly modify key traits of interest.","genre":"preprint","note":"DOI: 10.21203/rs.3.rs-117877/v1","publisher":"In Review","source":"DOI.org (Crossref)","title":"Genome Editing With CRISPR/Cas9&amp;nbsp;in Pinus Radiata (D. Don)","URL":"https://www.researchsquare.com/article/rs-117877/v1","author":[{"family":"Poovaiah","given":"Charleson"},{"family":"Phillips","given":"Lorelle"},{"family":"Geddes","given":"Barbara"},{"family":"Reeves","given":"Cathie"},{"family":"Sorieul","given":"Mathias"},{"family":"Thorlby","given":"Glenn"}],"accessed":{"date-parts":[["2021",3,5]]},"issued":{"date-parts":[["2020",12,3]]}}}],"schema":"https://github.com/citation-style-language/schema/raw/master/csl-citation.json"} </w:instrText>
            </w:r>
            <w:r w:rsidRPr="004E4ECA">
              <w:rPr>
                <w:sz w:val="20"/>
                <w:szCs w:val="20"/>
              </w:rPr>
              <w:fldChar w:fldCharType="separate"/>
            </w:r>
            <w:r w:rsidRPr="004E4ECA">
              <w:rPr>
                <w:noProof/>
                <w:sz w:val="20"/>
                <w:szCs w:val="20"/>
              </w:rPr>
              <w:t>(Poovaiah et al., 2020)</w:t>
            </w:r>
            <w:r w:rsidRPr="004E4ECA">
              <w:rPr>
                <w:sz w:val="20"/>
                <w:szCs w:val="20"/>
              </w:rPr>
              <w:fldChar w:fldCharType="end"/>
            </w:r>
          </w:p>
        </w:tc>
      </w:tr>
      <w:tr w:rsidR="00627C2F" w:rsidRPr="00832130" w14:paraId="1347EA6F" w14:textId="77777777" w:rsidTr="00832130">
        <w:trPr>
          <w:trHeight w:val="247"/>
        </w:trPr>
        <w:tc>
          <w:tcPr>
            <w:cnfStyle w:val="001000000000" w:firstRow="0" w:lastRow="0" w:firstColumn="1" w:lastColumn="0" w:oddVBand="0" w:evenVBand="0" w:oddHBand="0" w:evenHBand="0" w:firstRowFirstColumn="0" w:firstRowLastColumn="0" w:lastRowFirstColumn="0" w:lastRowLastColumn="0"/>
            <w:tcW w:w="3595" w:type="dxa"/>
          </w:tcPr>
          <w:p w14:paraId="303A8E32" w14:textId="40AEDB26" w:rsidR="00627C2F" w:rsidRPr="004E4ECA" w:rsidRDefault="00627C2F" w:rsidP="00627C2F">
            <w:pPr>
              <w:rPr>
                <w:sz w:val="20"/>
                <w:szCs w:val="20"/>
              </w:rPr>
            </w:pPr>
            <w:r w:rsidRPr="004E4ECA">
              <w:rPr>
                <w:sz w:val="20"/>
                <w:szCs w:val="20"/>
              </w:rPr>
              <w:t>(DICOTS)</w:t>
            </w:r>
          </w:p>
        </w:tc>
        <w:tc>
          <w:tcPr>
            <w:tcW w:w="2340" w:type="dxa"/>
          </w:tcPr>
          <w:p w14:paraId="516DEE4D" w14:textId="77777777"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p>
        </w:tc>
        <w:tc>
          <w:tcPr>
            <w:tcW w:w="3780" w:type="dxa"/>
          </w:tcPr>
          <w:p w14:paraId="015BED86" w14:textId="77777777"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i/>
                <w:iCs/>
                <w:sz w:val="20"/>
                <w:szCs w:val="20"/>
              </w:rPr>
            </w:pPr>
          </w:p>
        </w:tc>
        <w:tc>
          <w:tcPr>
            <w:tcW w:w="3389" w:type="dxa"/>
          </w:tcPr>
          <w:p w14:paraId="3EB3D039" w14:textId="77777777"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p>
        </w:tc>
      </w:tr>
      <w:tr w:rsidR="00B26D0C" w:rsidRPr="00832130" w14:paraId="7C002086" w14:textId="77777777" w:rsidTr="0083213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595" w:type="dxa"/>
          </w:tcPr>
          <w:p w14:paraId="7368EDA3" w14:textId="62600609" w:rsidR="00627C2F" w:rsidRPr="004E4ECA" w:rsidRDefault="00627C2F" w:rsidP="00627C2F">
            <w:pPr>
              <w:rPr>
                <w:sz w:val="20"/>
                <w:szCs w:val="20"/>
              </w:rPr>
            </w:pPr>
            <w:r w:rsidRPr="004E4ECA">
              <w:rPr>
                <w:sz w:val="20"/>
                <w:szCs w:val="20"/>
              </w:rPr>
              <w:t>Rubber tree (</w:t>
            </w:r>
            <w:r w:rsidRPr="004E4ECA">
              <w:rPr>
                <w:i/>
                <w:iCs/>
                <w:sz w:val="20"/>
                <w:szCs w:val="20"/>
              </w:rPr>
              <w:t>Hevea</w:t>
            </w:r>
            <w:r w:rsidRPr="004E4ECA">
              <w:rPr>
                <w:sz w:val="20"/>
                <w:szCs w:val="20"/>
              </w:rPr>
              <w:t xml:space="preserve"> </w:t>
            </w:r>
            <w:r w:rsidRPr="004E4ECA">
              <w:rPr>
                <w:i/>
                <w:iCs/>
                <w:sz w:val="20"/>
                <w:szCs w:val="20"/>
              </w:rPr>
              <w:t>brasiliensis</w:t>
            </w:r>
            <w:r w:rsidRPr="004E4ECA">
              <w:rPr>
                <w:sz w:val="20"/>
                <w:szCs w:val="20"/>
              </w:rPr>
              <w:t>)</w:t>
            </w:r>
          </w:p>
        </w:tc>
        <w:tc>
          <w:tcPr>
            <w:tcW w:w="2340" w:type="dxa"/>
          </w:tcPr>
          <w:p w14:paraId="1B717FD3" w14:textId="4C1E1285"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T (Cas9-RNPs)</w:t>
            </w:r>
          </w:p>
        </w:tc>
        <w:tc>
          <w:tcPr>
            <w:tcW w:w="3780" w:type="dxa"/>
          </w:tcPr>
          <w:p w14:paraId="6C4193FF" w14:textId="5D17DF75"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 xml:space="preserve">FT, TFL1, </w:t>
            </w:r>
            <w:r w:rsidRPr="004E4ECA">
              <w:rPr>
                <w:sz w:val="20"/>
                <w:szCs w:val="20"/>
              </w:rPr>
              <w:t>flowering traits</w:t>
            </w:r>
          </w:p>
        </w:tc>
        <w:tc>
          <w:tcPr>
            <w:tcW w:w="3389" w:type="dxa"/>
          </w:tcPr>
          <w:p w14:paraId="2AD78F61" w14:textId="3ED06A65" w:rsidR="00627C2F" w:rsidRPr="004E4ECA" w:rsidRDefault="00A566EE"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{"citationID":"9kXpE8Vt","properties":{"formattedCitation":"(Fan et al., 2020)","plainCitation":"(Fan et al., 2020)","noteIndex":0},"citationItems":[{"id":8,"uris":["http://zotero.org/users/local/ftZVc0Fk/items/WQPDLFKI"],"uri":["http://zotero.org/users/local/ftZVc0Fk/items/WQPDLFKI"],"itemData":{"id":8,"type":"article-journal","abstract":"CRISPR/Cas9 (clustered regularly interspaced short palindromic repeats/CRISPR associated protein 9) is a powerful targeted mutagenesis tool that has been implemented in many plant species. To date, the application of CRISPR/Cas9 in rubber tree (Hevea brasiliesis) has not yet been reported. Here, we describe the efficient targeted mutagenesis in rubber tree by direct delivery of CRISPR/Cas9 ribonucleoproteins (RNPs). Five sgRNAs were designed to target FLOWERING LOCUS T (FT) and TERMINAL FLOWER1 (TFL1) genes in rubber tree. Using a Cas9/sgRNA ratio of 1:7, the Cas9 proteins were preassembled with in vitro transcribed sgRNAs, and then introduced into rubber tree protoplasts. Targeted mutations were successfully induced at frequencies ranging from 3.74% to 20.11% at five target sites. Two mutation patterns including +1 nt insertions and deletions were detected at all target sites, and the -1 nt deletion was the most common mutation obtained in all cases. In addition, by delivering combinations of sgRNAs targeting multiple genes, multiple targeted mutations were induced in rubber tree protoplasts through one transformation step. This RNP-based genome editing system demonstrates the potential for precise genetic modifications of rubber tree. Furthermore, together with the rubber tree protoplast regeneration system, our study provides a promising approach for the production of DNA-free genome edited rubber tree plants from protoplast.","container-title":"Industrial Crops and Products","DOI":"10.1016/j.indcrop.2020.112146","ISSN":"0926-6690","journalAbbreviation":"Industrial Crops and Products","page":"112146","title":"Efficient genome editing of rubber tree (hevea brasiliensis) protoplasts using CRISPR/Cas9 ribonucleoproteins","volume":"146","author":[{"family":"Fan","given":"Yueting"},{"family":"Xin","given":"Shichao"},{"family":"Dai","given":"Xuemei"},{"family":"Yang","given":"Xianfeng"},{"family":"Huang","given":"Huasun"},{"family":"Hua","given":"Yuwei"}],"issued":{"date-parts":[["2020",4,1]]}}}],"schema":"https://github.com/citation-style-language/schema/raw/master/csl-citation.json"} </w:instrText>
            </w:r>
            <w:r w:rsidRPr="004E4ECA">
              <w:rPr>
                <w:sz w:val="20"/>
                <w:szCs w:val="20"/>
              </w:rPr>
              <w:fldChar w:fldCharType="separate"/>
            </w:r>
            <w:r w:rsidRPr="004E4ECA">
              <w:rPr>
                <w:noProof/>
                <w:sz w:val="20"/>
                <w:szCs w:val="20"/>
              </w:rPr>
              <w:t>(Fan et al., 2020)</w:t>
            </w:r>
            <w:r w:rsidRPr="004E4ECA">
              <w:rPr>
                <w:sz w:val="20"/>
                <w:szCs w:val="20"/>
              </w:rPr>
              <w:fldChar w:fldCharType="end"/>
            </w:r>
          </w:p>
        </w:tc>
      </w:tr>
      <w:tr w:rsidR="00627C2F" w:rsidRPr="00832130" w14:paraId="744862DF" w14:textId="77777777" w:rsidTr="00832130">
        <w:trPr>
          <w:trHeight w:val="247"/>
        </w:trPr>
        <w:tc>
          <w:tcPr>
            <w:cnfStyle w:val="001000000000" w:firstRow="0" w:lastRow="0" w:firstColumn="1" w:lastColumn="0" w:oddVBand="0" w:evenVBand="0" w:oddHBand="0" w:evenHBand="0" w:firstRowFirstColumn="0" w:firstRowLastColumn="0" w:lastRowFirstColumn="0" w:lastRowLastColumn="0"/>
            <w:tcW w:w="3595" w:type="dxa"/>
          </w:tcPr>
          <w:p w14:paraId="2BECA573" w14:textId="48737936" w:rsidR="00627C2F" w:rsidRPr="004E4ECA" w:rsidRDefault="00627C2F" w:rsidP="00627C2F">
            <w:pPr>
              <w:rPr>
                <w:i/>
                <w:iCs/>
                <w:sz w:val="20"/>
                <w:szCs w:val="20"/>
              </w:rPr>
            </w:pPr>
            <w:r w:rsidRPr="004E4ECA">
              <w:rPr>
                <w:sz w:val="20"/>
                <w:szCs w:val="20"/>
              </w:rPr>
              <w:t>Poplars</w:t>
            </w:r>
            <w:r w:rsidRPr="004E4ECA">
              <w:rPr>
                <w:i/>
                <w:iCs/>
                <w:sz w:val="20"/>
                <w:szCs w:val="20"/>
              </w:rPr>
              <w:t xml:space="preserve"> (Populus)</w:t>
            </w:r>
          </w:p>
        </w:tc>
        <w:tc>
          <w:tcPr>
            <w:tcW w:w="2340" w:type="dxa"/>
          </w:tcPr>
          <w:p w14:paraId="3093EE7E" w14:textId="0401B9AC"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63116B7" w14:textId="3F25F9E0"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14413423" w14:textId="6EF08493" w:rsidR="00627C2F" w:rsidRPr="004E4ECA" w:rsidRDefault="00FC6A04"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{"citationID":"M6Xjbb30","properties":{"formattedCitation":"(Wang et al., 2020)","plainCitation":"(Wang et al., 2020)","noteIndex":0},"citationItems":[{"id":9,"uris":["http://zotero.org/users/local/ftZVc0Fk/items/RI4WFMXJ"],"uri":["http://zotero.org/users/local/ftZVc0Fk/items/RI4WFMXJ"],"itemData":{"id":9,"type":"article-journal","abstract":"Although the CRISPR/Cas9 system has been widely used for crop breeding, its application for the genetic improvement of trees has been limited, partly because of the outcrossing nature and substantial genomic heterozygosity of trees. Shanxin yang (Populus davidiana × P. bolleana), is a commercially important poplar clone that is widely grown in northern China. An established transformation protocol for this interspecific hybrid enables researchers to simultaneously investigate the efficiency and specificity of the CRISPR/Cas9-mediated manipulation of a highly heterozygous genome. Using the phytoene desaturase gene (PDS) as an example, we revealed that the CRISPR/Cas9 system could efficiently edit the Shanxin yang genome. Two sgRNAs were designed and incorporated into a single binary vector containing the Cas9 expression cassette. Among 62 independent transgenic lines, 85.5% exhibited an exclusively albino phenotype, revealing the total loss of PDS function. The Illumina sequencing results confirmed the targeted mutation of PdbPDS homologs induced by CRISPR/Cas9, and small insertions/deletions were the most common mutations. Biallelic and homozygous knockout mutations were detected at both target sites of the T0 transformants. Off-target activity was detected for sgRNA2 with a frequency of 3.2%. Additionally, the SNP interference of targeting specificity was assessed based on the sequence variation among PdbPDS homologs. A single mismatch at 19- or 10-bp from the PAM was tolerated by the CRISPR/Cas9 system. Therefore, multiple homologous genes were simultaneously edited despite the presence of a mismatch between the sgRNA and the target site. The establishment of a viable CRISPR/Cas9-based strategy for editing the Shanxin yang genome will not only accelerate the breeding process, but may also be relevant for other economically or scientifically important non-model plants species.","container-title":"Frontiers in Plant Science","DOI":"10.3389/fpls.2020.00996","ISSN":"1664-462X","journalAbbreviation":"Frontiers in Plant Science","page":"996","title":"Efficient CRISPR/Cas9-Mediated Gene Editing in an Interspecific Hybrid Poplar With a Highly Heterozygous Genome","volume":"11","author":[{"family":"Wang","given":"Jie"},{"family":"Wu","given":"Huaitong"},{"family":"Chen","given":"Yingnan"},{"family":"Yin","given":"Tongming"}],"issued":{"date-parts":[["2020"]]}}}],"schema":"https://github.com/citation-style-language/schema/raw/master/csl-citation.json"} </w:instrText>
            </w:r>
            <w:r w:rsidRPr="004E4ECA">
              <w:rPr>
                <w:sz w:val="20"/>
                <w:szCs w:val="20"/>
              </w:rPr>
              <w:fldChar w:fldCharType="separate"/>
            </w:r>
            <w:r w:rsidRPr="004E4ECA">
              <w:rPr>
                <w:noProof/>
                <w:sz w:val="20"/>
                <w:szCs w:val="20"/>
              </w:rPr>
              <w:t>(Wang et al., 2020)</w:t>
            </w:r>
            <w:r w:rsidRPr="004E4ECA">
              <w:rPr>
                <w:sz w:val="20"/>
                <w:szCs w:val="20"/>
              </w:rPr>
              <w:fldChar w:fldCharType="end"/>
            </w:r>
          </w:p>
        </w:tc>
      </w:tr>
      <w:tr w:rsidR="00B26D0C" w:rsidRPr="00832130" w14:paraId="5CDC07AA" w14:textId="77777777" w:rsidTr="0083213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595" w:type="dxa"/>
          </w:tcPr>
          <w:p w14:paraId="1805F568" w14:textId="6E163EE8" w:rsidR="00627C2F" w:rsidRPr="004E4ECA" w:rsidRDefault="00627C2F" w:rsidP="00627C2F">
            <w:pPr>
              <w:rPr>
                <w:sz w:val="20"/>
                <w:szCs w:val="20"/>
              </w:rPr>
            </w:pPr>
          </w:p>
        </w:tc>
        <w:tc>
          <w:tcPr>
            <w:tcW w:w="2340" w:type="dxa"/>
          </w:tcPr>
          <w:p w14:paraId="37A45BF1" w14:textId="32A52D84"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3767F921" w14:textId="05CFE451"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2ACD32E4" w14:textId="3ED13851" w:rsidR="00627C2F" w:rsidRPr="004E4ECA" w:rsidRDefault="00FC6A04"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{"citationID":"GVOALJmk","properties":{"formattedCitation":"(Ding et al., 2020)","plainCitation":"(Ding et al., 2020)","noteIndex":0},"citationItems":[{"id":10,"uris":["http://zotero.org/users/local/ftZVc0Fk/items/MG6322MM"],"uri":["http://zotero.org/users/local/ftZVc0Fk/items/MG6322MM"],"itemData":{"id":10,"type":"article-journal","abstract":"The clustered regulatory interspaced short palindromic repeat/CRISPR-associated protein 9 (CRISPR/Cas9) system has been applied to edit the genomes of quite a few plant species, including perennial woody poplar trees. However, chimeras often exist in primary transgenic plants. For perennial woody trees such as poplar trees, it is difficult to obtain homozygous mutants by self-pollination for due to their long vegetative life and low-seed setting rates. In this study, we report an effective approach to reduce the frequency of chimeric mutants of poplar trees by CRISPR/Cas9 with a second round of shoot regeneration using leaves as the explants. PdbPDS1 was used as the target gene, and only one homozygous PdbPDS1 mutant was obtained from 15 primary transgenic plantlets, which was verified by both the phenotype and the DNA sequence of the PCR product. This indicates that the majority of primary transgenic plantlets in the T0 generation were chimeras. After the second round of shoot regeneration of the chimeric mutants generated by CRISPR/Cas9, approximately 27.0% or 19.1% of the regenerated shoots were homozygous mutants with or without kanamycin selection, respectively. The results showed that a second regeneration could produce homozygous mutant shoots at a high frequency and that kanamycin selection could increase the frequency of homozygous mutant shoots.","container-title":"Plant Biotechnology Reports","DOI":"10.1007/s11816-020-00629-2","ISSN":"1863-5474","issue":"5","journalAbbreviation":"Plant Biotechnology Reports","page":"549-558","title":"Effective reduction in chimeric mutants of poplar trees produced by CRISPR/Cas9 through a second round of shoot regeneration","volume":"14","author":[{"family":"Ding","given":"Liping"},{"family":"Chen","given":"Yajuan"},{"family":"Ma","given":"Yan"},{"family":"Wang","given":"Hongzhi"},{"family":"Wei","given":"Jianhua"}],"issued":{"date-parts":[["2020",10,1]]}},"locator":"2"}],"schema":"https://github.com/citation-style-language/schema/raw/master/csl-citation.json"} </w:instrText>
            </w:r>
            <w:r w:rsidRPr="004E4ECA">
              <w:rPr>
                <w:sz w:val="20"/>
                <w:szCs w:val="20"/>
              </w:rPr>
              <w:fldChar w:fldCharType="separate"/>
            </w:r>
            <w:r w:rsidRPr="004E4ECA">
              <w:rPr>
                <w:noProof/>
                <w:sz w:val="20"/>
                <w:szCs w:val="20"/>
              </w:rPr>
              <w:t>(Ding et al., 2020)</w:t>
            </w:r>
            <w:r w:rsidRPr="004E4ECA">
              <w:rPr>
                <w:sz w:val="20"/>
                <w:szCs w:val="20"/>
              </w:rPr>
              <w:fldChar w:fldCharType="end"/>
            </w:r>
          </w:p>
        </w:tc>
      </w:tr>
      <w:tr w:rsidR="00627C2F" w:rsidRPr="00832130" w14:paraId="3ED7F55E" w14:textId="77777777" w:rsidTr="00832130">
        <w:trPr>
          <w:trHeight w:val="247"/>
        </w:trPr>
        <w:tc>
          <w:tcPr>
            <w:cnfStyle w:val="001000000000" w:firstRow="0" w:lastRow="0" w:firstColumn="1" w:lastColumn="0" w:oddVBand="0" w:evenVBand="0" w:oddHBand="0" w:evenHBand="0" w:firstRowFirstColumn="0" w:firstRowLastColumn="0" w:lastRowFirstColumn="0" w:lastRowLastColumn="0"/>
            <w:tcW w:w="3595" w:type="dxa"/>
          </w:tcPr>
          <w:p w14:paraId="001EDA08" w14:textId="77777777" w:rsidR="00627C2F" w:rsidRPr="004E4ECA" w:rsidRDefault="00627C2F" w:rsidP="00627C2F">
            <w:pPr>
              <w:rPr>
                <w:sz w:val="20"/>
                <w:szCs w:val="20"/>
              </w:rPr>
            </w:pPr>
          </w:p>
        </w:tc>
        <w:tc>
          <w:tcPr>
            <w:tcW w:w="2340" w:type="dxa"/>
          </w:tcPr>
          <w:p w14:paraId="3A9F0D25" w14:textId="1B9210C5"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02C80CAE" w14:textId="14AD1DD6"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SAP</w:t>
            </w:r>
            <w:r w:rsidRPr="004E4ECA">
              <w:rPr>
                <w:sz w:val="20"/>
                <w:szCs w:val="20"/>
              </w:rPr>
              <w:t>, flowering/sterility</w:t>
            </w:r>
          </w:p>
        </w:tc>
        <w:tc>
          <w:tcPr>
            <w:tcW w:w="3389" w:type="dxa"/>
          </w:tcPr>
          <w:p w14:paraId="4F9B0E9B" w14:textId="321E28A1" w:rsidR="00627C2F" w:rsidRPr="004E4ECA" w:rsidRDefault="00FC6A04"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{"citationID":"FCRHytKz","properties":{"formattedCitation":"(Azeez and Busov, 2021)","plainCitation":"(Azeez and Busov, 2021)","noteIndex":0},"citationItems":[{"id":12,"uris":["http://zotero.org/users/local/ftZVc0Fk/items/IJD3TSF5"],"uri":["http://zotero.org/users/local/ftZVc0Fk/items/IJD3TSF5"],"itemData":{"id":12,"type":"article-journal","container-title":"Plant Biotechnology Journal","DOI":"10.1111/pbi.13451","ISSN":"1467-7644","issue":"1","journalAbbreviation":"Plant Biotechnology Journal","note":"publisher: John Wiley &amp; Sons, Ltd","page":"23-25","title":"CRISPR/Cas9-mediated single and biallelic knockout of poplar STERILE APETALA (PopSAP) leads to complete reproductive sterility","volume":"19","author":[{"family":"Azeez","given":"Abdul"},{"family":"Busov","given":"Victor"}],"issued":{"date-parts":[["2021",1,1]]}}}],"schema":"https://github.com/citation-style-language/schema/raw/master/csl-citation.json"} </w:instrText>
            </w:r>
            <w:r w:rsidRPr="004E4ECA">
              <w:rPr>
                <w:sz w:val="20"/>
                <w:szCs w:val="20"/>
              </w:rPr>
              <w:fldChar w:fldCharType="separate"/>
            </w:r>
            <w:r w:rsidRPr="004E4ECA">
              <w:rPr>
                <w:noProof/>
                <w:sz w:val="20"/>
                <w:szCs w:val="20"/>
              </w:rPr>
              <w:t>(Azeez and Busov, 2021)</w:t>
            </w:r>
            <w:r w:rsidRPr="004E4ECA">
              <w:rPr>
                <w:sz w:val="20"/>
                <w:szCs w:val="20"/>
              </w:rPr>
              <w:fldChar w:fldCharType="end"/>
            </w:r>
          </w:p>
        </w:tc>
      </w:tr>
      <w:tr w:rsidR="00B26D0C" w:rsidRPr="00832130" w14:paraId="624A931E" w14:textId="77777777" w:rsidTr="0083213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595" w:type="dxa"/>
          </w:tcPr>
          <w:p w14:paraId="7DECEAFD" w14:textId="77777777" w:rsidR="00627C2F" w:rsidRPr="004E4ECA" w:rsidRDefault="00627C2F" w:rsidP="00627C2F">
            <w:pPr>
              <w:rPr>
                <w:sz w:val="20"/>
                <w:szCs w:val="20"/>
              </w:rPr>
            </w:pPr>
          </w:p>
        </w:tc>
        <w:tc>
          <w:tcPr>
            <w:tcW w:w="2340" w:type="dxa"/>
          </w:tcPr>
          <w:p w14:paraId="04FFF5EF" w14:textId="6F661658"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6A8A756A" w14:textId="3A742C60"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5CC7480F" w14:textId="5EB6BA18" w:rsidR="00627C2F" w:rsidRPr="004E4ECA" w:rsidRDefault="00FC6A04"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{"citationID":"h3iMz96y","properties":{"formattedCitation":"(An et al., 2020)","plainCitation":"(An et al., 2020)","noteIndex":0},"citationItems":[{"id":295,"uris":["http://zotero.org/users/local/ftZVc0Fk/items/PPE9ZDCG"],"uri":["http://zotero.org/users/local/ftZVc0Fk/items/PPE9ZDCG"],"itemData":{"id":295,"type":"article-journal","abstract":"The ability to create targeted mutations using clustered regularly inter-spaced short palindromic repeats (CRISPR)/CRISPR-associated (Cas) 9 in support of forest tree biotechnology is currently limited. CRISPR/Cas12a is a novel CRISPR effector protein that not only broadens the CRISPR/Cas targeting range but also enables the generation of large-fragment deletions. In this study, a CRISPR/Cas12a system was evaluated for the induction of targeted mutations in the woody tree poplar (Populus alba × Populus glandulosa). Three Cas12a nucleases, namely, AsCas12a (Acidaminococcus sp. BV3L6), LbCas12a (Lachnospiraceae bacterium ND2006), and FnCas12a (Francisella tularensis subsp. novicidain U112), were used. We knocked out multiple targets of the phytoene desaturase gene 8 (PDS) using the CRISPR/Cas12a genome-targeting system, and the results indicated that the AsCas12a system is the most efficient. We further optimized the co-cultivation temperature after Agrobacterium-mediated transformation from 22 to 28°C to increase the Cas12a nuclease editing efficiency in poplar. AsCas12a showed the highest mutation efficiency, at 70%, and the majority of editing sites were composed of large-fragment deletions. By using this simple and high-efficiency CRISPR/Cas12a system, multiple targets can be modified to obtain multigene simultaneous knockout mutants in tree species, which will provide powerful tools with which to facilitate genetic studies of forest trees.","container-title":"Frontiers in Plant Science","DOI":"10.3389/fpls.2020.593938","ISSN":"1664-462X","journalAbbreviation":"Frontiers in Plant Science","page":"1776","title":"Efficient Genome Editing in Populus Using CRISPR/Cas12a","volume":"11","author":[{"family":"An","given":"Yi"},{"family":"Geng","given":"Ya"},{"family":"Yao","given":"Junguang"},{"family":"Fu","given":"Chunxiang"},{"family":"Lu","given":"Mengzhu"},{"family":"Wang","given":"Chun"},{"family":"Du","given":"Juan"}],"issued":{"date-parts":[["2020"]]}}}],"schema":"https://github.com/citation-style-language/schema/raw/master/csl-citation.json"} </w:instrText>
            </w:r>
            <w:r w:rsidRPr="004E4ECA">
              <w:rPr>
                <w:sz w:val="20"/>
                <w:szCs w:val="20"/>
              </w:rPr>
              <w:fldChar w:fldCharType="separate"/>
            </w:r>
            <w:r w:rsidRPr="004E4ECA">
              <w:rPr>
                <w:noProof/>
                <w:sz w:val="20"/>
                <w:szCs w:val="20"/>
              </w:rPr>
              <w:t>(An et al., 2020)</w:t>
            </w:r>
            <w:r w:rsidRPr="004E4ECA">
              <w:rPr>
                <w:sz w:val="20"/>
                <w:szCs w:val="20"/>
              </w:rPr>
              <w:fldChar w:fldCharType="end"/>
            </w:r>
          </w:p>
        </w:tc>
      </w:tr>
      <w:tr w:rsidR="00627C2F" w:rsidRPr="00832130" w14:paraId="08373861" w14:textId="77777777" w:rsidTr="00832130">
        <w:trPr>
          <w:trHeight w:val="247"/>
        </w:trPr>
        <w:tc>
          <w:tcPr>
            <w:cnfStyle w:val="001000000000" w:firstRow="0" w:lastRow="0" w:firstColumn="1" w:lastColumn="0" w:oddVBand="0" w:evenVBand="0" w:oddHBand="0" w:evenHBand="0" w:firstRowFirstColumn="0" w:firstRowLastColumn="0" w:lastRowFirstColumn="0" w:lastRowLastColumn="0"/>
            <w:tcW w:w="3595" w:type="dxa"/>
          </w:tcPr>
          <w:p w14:paraId="61FAC355" w14:textId="77777777" w:rsidR="00627C2F" w:rsidRPr="004E4ECA" w:rsidRDefault="00627C2F" w:rsidP="00627C2F">
            <w:pPr>
              <w:rPr>
                <w:sz w:val="20"/>
                <w:szCs w:val="20"/>
              </w:rPr>
            </w:pPr>
          </w:p>
        </w:tc>
        <w:tc>
          <w:tcPr>
            <w:tcW w:w="2340" w:type="dxa"/>
          </w:tcPr>
          <w:p w14:paraId="6C24811F" w14:textId="17C8754D"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F7A7C05" w14:textId="6A033413"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BR1,BR2</w:t>
            </w:r>
            <w:r w:rsidRPr="004E4ECA">
              <w:rPr>
                <w:sz w:val="20"/>
                <w:szCs w:val="20"/>
              </w:rPr>
              <w:t xml:space="preserve">, architecture </w:t>
            </w:r>
          </w:p>
        </w:tc>
        <w:tc>
          <w:tcPr>
            <w:tcW w:w="3389" w:type="dxa"/>
          </w:tcPr>
          <w:p w14:paraId="28F4AC1A" w14:textId="6BEEAFCB"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{"citationID":"ln5LpFVR","properties":{"formattedCitation":"(Muhr et al., 2018)","plainCitation":"(Muhr et al., 2018)","noteIndex":0},"citationItems":[{"id":48,"uris":["http://zotero.org/users/local/ftZVc0Fk/items/UHUDFNMG"],"uri":["http://zotero.org/users/local/ftZVc0Fk/items/UHUDFNMG"],"itemData":{"id":48,"type":"article-journal","abstract":"The TCP-type transcription factors BRANCHED1 and BRANCHED2 shape plant architecture by suppressing bud outgrowth, with BRANCHED2 only playing a minor role in Arabidopsis. Here, we investigated the function of orthologs of these genes in the model tree Populus. We used CRISPR/Cas9 to generate loss-of-function mutants of previously identified Populus BRANCHED1-1 and BRANCHED2-1 candidate genes. BRANCHED1-1 mutants exhibited strongly enhanced bud outgrowth. BRANCHED2-1 mutants had an extreme bud outgrowth phenotype and possessed two ectopic leaves at each node. While BRANCHED1 function is conserved in poplar, BRANCHED2, in contrast to its Arabidopsis counterpart, plays an even more critical role in bud outgrowth regulation. In addition, we identified a new, not yet reported association of this gene to leaf development.","container-title":"Tree Physiology","DOI":"10.1093/treephys/tpy088","ISSN":"1758-4469","issue":"10","journalAbbreviation":"Tree Physiology","page":"1588-1597","title":"CRISPR/Cas9-mediated knockout of Populus BRANCHED1 and BRANCHED2 orthologs reveals a major function in bud outgrowth control","volume":"38","author":[{"family":"Muhr","given":"Merlin"},{"family":"Paulat","given":"Maria"},{"family":"Awwanah","given":"Mo"},{"family":"Brinkkötter","given":"Mascha"},{"family":"Teichmann","given":"Thomas"}],"issued":{"date-parts":[["2018",10,1]]}}}],"schema":"https://github.com/citation-style-language/schema/raw/master/csl-citation.json"} </w:instrText>
            </w:r>
            <w:r w:rsidRPr="004E4ECA">
              <w:rPr>
                <w:sz w:val="20"/>
                <w:szCs w:val="20"/>
              </w:rPr>
              <w:fldChar w:fldCharType="separate"/>
            </w:r>
            <w:r w:rsidRPr="004E4ECA">
              <w:rPr>
                <w:noProof/>
                <w:sz w:val="20"/>
                <w:szCs w:val="20"/>
              </w:rPr>
              <w:t>(Muhr et al., 2018)</w:t>
            </w:r>
            <w:r w:rsidRPr="004E4ECA">
              <w:rPr>
                <w:sz w:val="20"/>
                <w:szCs w:val="20"/>
              </w:rPr>
              <w:fldChar w:fldCharType="end"/>
            </w:r>
          </w:p>
        </w:tc>
      </w:tr>
      <w:tr w:rsidR="00B26D0C" w:rsidRPr="00832130" w14:paraId="3DBC01FB"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497AA952" w14:textId="77777777" w:rsidR="00627C2F" w:rsidRPr="004E4ECA" w:rsidRDefault="00627C2F" w:rsidP="00627C2F">
            <w:pPr>
              <w:rPr>
                <w:sz w:val="20"/>
                <w:szCs w:val="20"/>
              </w:rPr>
            </w:pPr>
          </w:p>
        </w:tc>
        <w:tc>
          <w:tcPr>
            <w:tcW w:w="2340" w:type="dxa"/>
          </w:tcPr>
          <w:p w14:paraId="01BE7E98" w14:textId="4005D810"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040B2B7E" w14:textId="18583002"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LFY, AG</w:t>
            </w:r>
            <w:r w:rsidRPr="004E4ECA">
              <w:rPr>
                <w:sz w:val="20"/>
                <w:szCs w:val="20"/>
              </w:rPr>
              <w:t>, flowering/sterility</w:t>
            </w:r>
          </w:p>
        </w:tc>
        <w:tc>
          <w:tcPr>
            <w:tcW w:w="3389" w:type="dxa"/>
          </w:tcPr>
          <w:p w14:paraId="3B9042F0" w14:textId="40C756B5"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{"citationID":"ezSygqka","properties":{"formattedCitation":"(Elorriaga et al., 2018)","plainCitation":"(Elorriaga et al., 2018)","noteIndex":0},"citationItems":[{"id":107,"uris":["http://zotero.org/users/local/ftZVc0Fk/items/JAECDKHG"],"uri":["http://zotero.org/users/local/ftZVc0Fk/items/JAECDKHG"],"itemData":{"id":107,"type":"article-journal","abstract":"In an effort to produce reliably contained transgenic trees, we used the CRISPR/Cas9 system to alter three genes expected to be required for normal flowering in poplar (genus Populus). We designed synthetic guide RNAs (sgRNAs) to target the poplar homolog of the floral meristem identity gene, LEAFY (LFY), and the two poplar orthologs of the floral organ identity gene AGAMOUS (AG). We generated 557 transgenic events with sgRNA(s) and the Cas9 transgene and 49 events with Cas9 but no sgRNA, and analyzed all events by Sanger Sequencing of both alleles. Out of the 684 amplicons from events with sgRNAs, 474 had mutations in both alleles (77.5%). We sequenced both AG paralogs for 71 events in INRA clone 717-1B4 and 22 events in INRA clone 353-53, and found that 67 (94.4%) and 21 (95.5%) were double locus knockouts. Due partly to a single nucleotide polymorphism (SNP) present in the target region, one sgRNA targeting the AG paralogs was found to be completely inactive by itself (0%) but showed some activity in generating deletions when used in a construct with a second sgRNA (10.3–24.5%). Small insertion/deletion (indel) mutations were prevalent among mutated alleles of events with only one sgRNA (ranging from 94.3 to 99.1%), while large deletions were prevalent among alleles with two active sgRNAs (mean proportion of mutated alleles was 22.6% for small indels vs. 77.4% for large indels). For both LFY and AG, each individual sgRNA-gene combination had a unique mutation spectrum (p &lt; 0.001). An AG-sgRNA construct with two sgRNAs had similar mutation spectra among two poplar clones (p &gt; 0.05), however, a LFY-sgRNA construct with a single sgRNA gave significantly different mutation spectra among the same two clones (p &lt; 0.001). The 49 empty vector control events had no mutations in either allele, and 310 potential “off-target” sequences also had no mutations in 58 transgenic events studied. CRISPR/Cas9 is a very powerful and precise system for generating loss-of-function mutations in poplars, and should be effective for generating reliably infertile trees that may promote regulatory, market, or public acceptance of genetic engineering technology.","container-title":"Frontiers in Plant Science","DOI":"10.3389/fpls.2018.00594","ISSN":"1664-462X","journalAbbreviation":"Frontiers in Plant Science","page":"594","title":"Variation in Mutation Spectra Among CRISPR/Cas9 Mutagenized Poplars","volume":"9","author":[{"family":"Elorriaga","given":"Estefania"},{"family":"Klocko","given":"Amy L."},{"family":"Ma","given":"Cathleen"},{"family":"Strauss","given":"Steven H."}],"issued":{"date-parts":[["2018"]]}}}],"schema":"https://github.com/citation-style-language/schema/raw/master/csl-citation.json"} </w:instrText>
            </w:r>
            <w:r w:rsidRPr="004E4ECA">
              <w:rPr>
                <w:sz w:val="20"/>
                <w:szCs w:val="20"/>
              </w:rPr>
              <w:fldChar w:fldCharType="separate"/>
            </w:r>
            <w:r w:rsidRPr="004E4ECA">
              <w:rPr>
                <w:noProof/>
                <w:sz w:val="20"/>
                <w:szCs w:val="20"/>
              </w:rPr>
              <w:t>(Elorriaga et al., 2018)</w:t>
            </w:r>
            <w:r w:rsidRPr="004E4ECA">
              <w:rPr>
                <w:sz w:val="20"/>
                <w:szCs w:val="20"/>
              </w:rPr>
              <w:fldChar w:fldCharType="end"/>
            </w:r>
          </w:p>
        </w:tc>
      </w:tr>
      <w:tr w:rsidR="00627C2F" w:rsidRPr="00832130" w14:paraId="61E7449D"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8180F28" w14:textId="77777777" w:rsidR="00627C2F" w:rsidRPr="004E4ECA" w:rsidRDefault="00627C2F" w:rsidP="00627C2F">
            <w:pPr>
              <w:rPr>
                <w:sz w:val="20"/>
                <w:szCs w:val="20"/>
              </w:rPr>
            </w:pPr>
          </w:p>
        </w:tc>
        <w:tc>
          <w:tcPr>
            <w:tcW w:w="2340" w:type="dxa"/>
          </w:tcPr>
          <w:p w14:paraId="4E0A684B" w14:textId="6917DD1C"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004FDB58" w14:textId="14D62B1C"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ARR17</w:t>
            </w:r>
            <w:r w:rsidRPr="004E4ECA">
              <w:rPr>
                <w:sz w:val="20"/>
                <w:szCs w:val="20"/>
              </w:rPr>
              <w:t>, sex determination</w:t>
            </w:r>
          </w:p>
        </w:tc>
        <w:tc>
          <w:tcPr>
            <w:tcW w:w="3389" w:type="dxa"/>
          </w:tcPr>
          <w:p w14:paraId="129E6722" w14:textId="30D17D32"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rPr>
            </w:pPr>
            <w:r w:rsidRPr="004E4ECA">
              <w:rPr>
                <w:rStyle w:val="Emphasis"/>
                <w:rFonts w:ascii="Calibri" w:hAnsi="Calibri" w:cs="Calibri"/>
                <w:i w:val="0"/>
                <w:iCs w:val="0"/>
                <w:color w:val="000000" w:themeColor="text1"/>
                <w:sz w:val="20"/>
                <w:szCs w:val="20"/>
                <w:shd w:val="clear" w:color="auto" w:fill="FFFFFF"/>
              </w:rPr>
              <w:fldChar w:fldCharType="begin"/>
            </w:r>
            <w:r w:rsidRPr="004E4ECA">
              <w:rPr>
                <w:rStyle w:val="Emphasis"/>
                <w:rFonts w:ascii="Calibri" w:hAnsi="Calibri" w:cs="Calibri"/>
                <w:i w:val="0"/>
                <w:iCs w:val="0"/>
                <w:color w:val="000000" w:themeColor="text1"/>
                <w:sz w:val="20"/>
                <w:szCs w:val="20"/>
                <w:shd w:val="clear" w:color="auto" w:fill="FFFFFF"/>
              </w:rPr>
              <w:instrText xml:space="preserve"> ADDIN ZOTERO_ITEM CSL_CITATION {"citationID":"Z3XgtphV","properties":{"formattedCitation":"(M\\uc0\\u252{}ller et al., 2020)","plainCitation":"(Müller et al., 2020)","noteIndex":0},"citationItems":[{"id":108,"uris":["http://zotero.org/users/local/ftZVc0Fk/items/8ZIBJI7Q"],"uri":["http://zotero.org/users/local/ftZVc0Fk/items/8ZIBJI7Q"],"itemData":{"id":108,"type":"article-journal","abstract":"Although hundreds of plant lineages have independently evolved dioecy (that is, separation of the sexes), the underlying genetic basis remains largely elusive1. Here we show that diverse poplar species carry partial duplicates of the ARABIDOPSIS RESPONSE REGULATOR 17 (ARR17) orthologue in the male-specific region of the Y chromosome. These duplicates give rise to small RNAs apparently causing male-specific DNA methylation and silencing of the ARR17 gene. CRISPR–Cas9-induced mutations demonstrate that ARR17 functions as a sex switch, triggering female development when on and male development when off. Despite repeated turnover events, including a transition from the XY system to a ZW system, the sex-specific regulation of ARR17 is conserved across the poplar genus and probably beyond. Our data reveal how a single-gene-based mechanism of dioecy can enable highly dynamic sex-linked regions and contribute to maintaining recombination and integrity of sex chromosomes.","container-title":"Nature Plants","DOI":"10.1038/s41477-020-0672-9","ISSN":"2055-0278","issue":"6","journalAbbreviation":"Nature Plants","page":"630-637","title":"A single gene underlies the dynamic evolution of poplar sex determination","volume":"6","author":[{"family":"Müller","given":"Niels A."},{"family":"Kersten","given":"Birgit"},{"family":"Leite Montalvão","given":"Ana P."},{"family":"Mähler","given":"Niklas"},{"family":"Bernhardsson","given":"Carolina"},{"family":"Bräutigam","given":"Katharina"},{"family":"Carracedo Lorenzo","given":"Zulema"},{"family":"Hoenicka","given":"Hans"},{"family":"Kumar","given":"Vikash"},{"family":"Mader","given":"Malte"},{"family":"Pakull","given":"Birte"},{"family":"Robinson","given":"Kathryn M."},{"family":"Sabatti","given":"Maurizio"},{"family":"Vettori","given":"Cristina"},{"family":"Ingvarsson","given":"Pär K."},{"family":"Cronk","given":"Quentin"},{"family":"Street","given":"Nathaniel R."},{"family":"Fladung","given":"Matthias"}],"issued":{"date-parts":[["2020",6,1]]}},"locator":"17"}],"schema":"https://github.com/citation-style-language/schema/raw/master/csl-citation.json"} </w:instrText>
            </w:r>
            <w:r w:rsidRPr="004E4ECA">
              <w:rPr>
                <w:rStyle w:val="Emphasis"/>
                <w:rFonts w:ascii="Calibri" w:hAnsi="Calibri" w:cs="Calibri"/>
                <w:i w:val="0"/>
                <w:iCs w:val="0"/>
                <w:color w:val="000000" w:themeColor="text1"/>
                <w:sz w:val="20"/>
                <w:szCs w:val="20"/>
                <w:shd w:val="clear" w:color="auto" w:fill="FFFFFF"/>
              </w:rPr>
              <w:fldChar w:fldCharType="separate"/>
            </w:r>
            <w:r w:rsidRPr="004E4ECA">
              <w:rPr>
                <w:rFonts w:ascii="Calibri" w:hAnsi="Calibri" w:cs="Calibri"/>
                <w:color w:val="000000"/>
                <w:sz w:val="20"/>
                <w:szCs w:val="20"/>
              </w:rPr>
              <w:t>(Müller et al., 2020)</w:t>
            </w:r>
            <w:r w:rsidRPr="004E4ECA">
              <w:rPr>
                <w:rStyle w:val="Emphasis"/>
                <w:rFonts w:ascii="Calibri" w:hAnsi="Calibri" w:cs="Calibri"/>
                <w:i w:val="0"/>
                <w:iCs w:val="0"/>
                <w:color w:val="000000" w:themeColor="text1"/>
                <w:sz w:val="20"/>
                <w:szCs w:val="20"/>
                <w:shd w:val="clear" w:color="auto" w:fill="FFFFFF"/>
              </w:rPr>
              <w:fldChar w:fldCharType="end"/>
            </w:r>
          </w:p>
        </w:tc>
      </w:tr>
      <w:tr w:rsidR="00627C2F" w:rsidRPr="00832130" w14:paraId="4839CA48"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0402B43" w14:textId="77777777" w:rsidR="00627C2F" w:rsidRPr="004E4ECA" w:rsidRDefault="00627C2F" w:rsidP="00627C2F">
            <w:pPr>
              <w:rPr>
                <w:sz w:val="20"/>
                <w:szCs w:val="20"/>
              </w:rPr>
            </w:pPr>
          </w:p>
        </w:tc>
        <w:tc>
          <w:tcPr>
            <w:tcW w:w="2340" w:type="dxa"/>
          </w:tcPr>
          <w:p w14:paraId="38C8686E" w14:textId="2B8DD552"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7B5B1B8D" w14:textId="6B8AD2A7"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UGT71L1</w:t>
            </w:r>
            <w:r w:rsidRPr="004E4ECA">
              <w:rPr>
                <w:sz w:val="20"/>
                <w:szCs w:val="20"/>
              </w:rPr>
              <w:t>, defense biochemistry</w:t>
            </w:r>
          </w:p>
        </w:tc>
        <w:tc>
          <w:tcPr>
            <w:tcW w:w="3389" w:type="dxa"/>
          </w:tcPr>
          <w:p w14:paraId="713CE568" w14:textId="5C2B2692"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{"citationID":"mbseJ04C","properties":{"formattedCitation":"(Fellenberg et al., 2020)","plainCitation":"(Fellenberg et al., 2020)","noteIndex":0},"citationItems":[{"id":109,"uris":["http://zotero.org/users/local/ftZVc0Fk/items/FHA4TIY8"],"uri":["http://zotero.org/users/local/ftZVc0Fk/items/FHA4TIY8"],"itemData":{"id":109,"type":"article-journal","abstract":"SUMMARY The salicinoids are anti-herbivore phenolic glycosides unique to the Salicaceae (Populus and Salix). They consist of a salicyl alcohol glucoside core, which is usually further acylated with benzoic, cinnamic or phenolic acids. While salicinoid structures are well known, their biosynthesis remains enigmatic. Recently, two enzymes from poplar, salicyl alcohol benzoyl transferase and benzyl alcohol benzoyl transferase, were shown to catalyze the production of salicyl benzoate, a predicted potential intermediate in salicinoid biosynthesis. Here, we used transcriptomics and co-expression analysis with these two genes to identify two UDP-glucose-dependent glycosyltransferases (UGT71L1 and UGT78M1) as candidate enzymes in this pathway. Both recombinant enzymes accepted only salicyl benzoate, salicylaldehyde and 2-hydroxycinnamic acid as glucose acceptors. Knocking out the UGT71L1 gene by CRISPR/Cas9 in poplar hairy root cultures led to the complete loss of salicortin, tremulacin and tremuloidin, and a partial reduction of salicin content. This demonstrated that UGT71L1 is required for synthesis of the major salicinoids, and suggested that an additional route can lead to salicin. CRISPR/Cas9 knockouts for UGT78M1 were not successful, and its in vivo role thus remains to be determined. Although it has a similar substrate preference and predicted structure as UGT71L1, it appears not to contribute to the synthesis of salicortin, tremulacin and tremuloidin, at least in roots. The demonstration of UGT71L1 as an enzyme of salicinoid biosynthesis will open up new avenues for the elucidation of this pathway.","container-title":"The Plant Journal","DOI":"10.1111/tpj.14615","ISSN":"0960-7412","issue":"1","journalAbbreviation":"The Plant Journal","note":"publisher: John Wiley &amp; Sons, Ltd","page":"99-115","title":"Discovery of salicyl benzoate UDP-glycosyltransferase, a central enzyme in poplar salicinoid phenolic glycoside biosynthesis","volume":"102","author":[{"family":"Fellenberg","given":"Christin"},{"family":"Corea","given":"Oliver"},{"family":"Yan","given":"Lok-Hang"},{"family":"Archinuk","given":"Finn"},{"family":"Piirtola","given":"Eerik-Mikael"},{"family":"Gordon","given":"Harley"},{"family":"Reichelt","given":"Michael"},{"family":"Brandt","given":"Wolfgang"},{"family":"Wulff","given":"Jeremy"},{"family":"Ehlting","given":"Jürgen"},{"family":"Peter Constabel","given":"C."}],"issued":{"date-parts":[["2020",4,1]]}}}],"schema":"https://github.com/citation-style-language/schema/raw/master/csl-citation.json"} </w:instrText>
            </w:r>
            <w:r w:rsidRPr="004E4ECA">
              <w:rPr>
                <w:sz w:val="20"/>
                <w:szCs w:val="20"/>
              </w:rPr>
              <w:fldChar w:fldCharType="separate"/>
            </w:r>
            <w:r w:rsidRPr="004E4ECA">
              <w:rPr>
                <w:noProof/>
                <w:sz w:val="20"/>
                <w:szCs w:val="20"/>
              </w:rPr>
              <w:t>(Fellenberg et al., 2020)</w:t>
            </w:r>
            <w:r w:rsidRPr="004E4ECA">
              <w:rPr>
                <w:sz w:val="20"/>
                <w:szCs w:val="20"/>
              </w:rPr>
              <w:fldChar w:fldCharType="end"/>
            </w:r>
          </w:p>
        </w:tc>
      </w:tr>
      <w:tr w:rsidR="00627C2F" w:rsidRPr="00832130" w14:paraId="39036756"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C11FD9A" w14:textId="77777777" w:rsidR="00627C2F" w:rsidRPr="004E4ECA" w:rsidRDefault="00627C2F" w:rsidP="00627C2F">
            <w:pPr>
              <w:rPr>
                <w:sz w:val="20"/>
                <w:szCs w:val="20"/>
              </w:rPr>
            </w:pPr>
          </w:p>
        </w:tc>
        <w:tc>
          <w:tcPr>
            <w:tcW w:w="2340" w:type="dxa"/>
          </w:tcPr>
          <w:p w14:paraId="093AE7CC" w14:textId="7FDD20EB"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3DB317C" w14:textId="6280BCF0"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MTP1</w:t>
            </w:r>
            <w:r w:rsidRPr="004E4ECA">
              <w:rPr>
                <w:sz w:val="20"/>
                <w:szCs w:val="20"/>
              </w:rPr>
              <w:t>, metal transport</w:t>
            </w:r>
          </w:p>
        </w:tc>
        <w:tc>
          <w:tcPr>
            <w:tcW w:w="3389" w:type="dxa"/>
          </w:tcPr>
          <w:p w14:paraId="7B063A9C" w14:textId="20B3CA84"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w:t>
            </w:r>
            <w:r w:rsidR="00627C2F" w:rsidRPr="004E4ECA">
              <w:rPr>
                <w:sz w:val="20"/>
                <w:szCs w:val="20"/>
              </w:rPr>
              <w:t>Della Maggiora, 2020</w:t>
            </w:r>
            <w:r w:rsidRPr="004E4ECA">
              <w:rPr>
                <w:sz w:val="20"/>
                <w:szCs w:val="20"/>
              </w:rPr>
              <w:t>)</w:t>
            </w:r>
          </w:p>
        </w:tc>
      </w:tr>
      <w:tr w:rsidR="00627C2F" w:rsidRPr="00832130" w14:paraId="1B466629"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2A0210A" w14:textId="77777777" w:rsidR="00627C2F" w:rsidRPr="004E4ECA" w:rsidRDefault="00627C2F" w:rsidP="00627C2F">
            <w:pPr>
              <w:rPr>
                <w:sz w:val="20"/>
                <w:szCs w:val="20"/>
              </w:rPr>
            </w:pPr>
          </w:p>
        </w:tc>
        <w:tc>
          <w:tcPr>
            <w:tcW w:w="2340" w:type="dxa"/>
          </w:tcPr>
          <w:p w14:paraId="64204B75" w14:textId="4090CF53"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5FBA4A4" w14:textId="4EEC97E0"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MYB115</w:t>
            </w:r>
            <w:r w:rsidRPr="004E4ECA">
              <w:rPr>
                <w:sz w:val="20"/>
                <w:szCs w:val="20"/>
              </w:rPr>
              <w:t>, fungal resistance</w:t>
            </w:r>
          </w:p>
        </w:tc>
        <w:tc>
          <w:tcPr>
            <w:tcW w:w="3389" w:type="dxa"/>
          </w:tcPr>
          <w:p w14:paraId="61E7F8F3" w14:textId="47806B17"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{"citationID":"caZXhhzl","properties":{"formattedCitation":"(Wang et al., 2017)","plainCitation":"(Wang et al., 2017)","noteIndex":0},"citationItems":[{"id":111,"uris":["http://zotero.org/users/local/ftZVc0Fk/items/MISF38WB"],"uri":["http://zotero.org/users/local/ftZVc0Fk/items/MISF38WB"],"itemData":{"id":111,"type":"article-journal","abstract":"Summary Proanthocyanidins (PAs) are major defense phenolic compounds in the leaves of poplar (Populus spp.) in response to abiotic and biotic stresses. Transcriptional regulation of PA biosynthetic genes by the MYB-basic helix?loop?helix (bHLH)-WD40 complexes in poplar is not still fully understood. Here, an Arabidopsis TT2-like gene MYB115 was isolated from Populus tomentosa and characterized by various molecular, genetic and biochemical approaches. MYB115 restored PA productions in the seed coat of the Arabidopsis tt2 mutant. Overexpression of MYB115 in poplar activated expression of PA biosynthetic genes, resulting in a significant increase in PA concentrations. By contrast, the CRISPR/Cas9-generated myb115 mutant exhibited reduced PA content and decreased expression of PA biosynthetic genes. MYB115 directly activated the promoters of PA-specific structural genes. MYB115 interacted with poplar TT8. Coexpression of MYB115, TT8 and poplar TTG1 significantly enhanced the expression of ANR1 and LAR3. Additionally, transgenic plants overexpressing MYB115 had increased resistance to the fungal pathogen Dothiorella gregaria, whereas myb115 mutant exhibited greater sensitivity compared with wild-type plants. Our data provide insight into the regulatory mechanisms controlling PA biosynthesis by MYB115 in poplar, which could be effectively employed for metabolic engineering of PAs to improve resistance to fungal pathogens.","container-title":"New Phytologist","DOI":"10.1111/nph.14569","ISSN":"0028-646X","issue":"1","journalAbbreviation":"New Phytologist","note":"publisher: John Wiley &amp; Sons, Ltd","page":"351-367","title":"The transcription factor MYB115 contributes to the regulation of proanthocyanidin biosynthesis and enhances fungal resistance in poplar","volume":"215","author":[{"family":"Wang","given":"Lijun"},{"family":"Ran","given":"Lingyu"},{"family":"Hou","given":"Yisu"},{"family":"Tian","given":"Qiaoyan"},{"family":"Li","given":"Chaofeng"},{"family":"Liu","given":"Rui"},{"family":"Fan","given":"Di"},{"family":"Luo","given":"Keming"}],"issued":{"date-parts":[["2017",7,1]]}}}],"schema":"https://github.com/citation-style-language/schema/raw/master/csl-citation.json"} </w:instrText>
            </w:r>
            <w:r w:rsidRPr="004E4ECA">
              <w:rPr>
                <w:sz w:val="20"/>
                <w:szCs w:val="20"/>
              </w:rPr>
              <w:fldChar w:fldCharType="separate"/>
            </w:r>
            <w:r w:rsidRPr="004E4ECA">
              <w:rPr>
                <w:noProof/>
                <w:sz w:val="20"/>
                <w:szCs w:val="20"/>
              </w:rPr>
              <w:t>(Wang et al., 2017)</w:t>
            </w:r>
            <w:r w:rsidRPr="004E4ECA">
              <w:rPr>
                <w:sz w:val="20"/>
                <w:szCs w:val="20"/>
              </w:rPr>
              <w:fldChar w:fldCharType="end"/>
            </w:r>
          </w:p>
        </w:tc>
      </w:tr>
      <w:tr w:rsidR="00627C2F" w:rsidRPr="00832130" w14:paraId="5756B421"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6C9EB3D" w14:textId="77777777" w:rsidR="00627C2F" w:rsidRPr="004E4ECA" w:rsidRDefault="00627C2F" w:rsidP="00627C2F">
            <w:pPr>
              <w:rPr>
                <w:sz w:val="20"/>
                <w:szCs w:val="20"/>
              </w:rPr>
            </w:pPr>
          </w:p>
        </w:tc>
        <w:tc>
          <w:tcPr>
            <w:tcW w:w="2340" w:type="dxa"/>
          </w:tcPr>
          <w:p w14:paraId="3B5273C7" w14:textId="6DB4DF02"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6530736E" w14:textId="526AFE91"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MYB156</w:t>
            </w:r>
            <w:r w:rsidRPr="004E4ECA">
              <w:rPr>
                <w:sz w:val="20"/>
                <w:szCs w:val="20"/>
              </w:rPr>
              <w:t>, phenylpropanoid biosyn.</w:t>
            </w:r>
          </w:p>
        </w:tc>
        <w:tc>
          <w:tcPr>
            <w:tcW w:w="3389" w:type="dxa"/>
          </w:tcPr>
          <w:p w14:paraId="0EC93082" w14:textId="0895BE59"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{"citationID":"pUUXo8gz","properties":{"formattedCitation":"(Yang et al., 2017)","plainCitation":"(Yang et al., 2017)","noteIndex":0},"citationItems":[{"id":113,"uris":["http://zotero.org/users/local/ftZVc0Fk/items/FTRBFBZ3"],"uri":["http://zotero.org/users/local/ftZVc0Fk/items/FTRBFBZ3"],"itemData":{"id":113,"type":"article-journal","abstract":"Some R2R3 MYB transcription factors have been shown to be major regulators of phenylpropanoid biosynthetic pathway and impact secondary wall formation in plants. In this study, we describe the functional characterization of PtoMYB156, encoding a R2R3-MYB transcription factor, from Populus tomentosa. Expression pattern analysis showed that PtoMYB156 is widely expressed in all tissues examined, but predominantly in leaves and developing wood cells. PtoMYB156 localized to the nucleus and acted as a transcriptional repressor. Overexpression of PtoMYB156 in poplar repressed phenylpropanoid biosynthetic genes, leading to a reduction in the amounts of total phenolic and flavonoid compounds. Transgenic plants overexpressing PtoMYB156 also displayed a dramatic decrease in secondary wall thicknesses of xylem fibers and the content of cellulose, lignin and xylose compared with wild-type plants. Transcript accumulation of secondary wall biosynthetic genes was down-regulated by PtoMYB156 overexpression. Transcriptional activation assays revealed that PtoMYB156 was able to repress the promoter activities of poplar CESA17, C4H2 and GT43B. By contrast, knockout of PtoMYB156 by CRISPR/Cas9 in poplar resulted in ectopic deposition of lignin, xylan and cellulose during secondary cell wall formation. Taken together, these results show that PtoMYB156 may repress phenylpropanoid biosynthesis and negatively regulate secondary cell wall formation in poplar.","container-title":"Scientific Reports","DOI":"10.1038/srep41209","ISSN":"2045-2322","issue":"1","journalAbbreviation":"Scientific Reports","page":"41209","title":"PtoMYB156 is involved in negative regulation of phenylpropanoid metabolism and secondary cell wall biosynthesis during wood formation in poplar","volume":"7","author":[{"family":"Yang","given":"Li"},{"family":"Zhao","given":"Xin"},{"family":"Ran","given":"Lingyu"},{"family":"Li","given":"Chaofeng"},{"family":"Fan","given":"Di"},{"family":"Luo","given":"Keming"}],"issued":{"date-parts":[["2017",1,24]]}},"locator":"156"}],"schema":"https://github.com/citation-style-language/schema/raw/master/csl-citation.json"} </w:instrText>
            </w:r>
            <w:r w:rsidRPr="004E4ECA">
              <w:rPr>
                <w:sz w:val="20"/>
                <w:szCs w:val="20"/>
              </w:rPr>
              <w:fldChar w:fldCharType="separate"/>
            </w:r>
            <w:r w:rsidRPr="004E4ECA">
              <w:rPr>
                <w:noProof/>
                <w:sz w:val="20"/>
                <w:szCs w:val="20"/>
              </w:rPr>
              <w:t>(Yang et al., 2017)</w:t>
            </w:r>
            <w:r w:rsidRPr="004E4ECA">
              <w:rPr>
                <w:sz w:val="20"/>
                <w:szCs w:val="20"/>
              </w:rPr>
              <w:fldChar w:fldCharType="end"/>
            </w:r>
          </w:p>
        </w:tc>
      </w:tr>
      <w:tr w:rsidR="00627C2F" w:rsidRPr="00832130" w14:paraId="49B590A1"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4494C14" w14:textId="77777777" w:rsidR="00627C2F" w:rsidRPr="004E4ECA" w:rsidRDefault="00627C2F" w:rsidP="00627C2F">
            <w:pPr>
              <w:rPr>
                <w:sz w:val="20"/>
                <w:szCs w:val="20"/>
              </w:rPr>
            </w:pPr>
          </w:p>
        </w:tc>
        <w:tc>
          <w:tcPr>
            <w:tcW w:w="2340" w:type="dxa"/>
          </w:tcPr>
          <w:p w14:paraId="7AF858EE" w14:textId="78465EE6"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24788F1C" w14:textId="02003CCD"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JMJ25</w:t>
            </w:r>
            <w:r w:rsidRPr="004E4ECA">
              <w:rPr>
                <w:sz w:val="20"/>
                <w:szCs w:val="20"/>
              </w:rPr>
              <w:t>, anthocyanin  biosyn.</w:t>
            </w:r>
          </w:p>
        </w:tc>
        <w:tc>
          <w:tcPr>
            <w:tcW w:w="3389" w:type="dxa"/>
          </w:tcPr>
          <w:p w14:paraId="4016E755" w14:textId="549B621B"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{"citationID":"m4stgb4v","properties":{"formattedCitation":"(Fan et al., 2018)","plainCitation":"(Fan et al., 2018)","noteIndex":0},"citationItems":[{"id":114,"uris":["http://zotero.org/users/local/ftZVc0Fk/items/TIZMFBP8"],"uri":["http://zotero.org/users/local/ftZVc0Fk/items/TIZMFBP8"],"itemData":{"id":114,"type":"article-journal","abstract":"Summary Anthocyanins are involved in several aspects of development and defence in poplar (Populus spp.). Although, over the past decades, significant progress has been made in uncovering these anthocyanin biosynthetic and regulatory mechanisms, the fundamental understanding of the epigenetic regulation in this pathway is still largely unclear. Here, we isolated a histone H3K9 demethylase gene JMJ25 from Populus and characterized its role in anthocyanin biosynthesis by genetic and biochemical approaches. JMJ25 was induced by continuous dark treatment. Overexpression of JMJ25 led to downregulated expression of anthocyanin biosynthetic genes in transgenic poplar, resulting in a significant reduction in anthocyanin content. ChIP-qPCR assays showed that JMJ25 could directly associate with MYB182 chromatin and dynamically demethylate at H3K9me2. Furthermore, JMJ25 also affected the DNA methylation levels of MYB182. By contrast, knockout of JMJ25 by CRISPR/Cas9 resulted in ectopic anthocyanin accumulation under dark condition and increased expression of anthocyanin biosynthetic genes. Our results support a model in which JMJ25 directly affects MYB182 expression by altering the histone methylation status of its chromatin and DNA methylation, resulting in repression of anthocyanin accumulation. This study uncovered an epigenetic mechanism that modulates anthocyanin biosynthesis in poplar.","container-title":"The Plant Journal","DOI":"10.1111/tpj.14092","ISSN":"0960-7412","issue":"6","journalAbbreviation":"The Plant Journal","note":"publisher: John Wiley &amp; Sons, Ltd","page":"1121-1136","title":"Histone H3K9 demethylase JMJ25 epigenetically modulates anthocyanin biosynthesis in poplar","volume":"96","author":[{"family":"Fan","given":"Di"},{"family":"Wang","given":"Xianqiang"},{"family":"Tang","given":"Xiaofeng"},{"family":"Ye","given":"Xiao"},{"family":"Ren","given":"Sha"},{"family":"Wang","given":"Denghui"},{"family":"Luo","given":"Keming"}],"issued":{"date-parts":[["2018",12,1]]}}}],"schema":"https://github.com/citation-style-language/schema/raw/master/csl-citation.json"} </w:instrText>
            </w:r>
            <w:r w:rsidRPr="004E4ECA">
              <w:rPr>
                <w:sz w:val="20"/>
                <w:szCs w:val="20"/>
              </w:rPr>
              <w:fldChar w:fldCharType="separate"/>
            </w:r>
            <w:r w:rsidRPr="004E4ECA">
              <w:rPr>
                <w:noProof/>
                <w:sz w:val="20"/>
                <w:szCs w:val="20"/>
              </w:rPr>
              <w:t>(Fan et al., 2018)</w:t>
            </w:r>
            <w:r w:rsidRPr="004E4ECA">
              <w:rPr>
                <w:sz w:val="20"/>
                <w:szCs w:val="20"/>
              </w:rPr>
              <w:fldChar w:fldCharType="end"/>
            </w:r>
          </w:p>
        </w:tc>
      </w:tr>
      <w:tr w:rsidR="00627C2F" w:rsidRPr="00832130" w14:paraId="10362EBC" w14:textId="77777777" w:rsidTr="00832130">
        <w:trPr>
          <w:trHeight w:val="194"/>
        </w:trPr>
        <w:tc>
          <w:tcPr>
            <w:cnfStyle w:val="001000000000" w:firstRow="0" w:lastRow="0" w:firstColumn="1" w:lastColumn="0" w:oddVBand="0" w:evenVBand="0" w:oddHBand="0" w:evenHBand="0" w:firstRowFirstColumn="0" w:firstRowLastColumn="0" w:lastRowFirstColumn="0" w:lastRowLastColumn="0"/>
            <w:tcW w:w="3595" w:type="dxa"/>
          </w:tcPr>
          <w:p w14:paraId="557A47C7" w14:textId="77777777" w:rsidR="00627C2F" w:rsidRPr="004E4ECA" w:rsidRDefault="00627C2F" w:rsidP="00627C2F">
            <w:pPr>
              <w:rPr>
                <w:sz w:val="20"/>
                <w:szCs w:val="20"/>
              </w:rPr>
            </w:pPr>
          </w:p>
        </w:tc>
        <w:tc>
          <w:tcPr>
            <w:tcW w:w="2340" w:type="dxa"/>
          </w:tcPr>
          <w:p w14:paraId="4F208E95" w14:textId="3EB398E3"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2F0ADC8C" w14:textId="78F78C7D"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MYB57</w:t>
            </w:r>
            <w:r w:rsidRPr="004E4ECA">
              <w:rPr>
                <w:sz w:val="20"/>
                <w:szCs w:val="20"/>
              </w:rPr>
              <w:t>, anthocyanin  biosyn.</w:t>
            </w:r>
          </w:p>
        </w:tc>
        <w:tc>
          <w:tcPr>
            <w:tcW w:w="3389" w:type="dxa"/>
          </w:tcPr>
          <w:p w14:paraId="4EBBA859" w14:textId="34FD5CCE"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{"citationID":"1uRuk0To","properties":{"formattedCitation":"(Wan et al., 2017)","plainCitation":"(Wan et al., 2017)","noteIndex":0},"citationItems":[{"id":116,"uris":["http://zotero.org/users/local/ftZVc0Fk/items/IBW8JHU9"],"uri":["http://zotero.org/users/local/ftZVc0Fk/items/IBW8JHU9"],"itemData":{"id":116,"type":"article-journal","abstract":"A novel R2R3 MYB transcription factorPtrMYB57interacted with bHLH131 and PtrTTG1 to form the MBW complex and negatively regulated the biosynthesis of both anthocyanins and PAs in poplar.","container-title":"Plant Cell Reports","DOI":"10.1007/s00299-017-2151-y","ISSN":"1432-203X","issue":"8","journalAbbreviation":"Plant Cell Reports","page":"1263-1276","title":"PtrMYB57 contributes to the negative regulation of anthocyanin and proanthocyanidin biosynthesis in poplar","volume":"36","author":[{"family":"Wan","given":"Shuzhen"},{"family":"Li","given":"Chaofeng"},{"family":"Ma","given":"Xiaodong"},{"family":"Luo","given":"Keming"}],"issued":{"date-parts":[["2017",8,1]]}}}],"schema":"https://github.com/citation-style-language/schema/raw/master/csl-citation.json"} </w:instrText>
            </w:r>
            <w:r w:rsidRPr="004E4ECA">
              <w:rPr>
                <w:sz w:val="20"/>
                <w:szCs w:val="20"/>
              </w:rPr>
              <w:fldChar w:fldCharType="separate"/>
            </w:r>
            <w:r w:rsidRPr="004E4ECA">
              <w:rPr>
                <w:noProof/>
                <w:sz w:val="20"/>
                <w:szCs w:val="20"/>
              </w:rPr>
              <w:t>(Wan et al., 2017)</w:t>
            </w:r>
            <w:r w:rsidRPr="004E4ECA">
              <w:rPr>
                <w:sz w:val="20"/>
                <w:szCs w:val="20"/>
              </w:rPr>
              <w:fldChar w:fldCharType="end"/>
            </w:r>
          </w:p>
        </w:tc>
      </w:tr>
      <w:tr w:rsidR="00627C2F" w:rsidRPr="00832130" w14:paraId="68615786"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9AB91F4" w14:textId="77777777" w:rsidR="00627C2F" w:rsidRPr="004E4ECA" w:rsidRDefault="00627C2F" w:rsidP="00627C2F">
            <w:pPr>
              <w:rPr>
                <w:sz w:val="20"/>
                <w:szCs w:val="20"/>
              </w:rPr>
            </w:pPr>
          </w:p>
        </w:tc>
        <w:tc>
          <w:tcPr>
            <w:tcW w:w="2340" w:type="dxa"/>
          </w:tcPr>
          <w:p w14:paraId="160B0533" w14:textId="336A34E6"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3FD33AE9" w14:textId="41AA0AB9"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CCR2</w:t>
            </w:r>
            <w:r w:rsidRPr="004E4ECA">
              <w:rPr>
                <w:sz w:val="20"/>
                <w:szCs w:val="20"/>
              </w:rPr>
              <w:t>, lignin biosyn.</w:t>
            </w:r>
          </w:p>
        </w:tc>
        <w:tc>
          <w:tcPr>
            <w:tcW w:w="3389" w:type="dxa"/>
          </w:tcPr>
          <w:p w14:paraId="2587DE21" w14:textId="29E8C3CC"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{"citationID":"yTg113zK","properties":{"formattedCitation":"(De Meester et al., 2020)","plainCitation":"(De Meester et al., 2020)","noteIndex":0},"citationItems":[{"id":117,"uris":["http://zotero.org/users/local/ftZVc0Fk/items/C3Y7XDLW"],"uri":["http://zotero.org/users/local/ftZVc0Fk/items/C3Y7XDLW"],"itemData":{"id":117,"type":"article-journal","abstract":"Lignin causes lignocellulosic biomass recalcitrance to enzymatic hydrolysis. Engineered low-lignin plants have reduced recalcitrance but often exhibit yield penalties, offsetting their gains in fermentable sugar yield. Here, CRISPR/Cas9-generated CCR2(−/*) line 12 poplars have one knockout CCR2 allele while the other contains a 3-bp deletion, resulting in a 114I115A-to-114T conversion in the corresponding protein. Despite having 10% less lignin, CCR2(−/*) line 12 grows normally. On a plant basis, the saccharification efficiency of CCR2(−/*) line 12 is increased by 25–41%, depending on the pretreatment. Analysis of monoallelic CCR2 knockout lines shows that the reduced lignin amount in CCR2(−/*) line 12 is due to the combination of a null and the specific haploinsufficient CCR2 allele. Analysis of another CCR2(−/*) line shows that depending on the specific CCR2 amino-acid change, lignin amount and growth can be affected to different extents. Our findings open up new possibilities for stably fine-tuning residual gene function in planta.","container-title":"Nature Communications","DOI":"10.1038/s41467-020-18822-w","ISSN":"2041-1723","issue":"1","journalAbbreviation":"Nature Communications","page":"5020","title":"Tailoring poplar lignin without yield penalty by combining a null and haploinsufficient CINNAMOYL-CoA REDUCTASE2 allele","volume":"11","author":[{"family":"De Meester","given":"Barbara"},{"family":"Madariaga Calderón","given":"Barbara"},{"family":"Vries","given":"Lisanne","non-dropping-particle":"de"},{"family":"Pollier","given":"Jacob"},{"family":"Goeminne","given":"Geert"},{"family":"Van Doorsselaere","given":"Jan"},{"family":"Chen","given":"Mingjie"},{"family":"Ralph","given":"John"},{"family":"Vanholme","given":"Ruben"},{"family":"Boerjan","given":"Wout"}],"issued":{"date-parts":[["2020",10,6]]}}}],"schema":"https://github.com/citation-style-language/schema/raw/master/csl-citation.json"} </w:instrText>
            </w:r>
            <w:r w:rsidRPr="004E4ECA">
              <w:rPr>
                <w:sz w:val="20"/>
                <w:szCs w:val="20"/>
              </w:rPr>
              <w:fldChar w:fldCharType="separate"/>
            </w:r>
            <w:r w:rsidRPr="004E4ECA">
              <w:rPr>
                <w:noProof/>
                <w:sz w:val="20"/>
                <w:szCs w:val="20"/>
              </w:rPr>
              <w:t>(De Meester et al., 2020)</w:t>
            </w:r>
            <w:r w:rsidRPr="004E4ECA">
              <w:rPr>
                <w:sz w:val="20"/>
                <w:szCs w:val="20"/>
              </w:rPr>
              <w:fldChar w:fldCharType="end"/>
            </w:r>
          </w:p>
        </w:tc>
      </w:tr>
      <w:tr w:rsidR="00627C2F" w:rsidRPr="00832130" w14:paraId="477D3EE9"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9991DE4" w14:textId="77777777" w:rsidR="00627C2F" w:rsidRPr="004E4ECA" w:rsidRDefault="00627C2F" w:rsidP="00627C2F">
            <w:pPr>
              <w:rPr>
                <w:sz w:val="20"/>
                <w:szCs w:val="20"/>
              </w:rPr>
            </w:pPr>
          </w:p>
        </w:tc>
        <w:tc>
          <w:tcPr>
            <w:tcW w:w="2340" w:type="dxa"/>
          </w:tcPr>
          <w:p w14:paraId="621C9037" w14:textId="789A1B3F"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7CD56664" w14:textId="53622E61"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LAC14</w:t>
            </w:r>
            <w:r w:rsidRPr="004E4ECA">
              <w:rPr>
                <w:sz w:val="20"/>
                <w:szCs w:val="20"/>
              </w:rPr>
              <w:t>, lignin biosyn.</w:t>
            </w:r>
          </w:p>
        </w:tc>
        <w:tc>
          <w:tcPr>
            <w:tcW w:w="3389" w:type="dxa"/>
          </w:tcPr>
          <w:p w14:paraId="21C6176C" w14:textId="562D3FFB"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{"citationID":"CNWXBp1U","properties":{"formattedCitation":"(Qin et al., 2020)","plainCitation":"(Qin et al., 2020)","noteIndex":0},"citationItems":[{"id":118,"uris":["http://zotero.org/users/local/ftZVc0Fk/items/DHXL85QH"],"uri":["http://zotero.org/users/local/ftZVc0Fk/items/DHXL85QH"],"itemData":{"id":118,"type":"article-journal","abstract":"The recalcitrance of lignocellulosic biomass provided technical and economic challenges in the current biomass conversion processes. Lignin is considered as a crucial recalcitrance component in biomass utilization. An in-depth understanding of lignin biosynthesis can provide clues to overcoming the recalcitrance. Laccases are believed to play a role in the oxidation of lignin monomers, leading to the formation of higher-order lignin. In plants, functions of only a few laccases have been evaluated, so little is known about the effect of laccases on cell wall structure and biomass saccharification.","container-title":"Biotechnology for Biofuels","DOI":"10.1186/s13068-020-01843-4","ISSN":"1754-6834","issue":"1","journalAbbreviation":"Biotechnology for Biofuels","page":"197","title":"LACCASE14 is required for the deposition of guaiacyl lignin and affects cell wall digestibility in poplar","volume":"13","author":[{"family":"Qin","given":"Shifei"},{"family":"Fan","given":"Chunfen"},{"family":"Li","given":"Xiaohong"},{"family":"Li","given":"Yi"},{"family":"Hu","given":"Jian"},{"family":"Li","given":"Chaofeng"},{"family":"Luo","given":"Keming"}],"issued":{"date-parts":[["2020",12,3]]}}}],"schema":"https://github.com/citation-style-language/schema/raw/master/csl-citation.json"} </w:instrText>
            </w:r>
            <w:r w:rsidRPr="004E4ECA">
              <w:rPr>
                <w:sz w:val="20"/>
                <w:szCs w:val="20"/>
              </w:rPr>
              <w:fldChar w:fldCharType="separate"/>
            </w:r>
            <w:r w:rsidRPr="004E4ECA">
              <w:rPr>
                <w:noProof/>
                <w:sz w:val="20"/>
                <w:szCs w:val="20"/>
              </w:rPr>
              <w:t>(Qin et al., 2020)</w:t>
            </w:r>
            <w:r w:rsidRPr="004E4ECA">
              <w:rPr>
                <w:sz w:val="20"/>
                <w:szCs w:val="20"/>
              </w:rPr>
              <w:fldChar w:fldCharType="end"/>
            </w:r>
          </w:p>
        </w:tc>
      </w:tr>
      <w:tr w:rsidR="00627C2F" w:rsidRPr="00832130" w14:paraId="33B7ED00"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AE33EB9" w14:textId="77777777" w:rsidR="00627C2F" w:rsidRPr="004E4ECA" w:rsidRDefault="00627C2F" w:rsidP="00627C2F">
            <w:pPr>
              <w:rPr>
                <w:sz w:val="20"/>
                <w:szCs w:val="20"/>
              </w:rPr>
            </w:pPr>
          </w:p>
        </w:tc>
        <w:tc>
          <w:tcPr>
            <w:tcW w:w="2340" w:type="dxa"/>
          </w:tcPr>
          <w:p w14:paraId="6AE9FD05" w14:textId="02D4BEF2"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2D9CA367" w14:textId="639FC1A5"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LHY</w:t>
            </w:r>
            <w:r w:rsidRPr="004E4ECA">
              <w:rPr>
                <w:sz w:val="20"/>
                <w:szCs w:val="20"/>
              </w:rPr>
              <w:t>, photoperiodism</w:t>
            </w:r>
          </w:p>
        </w:tc>
        <w:tc>
          <w:tcPr>
            <w:tcW w:w="3389" w:type="dxa"/>
          </w:tcPr>
          <w:p w14:paraId="6D35602F" w14:textId="479A6462"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{"citationID":"Bc44mWks","properties":{"formattedCitation":"(Ramos-S\\uc0\\u225{}nchez et al., 2019)","plainCitation":"(Ramos-Sánchez et al., 2019)","noteIndex":0},"citationItems":[{"id":119,"uris":["http://zotero.org/users/local/ftZVc0Fk/items/ML3VJW89"],"uri":["http://zotero.org/users/local/ftZVc0Fk/items/ML3VJW89"],"itemData":{"id":119,"type":"article-journal","abstract":"Summary\nDay length is a key indicator of seasonal information that determines major patterns of behavior in plants and animals. Photoperiodism has been described in plants for about 100 years, but the underlying molecular mechanisms of day length perception and signal transduction in many systems are not well understood. In trees, photoperiod perception plays a major role in growth cessation during the autumn as well as activating the resumption of shoot growth in the spring, both processes controlled by FLOWERING LOCUS T2 (FT2) expression levels and critical for the survival of perennial plants over winter [1, 2, 3, 4]. It has been shown that the conserved role of poplar orthologs to Arabidopsis CONSTANS (CO) directly activates FT2 expression [1, 5]. Overexpression of poplar CO is, however, not sufficient to sustain FT2 expression under short days [5], pointing to the presence of an additional short-day-dependent FT2 repression pathway in poplar. We find that night length information is transmitted via the expression level of a poplar clock gene, LATE ELONGATED HYPOCOTYL 2 (LHY2), which controls FT2 expression. Repression of FT2 is a function of the night extension and LHY2 expression level. We show that LHY2 is necessary and sufficient to activate night length repressive signaling. We propose that the photoperiodic control of shoot growth in poplar involves a balance between FT2 activating and repressing pathways. Our results show that poplar relies on night length measurement to determine photoperiodism through interaction between light signaling pathways and the circadian clock.","container-title":"Current Biology","DOI":"10.1016/j.cub.2019.06.003","ISSN":"0960-9822","issue":"14","journalAbbreviation":"Current Biology","page":"2402-2406.e4","title":"LHY2 Integrates Night-Length Information to Determine Timing of Poplar Photoperiodic Growth","volume":"29","author":[{"family":"Ramos-Sánchez","given":"José M."},{"family":"Triozzi","given":"Paolo M."},{"family":"Alique","given":"Daniel"},{"family":"Geng","given":"Feng"},{"family":"Gao","given":"Mingjun"},{"family":"Jaeger","given":"Katja E."},{"family":"Wigge","given":"Philip A."},{"family":"Allona","given":"Isabel"},{"family":"Perales","given":"Mariano"}],"issued":{"date-parts":[["2019",7,22]]}}}],"schema":"https://github.com/citation-style-language/schema/raw/master/csl-citation.json"} </w:instrText>
            </w:r>
            <w:r w:rsidRPr="004E4ECA">
              <w:rPr>
                <w:sz w:val="20"/>
                <w:szCs w:val="20"/>
              </w:rPr>
              <w:fldChar w:fldCharType="separate"/>
            </w:r>
            <w:r w:rsidRPr="004E4ECA">
              <w:rPr>
                <w:rFonts w:ascii="Calibri" w:cs="Calibri"/>
                <w:sz w:val="20"/>
                <w:szCs w:val="20"/>
              </w:rPr>
              <w:t>(Ramos-Sánchez et al., 2019)</w:t>
            </w:r>
            <w:r w:rsidRPr="004E4ECA">
              <w:rPr>
                <w:sz w:val="20"/>
                <w:szCs w:val="20"/>
              </w:rPr>
              <w:fldChar w:fldCharType="end"/>
            </w:r>
          </w:p>
        </w:tc>
      </w:tr>
      <w:tr w:rsidR="00627C2F" w:rsidRPr="00832130" w14:paraId="4F1C9B52"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20BF1A4" w14:textId="77777777" w:rsidR="00627C2F" w:rsidRPr="004E4ECA" w:rsidRDefault="00627C2F" w:rsidP="00627C2F">
            <w:pPr>
              <w:rPr>
                <w:sz w:val="20"/>
                <w:szCs w:val="20"/>
              </w:rPr>
            </w:pPr>
          </w:p>
        </w:tc>
        <w:tc>
          <w:tcPr>
            <w:tcW w:w="2340" w:type="dxa"/>
          </w:tcPr>
          <w:p w14:paraId="0F41F5DA" w14:textId="71DDDC9F"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7081546E" w14:textId="042DF35D"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4CL1</w:t>
            </w:r>
            <w:r w:rsidRPr="004E4ECA">
              <w:rPr>
                <w:sz w:val="20"/>
                <w:szCs w:val="20"/>
              </w:rPr>
              <w:t>,  lignin biosyn.</w:t>
            </w:r>
          </w:p>
        </w:tc>
        <w:tc>
          <w:tcPr>
            <w:tcW w:w="3389" w:type="dxa"/>
          </w:tcPr>
          <w:p w14:paraId="2C90EE8E" w14:textId="1BB3B7D6" w:rsidR="00627C2F" w:rsidRPr="004E4ECA" w:rsidRDefault="007B27B2"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{"citationID":"2vEw5ASB","properties":{"formattedCitation":"(Tsai et al., 2020)","plainCitation":"(Tsai et al., 2020)","noteIndex":0},"citationItems":[{"id":296,"uris":["http://zotero.org/users/local/ftZVc0Fk/items/P2SK2PNJ"],"uri":["http://zotero.org/users/local/ftZVc0Fk/items/P2SK2PNJ"],"itemData":{"id":296,"type":"article-journal","abstract":"The lignin biosynthetic pathway is highly conserved in angiosperms, yet pathway manipulations give rise to a variety of taxon-specific outcomes. Knockout of lignin-associated 4-coumarate:CoA ligases (4CLs) in herbaceous species mainly reduces guaiacyl (G) lignin and enhances cell wall saccharification. Here we show that CRISPR-knockout of 4CL1 in poplar (Populus tremula × alba) preferentially reduced syringyl (S) lignin, with negligible effects on biomass recalcitrance. Concordant with reduced S-lignin was downregulation of ferulate 5-hydroxylases (F5Hs). Lignification was largely sustained by 4CL5, a low-affinity paralog of 4CL1 typically with only minor xylem expression or activity. Levels of caffeate, the preferred substrate of 4CL5, increased in line with significant upregulation of caffeoyl shikimate esterase1. Upregulation of caffeoyl-CoA O-methyltransferase1 and downregulation of F5Hs are consistent with preferential funneling of 4CL5 products toward G-lignin biosynthesis at the expense of S-lignin. Thus, transcriptional and metabolic adaptations to 4CL1-knockout appear to have enabled 4CL5 catalysis at a level sufficient to sustain lignification. Finally, genes involved in sulfur assimilation, the glutathione-ascorbate cycle, and various antioxidant systems were upregulated in the mutants, suggesting cascading responses to perturbed thioesterification in lignin biosynthesis.","container-title":"Plant Physiology","DOI":"10.1104/pp.19.01550","issue":"1","journalAbbreviation":"Plant Physiol.","page":"123","title":"Compensatory Guaiacyl Lignin Biosynthesis at the Expense of Syringyl Lignin in &lt;em&gt;4CL1&lt;/em&gt;-Knockout Poplar","volume":"183","author":[{"family":"Tsai","given":"Chung-Jui"},{"family":"Xu","given":"Peng"},{"family":"Xue","given":"Liang-Jiao"},{"family":"Hu","given":"Hao"},{"family":"Nyamdari","given":"Batbayar"},{"family":"Naran","given":"Radnaa"},{"family":"Zhou","given":"Xiaohong"},{"family":"Goeminne","given":"Geert"},{"family":"Gao","given":"Ruili"},{"family":"Gjersing","given":"Erica"},{"family":"Dahlen","given":"Joseph"},{"family":"Pattathil","given":"Sivakumar"},{"family":"Hahn","given":"Michael G."},{"family":"Davis","given":"Mark F."},{"family":"Ralph","given":"John"},{"family":"Boerjan","given":"Wout"},{"family":"Harding","given":"Scott A."}],"issued":{"date-parts":[["2020",5,1]]}}}],"schema":"https://github.com/citation-style-language/schema/raw/master/csl-citation.json"} </w:instrText>
            </w:r>
            <w:r w:rsidRPr="004E4ECA">
              <w:rPr>
                <w:sz w:val="20"/>
                <w:szCs w:val="20"/>
              </w:rPr>
              <w:fldChar w:fldCharType="separate"/>
            </w:r>
            <w:r w:rsidRPr="004E4ECA">
              <w:rPr>
                <w:noProof/>
                <w:sz w:val="20"/>
                <w:szCs w:val="20"/>
              </w:rPr>
              <w:t>(Tsai et al., 2020)</w:t>
            </w:r>
            <w:r w:rsidRPr="004E4ECA">
              <w:rPr>
                <w:sz w:val="20"/>
                <w:szCs w:val="20"/>
              </w:rPr>
              <w:fldChar w:fldCharType="end"/>
            </w:r>
          </w:p>
        </w:tc>
      </w:tr>
      <w:tr w:rsidR="00627C2F" w:rsidRPr="00832130" w14:paraId="67E3C80C"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177F7B8C" w14:textId="77777777" w:rsidR="00627C2F" w:rsidRPr="004E4ECA" w:rsidRDefault="00627C2F" w:rsidP="00627C2F">
            <w:pPr>
              <w:rPr>
                <w:sz w:val="20"/>
                <w:szCs w:val="20"/>
              </w:rPr>
            </w:pPr>
          </w:p>
        </w:tc>
        <w:tc>
          <w:tcPr>
            <w:tcW w:w="2340" w:type="dxa"/>
          </w:tcPr>
          <w:p w14:paraId="10B36CC6" w14:textId="326C5957"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E60A346" w14:textId="5504C0FC"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XRCC4, homologous recombination</w:t>
            </w:r>
          </w:p>
        </w:tc>
        <w:tc>
          <w:tcPr>
            <w:tcW w:w="3389" w:type="dxa"/>
          </w:tcPr>
          <w:p w14:paraId="6C6488DF" w14:textId="195E1FE0" w:rsidR="00627C2F" w:rsidRPr="004E4ECA" w:rsidRDefault="007B27B2"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{"citationID":"sLKlgDHE","properties":{"formattedCitation":"(Movahedi et al., 2020)","plainCitation":"(Movahedi et al., 2020)","noteIndex":0},"citationItems":[{"id":120,"uris":["http://zotero.org/users/local/ftZVc0Fk/items/ENSXY3XK"],"uri":["http://zotero.org/users/local/ftZVc0Fk/items/ENSXY3XK"],"itemData":{"id":120,"type":"article-journal","abstract":"Efficient homology-directed DNA repair (HDR) is a vital difficulty confronting researchers to replace the target genome’s desired fragment. In plants, scientists have performed meticulous investigations on herbal, crops, and citrus trees using HDR effector proteins, CtIP and MRE11, to obtain double-stranded breaks (DSBs) more precisely. Although HDR efficiency in plants previously has been reported, no record has been declared about HDR efficiency in poplars.Here, we hypothesized that inhibition of nonhomologous recombination cofactors XRCC4, together with enhancing the HDR pathway activities, enables us to generate the HDR efficiency in poplar trees. In this study, the BleoR gene was used to integrate into the interested site and develop resistant poplars against Zeocin antibiotics. We designed plasmids, including different fusions of HDR proteins and, together with the XRCC4 target. Furthermore, real-time PCR, western blotting, RT-PCR, RT-qPCR, southern blotting, and DNA sequencing were applied to exhibit and evaluate HDR efficiency.While both applying HDR proteins and XRCC4 deficiency simultaneously could improve HDR efficiency, which showed about 50 times more than usual editing by CRISPR-Cas9, the only using HDR proteins without XRCC4 deficiency showed about 16 times more. We developed a new recombinant poplar genome to generate stable lines resistant to the Zeocin antibiotic.Competing Interest StatementThe authors have declared no competing interest.","container-title":"bioRxiv","DOI":"10.1101/2020.07.04.188219","page":"2020.07.04.188219","title":"NHEJ deficiency develops homologous recombination in poplar meaningfully further than the overexpression of HDR factors","author":[{"family":"Movahedi","given":"Ali"},{"family":"Wei","given":"Hui"},{"family":"Chen","given":"Zhong-Hua"},{"family":"Sun","given":"Weibo"},{"family":"Zhang","given":"Jiaxin"},{"family":"Li","given":"Dawei"},{"family":"Yang","given":"Liming"},{"family":"Zhuge","given":"Qiang"}],"issued":{"date-parts":[["2020",1,1]]}}}],"schema":"https://github.com/citation-style-language/schema/raw/master/csl-citation.json"} </w:instrText>
            </w:r>
            <w:r w:rsidRPr="004E4ECA">
              <w:rPr>
                <w:sz w:val="20"/>
                <w:szCs w:val="20"/>
              </w:rPr>
              <w:fldChar w:fldCharType="separate"/>
            </w:r>
            <w:r w:rsidRPr="004E4ECA">
              <w:rPr>
                <w:noProof/>
                <w:sz w:val="20"/>
                <w:szCs w:val="20"/>
              </w:rPr>
              <w:t>(Movahedi et al., 2020)</w:t>
            </w:r>
            <w:r w:rsidRPr="004E4ECA">
              <w:rPr>
                <w:sz w:val="20"/>
                <w:szCs w:val="20"/>
              </w:rPr>
              <w:fldChar w:fldCharType="end"/>
            </w:r>
          </w:p>
        </w:tc>
      </w:tr>
      <w:tr w:rsidR="00627C2F" w:rsidRPr="00832130" w14:paraId="4A81A09A"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87E6A13" w14:textId="68261DD5" w:rsidR="00627C2F" w:rsidRPr="004E4ECA" w:rsidRDefault="00627C2F" w:rsidP="00627C2F">
            <w:pPr>
              <w:rPr>
                <w:sz w:val="20"/>
                <w:szCs w:val="20"/>
              </w:rPr>
            </w:pPr>
            <w:r w:rsidRPr="004E4ECA">
              <w:rPr>
                <w:sz w:val="20"/>
                <w:szCs w:val="20"/>
              </w:rPr>
              <w:t>Apple (</w:t>
            </w:r>
            <w:r w:rsidRPr="004E4ECA">
              <w:rPr>
                <w:i/>
                <w:iCs/>
                <w:sz w:val="20"/>
                <w:szCs w:val="20"/>
              </w:rPr>
              <w:t>Malus domestica</w:t>
            </w:r>
            <w:r w:rsidRPr="004E4ECA">
              <w:rPr>
                <w:sz w:val="20"/>
                <w:szCs w:val="20"/>
              </w:rPr>
              <w:t xml:space="preserve">) </w:t>
            </w:r>
          </w:p>
        </w:tc>
        <w:tc>
          <w:tcPr>
            <w:tcW w:w="2340" w:type="dxa"/>
          </w:tcPr>
          <w:p w14:paraId="14B81C18" w14:textId="5883647F"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S,T</w:t>
            </w:r>
            <w:r w:rsidR="00367770" w:rsidRPr="004E4ECA">
              <w:rPr>
                <w:sz w:val="20"/>
                <w:szCs w:val="20"/>
              </w:rPr>
              <w:t xml:space="preserve"> (obtained tansgene-free)</w:t>
            </w:r>
          </w:p>
        </w:tc>
        <w:tc>
          <w:tcPr>
            <w:tcW w:w="3780" w:type="dxa"/>
          </w:tcPr>
          <w:p w14:paraId="761A793E" w14:textId="5C9E36BE"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r w:rsidR="00367770" w:rsidRPr="004E4ECA">
              <w:rPr>
                <w:sz w:val="20"/>
                <w:szCs w:val="20"/>
              </w:rPr>
              <w:t xml:space="preserve">, </w:t>
            </w:r>
            <w:r w:rsidR="00367770" w:rsidRPr="004E4ECA">
              <w:rPr>
                <w:i/>
                <w:iCs/>
                <w:sz w:val="20"/>
                <w:szCs w:val="20"/>
              </w:rPr>
              <w:t>TFL1</w:t>
            </w:r>
            <w:r w:rsidR="00367770" w:rsidRPr="004E4ECA">
              <w:rPr>
                <w:sz w:val="20"/>
                <w:szCs w:val="20"/>
              </w:rPr>
              <w:t xml:space="preserve"> flowering time</w:t>
            </w:r>
          </w:p>
        </w:tc>
        <w:tc>
          <w:tcPr>
            <w:tcW w:w="3389" w:type="dxa"/>
          </w:tcPr>
          <w:p w14:paraId="70AA2606" w14:textId="1CF785E7" w:rsidR="00627C2F" w:rsidRPr="004E4ECA" w:rsidRDefault="00483A21"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{"citationID":"Ev5VMaCt","properties":{"formattedCitation":"(Charrier et al., 2019)","plainCitation":"(Charrier et al., 2019)","noteIndex":0},"citationItems":[{"id":11,"uris":["http://zotero.org/users/local/ftZVc0Fk/items/W3NH5NRQ"],"uri":["http://zotero.org/users/local/ftZVc0Fk/items/W3NH5NRQ"],"itemData":{"id":11,"type":"article-journal","abstract":"Targeted genome engineering has emerged as an alternative to classical plant breeding and transgenic methods to improve crop plants. Among other methods (zinc finger nucleases or TAL effector nucleases) the CRISPR-Cas system proved to be the most effective, convenient and least expensive method. In this study, we optimized the conditions of application of this system on apple and explored its feasibility on pear. As a proof of concept, we chose to knock-out the Phytoene Desaturase (PDS) and Terminal Flower 1 (TFL1) genes. To improve the edition efficiency, two different single guide RNAs (gRNAs) were associated to the Cas9 nuclease for each target gene. These gRNAs were placed under the control of the U3 and U6 apple promoters. Characteristic albino phenotype was obtained for 85% of the apple transgenic lines targeted in MdPDS gene. Early flowering was observed in 93% of the apple transgenic lines targeted in MdTFL1.1 gene and 9% of the pear transgenic lines targeted in PcTFL1.1. Sequencing of the target zones in apple and pear CRISPR-PDS and CRISPR-TFL1.1 transgenic lines showed that the two gRNAs induced mutations but at variable frequencies. In most cases, Cas9 nuclease cut the DNA in the twenty targeted base pairs near the protospacer adjacent motif and insertions were more frequent than deletions or substitutions. The most frequent edition profile of PDS as well as TFL1.1 genes was chimeric biallelic. Analysis of a sample of potential off-target sequences of the CRISPR-TFL1.1 construct indicated the absence of edition in cases of three mismatches. In addition, transient transformation with the CRISPR-PDS construct produced two T-DNA free edited apple lines. Our overall results indicate that, despite the frequent occurrence of chimerism, the CRISPR-Cas 9 system is a powerful and precise method to induce targeted mutagenesis in the first generation of apple and pear transgenic lines.","container-title":"Frontiers in Plant Science","DOI":"10.3389/fpls.2019.00040","ISSN":"1664-462X","journalAbbreviation":"Frontiers in Plant Science","page":"40","title":"Efficient Targeted Mutagenesis in Apple and First Time Edition of Pear Using the CRISPR-Cas9 System","volume":"10","author":[{"family":"Charrier","given":"Aurélie"},{"family":"Vergne","given":"Emilie"},{"family":"Dousset","given":"Nicolas"},{"family":"Richer","given":"Andréa"},{"family":"Petiteau","given":"Aurélien"},{"family":"Chevreau","given":"Elisabeth"}],"issued":{"date-parts":[["2019"]]}}}],"schema":"https://github.com/citation-style-language/schema/raw/master/csl-citation.json"} </w:instrText>
            </w:r>
            <w:r w:rsidRPr="004E4ECA">
              <w:rPr>
                <w:sz w:val="20"/>
                <w:szCs w:val="20"/>
              </w:rPr>
              <w:fldChar w:fldCharType="separate"/>
            </w:r>
            <w:r w:rsidRPr="004E4ECA">
              <w:rPr>
                <w:noProof/>
                <w:sz w:val="20"/>
                <w:szCs w:val="20"/>
              </w:rPr>
              <w:t>(Charrier et al., 2019)</w:t>
            </w:r>
            <w:r w:rsidRPr="004E4ECA">
              <w:rPr>
                <w:sz w:val="20"/>
                <w:szCs w:val="20"/>
              </w:rPr>
              <w:fldChar w:fldCharType="end"/>
            </w:r>
          </w:p>
        </w:tc>
      </w:tr>
      <w:tr w:rsidR="00627C2F" w:rsidRPr="00832130" w14:paraId="71AFC3CC"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9FB077D" w14:textId="77777777" w:rsidR="00627C2F" w:rsidRPr="004E4ECA" w:rsidRDefault="00627C2F" w:rsidP="00627C2F">
            <w:pPr>
              <w:rPr>
                <w:sz w:val="20"/>
                <w:szCs w:val="20"/>
              </w:rPr>
            </w:pPr>
          </w:p>
        </w:tc>
        <w:tc>
          <w:tcPr>
            <w:tcW w:w="2340" w:type="dxa"/>
          </w:tcPr>
          <w:p w14:paraId="5E5B348E" w14:textId="7FA6DC5F"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S,T (Cas9-RNPs)</w:t>
            </w:r>
          </w:p>
        </w:tc>
        <w:tc>
          <w:tcPr>
            <w:tcW w:w="3780" w:type="dxa"/>
          </w:tcPr>
          <w:p w14:paraId="6BFC05DF" w14:textId="265C44F5"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4E4ECA">
              <w:rPr>
                <w:rFonts w:ascii="Calibri" w:hAnsi="Calibri" w:cs="Calibri"/>
                <w:i/>
                <w:iCs/>
                <w:sz w:val="20"/>
                <w:szCs w:val="20"/>
              </w:rPr>
              <w:t>ALS1</w:t>
            </w:r>
            <w:r w:rsidRPr="004E4ECA">
              <w:rPr>
                <w:rFonts w:ascii="Calibri" w:hAnsi="Calibri" w:cs="Calibri"/>
                <w:sz w:val="20"/>
                <w:szCs w:val="20"/>
              </w:rPr>
              <w:t>, herbicide resistance</w:t>
            </w:r>
          </w:p>
        </w:tc>
        <w:tc>
          <w:tcPr>
            <w:tcW w:w="3389" w:type="dxa"/>
          </w:tcPr>
          <w:p w14:paraId="3E7A377E" w14:textId="1B100BB5" w:rsidR="00627C2F" w:rsidRPr="004E4ECA" w:rsidRDefault="00CD07A7"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{"citationID":"wYbPVeX1","properties":{"formattedCitation":"(Osakabe et al., 2018)","plainCitation":"(Osakabe et al., 2018)","noteIndex":0},"citationItems":[{"id":25,"uris":["http://zotero.org/users/local/ftZVc0Fk/items/T7D2VMCG"],"uri":["http://zotero.org/users/local/ftZVc0Fk/items/T7D2VMCG"],"itemData":{"id":25,"type":"article-journal","abstract":"The CRISPR–Cas9 genome-editing tool and the availability of whole-genome sequences from plant species have revolutionized our ability to introduce targeted mutations into important crop plants, both to explore genetic changes and to introduce new functionalities. Here, we describe protocols adapting the CRISPR–Cas9 system to apple and grapevine plants, using both plasmid-mediated genome editing and the direct delivery of CRISPR–Cas9 ribonucleoproteins (RNPs) to achieve efficient DNA-free targeted mutations in apple and grapevine protoplasts. We provide a stepwise protocol for the design and transfer of CRISPR–Cas9 components to apple and grapevine protoplasts, followed by verification of highly efficient targeted mutagenesis, and regeneration of plants following the plasmid-mediated delivery of components. Our plasmid-mediated procedure and the direct delivery of CRISPR–Cas9 RNPs can both be utilized to modulate traits of interest with high accuracy and efficiency in apple and grapevine, and could be extended to other crop species. The complete protocol employing the direct delivery of CRISPR–Cas9 RNPs takes as little as 2–3 weeks, whereas the plasmid-mediated procedure takes &gt;3 months to regenerate plants and study the mutations.","container-title":"Nature Protocols","DOI":"10.1038/s41596-018-0067-9","ISSN":"1750-2799","issue":"12","journalAbbreviation":"Nature Protocols","page":"2844-2863","title":"CRISPR–Cas9-mediated genome editing in apple and grapevine","volume":"13","author":[{"family":"Osakabe","given":"Yuriko"},{"family":"Liang","given":"Zhenchang"},{"family":"Ren","given":"Chong"},{"family":"Nishitani","given":"Chikako"},{"family":"Osakabe","given":"Keishi"},{"family":"Wada","given":"Masato"},{"family":"Komori","given":"Sadao"},{"family":"Malnoy","given":"Mickael"},{"family":"Velasco","given":"Riccardo"},{"family":"Poli","given":"Michele"},{"family":"Jung","given":"Min-Hee"},{"family":"Koo","given":"Ok-Jae"},{"family":"Viola","given":"Roberto"},{"family":"Nagamangala Kanchiswamy","given":"Chidananda"}],"issued":{"date-parts":[["2018",12,1]]}}}],"schema":"https://github.com/citation-style-language/schema/raw/master/csl-citation.json"} </w:instrText>
            </w:r>
            <w:r w:rsidRPr="004E4ECA">
              <w:rPr>
                <w:sz w:val="20"/>
                <w:szCs w:val="20"/>
              </w:rPr>
              <w:fldChar w:fldCharType="separate"/>
            </w:r>
            <w:r w:rsidRPr="004E4ECA">
              <w:rPr>
                <w:noProof/>
                <w:sz w:val="20"/>
                <w:szCs w:val="20"/>
              </w:rPr>
              <w:t>(Osakabe et al., 2018)</w:t>
            </w:r>
            <w:r w:rsidRPr="004E4ECA">
              <w:rPr>
                <w:sz w:val="20"/>
                <w:szCs w:val="20"/>
              </w:rPr>
              <w:fldChar w:fldCharType="end"/>
            </w:r>
          </w:p>
        </w:tc>
      </w:tr>
      <w:tr w:rsidR="00627C2F" w:rsidRPr="00832130" w14:paraId="5E093A20"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EF75FF1" w14:textId="77777777" w:rsidR="00627C2F" w:rsidRPr="004E4ECA" w:rsidRDefault="00627C2F" w:rsidP="00627C2F">
            <w:pPr>
              <w:rPr>
                <w:sz w:val="20"/>
                <w:szCs w:val="20"/>
              </w:rPr>
            </w:pPr>
          </w:p>
        </w:tc>
        <w:tc>
          <w:tcPr>
            <w:tcW w:w="2340" w:type="dxa"/>
          </w:tcPr>
          <w:p w14:paraId="7328A40C" w14:textId="5E2A1C89"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 (recomb. excision)</w:t>
            </w:r>
          </w:p>
        </w:tc>
        <w:tc>
          <w:tcPr>
            <w:tcW w:w="3780" w:type="dxa"/>
          </w:tcPr>
          <w:p w14:paraId="792A582B" w14:textId="2713BB50" w:rsidR="00627C2F" w:rsidRPr="004E4ECA" w:rsidRDefault="00627C2F" w:rsidP="00627C2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4E4ECA">
              <w:rPr>
                <w:rFonts w:ascii="Calibri" w:hAnsi="Calibri" w:cs="Calibri"/>
                <w:i/>
                <w:iCs/>
                <w:color w:val="1C1D1E"/>
                <w:sz w:val="20"/>
                <w:szCs w:val="20"/>
                <w:shd w:val="clear" w:color="auto" w:fill="FFFFFF"/>
              </w:rPr>
              <w:t xml:space="preserve">MdDIPM4, </w:t>
            </w:r>
            <w:r w:rsidRPr="004E4ECA">
              <w:rPr>
                <w:rFonts w:ascii="Calibri" w:hAnsi="Calibri" w:cs="Calibri"/>
                <w:color w:val="1C1D1E"/>
                <w:sz w:val="20"/>
                <w:szCs w:val="20"/>
                <w:shd w:val="clear" w:color="auto" w:fill="FFFFFF"/>
              </w:rPr>
              <w:t>disease resistance</w:t>
            </w:r>
          </w:p>
        </w:tc>
        <w:tc>
          <w:tcPr>
            <w:tcW w:w="3389" w:type="dxa"/>
          </w:tcPr>
          <w:p w14:paraId="6885548B" w14:textId="39C13600" w:rsidR="00627C2F" w:rsidRPr="004E4ECA" w:rsidRDefault="000410A6" w:rsidP="00627C2F">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{"citationID":"inBgF65B","properties":{"formattedCitation":"(Pompili et al., 2020)","plainCitation":"(Pompili et al., 2020)","noteIndex":0},"citationItems":[{"id":3,"uris":["http://zotero.org/users/local/ftZVc0Fk/items/ZYMJT2NP"],"uri":["http://zotero.org/users/local/ftZVc0Fk/items/ZYMJT2NP"],"itemData":{"id":3,"type":"article-journal","abstract":"Summary The bacterium Erwinia amylovora, the causal agent of fire blight disease in apple, triggers its infection through the DspA/E effector which interacts with the apple susceptibility protein MdDIPM4. In this work, MdDIPM4 knockout has been produced in two Malus ? domestica susceptible cultivars using the CRISPR/Cas9 system delivered via Agrobacterium tumefaciens. Fifty-seven transgenic lines were screened to identify CRISPR/Cas9-induced mutations. An editing efficiency of 75% was obtained. Seven edited lines with a loss-of-function mutation were inoculated with the pathogen. Highly significant reduction in susceptibility was observed compared to control plants. Sequencing of five potential off-target sites revealed no mutation event. Moreover, our construct contained a heat-shock inducible FLP/FRT recombination system designed specifically to remove the T-DNA harbouring the expression cassettes for CRISPR/Cas9, the marker gene and the FLP itself. Six plant lines with reduced susceptibility to the pathogen were heat-treated and screened by real-time PCR to quantify the exogenous DNA elimination. The T-DNA removal was further validated by sequencing in one plant line. To our knowledge, this work demonstrates for the first time the development and application of a CRISPR/Cas9-FLP/FRT gene editing system for the production of edited apple plants carrying a minimal trace of exogenous DNA.","container-title":"Plant Biotechnology Journal","DOI":"10.1111/pbi.13253","ISSN":"1467-7644","issue":"3","journalAbbreviation":"Plant Biotechnology Journal","note":"publisher: John Wiley &amp; Sons, Ltd","page":"845-858","title":"Reduced fire blight susceptibility in apple cultivars using a high-efficiency CRISPR/Cas9-FLP/FRT-based gene editing system","volume":"18","author":[{"family":"Pompili","given":"Valerio"},{"family":"Dalla Costa","given":"Lorenza"},{"family":"Piazza","given":"Stefano"},{"family":"Pindo","given":"Massimo"},{"family":"Malnoy","given":"Mickael"}],"issued":{"date-parts":[["2020",3,1]]}}}],"schema":"https://github.com/citation-style-language/schema/raw/master/csl-citation.json"} </w:instrText>
            </w:r>
            <w:r w:rsidRPr="004E4ECA">
              <w:rPr>
                <w:sz w:val="20"/>
                <w:szCs w:val="20"/>
              </w:rPr>
              <w:fldChar w:fldCharType="separate"/>
            </w:r>
            <w:r w:rsidRPr="004E4ECA">
              <w:rPr>
                <w:noProof/>
                <w:sz w:val="20"/>
                <w:szCs w:val="20"/>
              </w:rPr>
              <w:t>(Pompili et al., 2020)</w:t>
            </w:r>
            <w:r w:rsidRPr="004E4ECA">
              <w:rPr>
                <w:sz w:val="20"/>
                <w:szCs w:val="20"/>
              </w:rPr>
              <w:fldChar w:fldCharType="end"/>
            </w:r>
          </w:p>
        </w:tc>
      </w:tr>
      <w:tr w:rsidR="00627C2F" w:rsidRPr="00832130" w14:paraId="22D5E4E5"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307D177" w14:textId="77777777" w:rsidR="00627C2F" w:rsidRPr="004E4ECA" w:rsidRDefault="00627C2F" w:rsidP="00627C2F">
            <w:pPr>
              <w:rPr>
                <w:sz w:val="20"/>
                <w:szCs w:val="20"/>
              </w:rPr>
            </w:pPr>
          </w:p>
        </w:tc>
        <w:tc>
          <w:tcPr>
            <w:tcW w:w="2340" w:type="dxa"/>
          </w:tcPr>
          <w:p w14:paraId="7DFB9506" w14:textId="0953DE29"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3790FC5E" w14:textId="5F8EEE2B" w:rsidR="00627C2F" w:rsidRPr="004E4ECA" w:rsidRDefault="00627C2F"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rFonts w:ascii="Calibri" w:hAnsi="Calibri" w:cs="Calibri"/>
                <w:i/>
                <w:iCs/>
                <w:color w:val="1C1D1E"/>
                <w:sz w:val="20"/>
                <w:szCs w:val="20"/>
                <w:shd w:val="clear" w:color="auto" w:fill="FFFFFF"/>
              </w:rPr>
              <w:t xml:space="preserve">MdCNGC2, </w:t>
            </w:r>
            <w:r w:rsidRPr="004E4ECA">
              <w:rPr>
                <w:rFonts w:ascii="Calibri" w:hAnsi="Calibri" w:cs="Calibri"/>
                <w:color w:val="1C1D1E"/>
                <w:sz w:val="20"/>
                <w:szCs w:val="20"/>
                <w:shd w:val="clear" w:color="auto" w:fill="FFFFFF"/>
              </w:rPr>
              <w:t xml:space="preserve"> disease resistance</w:t>
            </w:r>
          </w:p>
        </w:tc>
        <w:tc>
          <w:tcPr>
            <w:tcW w:w="3389" w:type="dxa"/>
          </w:tcPr>
          <w:p w14:paraId="502E7F49" w14:textId="680CE29B" w:rsidR="00627C2F" w:rsidRPr="004E4ECA" w:rsidRDefault="000410A6" w:rsidP="00627C2F">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00D94FF7" w:rsidRPr="004E4ECA">
              <w:rPr>
                <w:sz w:val="20"/>
                <w:szCs w:val="20"/>
              </w:rPr>
              <w:instrText xml:space="preserve"> ADDIN ZOTERO_ITEM CSL_CITATION {"citationID":"QGGseEvp","properties":{"formattedCitation":"(Zhou et al., 2020a)","plainCitation":"(Zhou et al., 2020a)","noteIndex":0},"citationItems":[{"id":105,"uris":["http://zotero.org/users/local/ftZVc0Fk/items/NWSGPK7E"],"uri":["http://zotero.org/users/local/ftZVc0Fk/items/NWSGPK7E"],"itemData":{"id":105,"type":"article-journal","abstract":"Cyclic nucleotide-gated ion channels (CNGCs) have been reported to be involved in multiple plant physiological processes. Their involvement in plant immunity has been studied in several herbal plant species. It remains unclear whether CNGCs in woody plants play a similar role in plant immunity. In the present study, we identified an apple CNGC (designated as MdCNGC2), which is the homolog of Arabidopsis CNGC2. Analysis of tissue distribution revealed that MdCNGC2 was expressed in all tested tissues. Abundant transcripts of MdCNGC2 were observed in leaves and shoot bark. Low expression was observed in fruits and roots. MdCNGC2 expression was induced in apple callus and shoot bark by Botryosphaeria dothidea. The induction of MdCNGC2 was significantly higher in susceptible cultivars \"Fuji,\" \"Ralls Janet,\" and \"Gala\" compared to the resistant cultivar \"Jiguan,\" suggesting that MdCNGC2 may be a negative regulator of resistance to B. dothidea. MdCNGC2 mutagenesis mediated by gene editing based on the CRISPR/Cas9 system led to constitutive accumulation of SA in apple callus. A culture filtrate of B. dothidea (BCF) induced the expression of several defense-related genes including MdPR1, MdPR2, MdPR4, MdPR5, MdPR8, and MdPR10a. Moreover, the induction of these genes was significantly higher in mdcngc2 mutant (MUT) callus than in wild type (WT) callus. Further analysis showed that the spread of B. dothidea was significantly lower on MUT callus than on WT callus. Knockdown of the MdCNGC2 gene reduced lesions caused by B. dothidea in apple fruits. These results collectively indicate that MdCNGC2 is a negative regulator of resistance to B. dothidea in apple callus.","archive":"PubMed","archive_location":"33240293","container-title":"Frontiers in plant science","DOI":"10.3389/fpls.2020.575477","ISSN":"1664-462X","journalAbbreviation":"Front Plant Sci","language":"eng","note":"publisher: Frontiers Media S.A.","page":"575477-575477","title":"CRISPR/Cas9-Mediated Mutagenesis of MdCNGC2 in Apple Callus and VIGS-Mediated Silencing of MdCNGC2 in Fruits Improve Resistance to Botryosphaeria dothidea","volume":"11","author":[{"family":"Zhou","given":"Huijuan"},{"family":"Bai","given":"Suhua"},{"family":"Wang","given":"Nan"},{"family":"Sun","given":"Xiaohong"},{"family":"Zhang","given":"Yugang"},{"family":"Zhu","given":"Jun"},{"family":"Dong","given":"Chaohua"}],"issued":{"date-parts":[["2020",11,9]]}}}],"schema":"https://github.com/citation-style-language/schema/raw/master/csl-citation.json"} </w:instrText>
            </w:r>
            <w:r w:rsidRPr="004E4ECA">
              <w:rPr>
                <w:sz w:val="20"/>
                <w:szCs w:val="20"/>
              </w:rPr>
              <w:fldChar w:fldCharType="separate"/>
            </w:r>
            <w:r w:rsidR="00D94FF7" w:rsidRPr="004E4ECA">
              <w:rPr>
                <w:noProof/>
                <w:sz w:val="20"/>
                <w:szCs w:val="20"/>
              </w:rPr>
              <w:t>(Zhou et al., 2020a)</w:t>
            </w:r>
            <w:r w:rsidRPr="004E4ECA">
              <w:rPr>
                <w:sz w:val="20"/>
                <w:szCs w:val="20"/>
              </w:rPr>
              <w:fldChar w:fldCharType="end"/>
            </w:r>
          </w:p>
        </w:tc>
      </w:tr>
      <w:tr w:rsidR="00FE7BA2" w:rsidRPr="00832130" w14:paraId="1F24F9FE"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5574D20" w14:textId="77777777" w:rsidR="00FE7BA2" w:rsidRPr="004E4ECA" w:rsidRDefault="00FE7BA2" w:rsidP="00FE7BA2">
            <w:pPr>
              <w:rPr>
                <w:sz w:val="20"/>
                <w:szCs w:val="20"/>
              </w:rPr>
            </w:pPr>
          </w:p>
        </w:tc>
        <w:tc>
          <w:tcPr>
            <w:tcW w:w="2340" w:type="dxa"/>
          </w:tcPr>
          <w:p w14:paraId="21367A47" w14:textId="3EE7134E"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 (recomb, excision, Cas9ex)</w:t>
            </w:r>
          </w:p>
        </w:tc>
        <w:tc>
          <w:tcPr>
            <w:tcW w:w="3780" w:type="dxa"/>
          </w:tcPr>
          <w:p w14:paraId="41FDAB5E" w14:textId="3D04A444"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1C1D1E"/>
                <w:sz w:val="20"/>
                <w:szCs w:val="20"/>
                <w:shd w:val="clear" w:color="auto" w:fill="FFFFFF"/>
              </w:rPr>
            </w:pPr>
            <w:r w:rsidRPr="004E4ECA">
              <w:rPr>
                <w:rFonts w:ascii="Calibri" w:hAnsi="Calibri" w:cs="Calibri"/>
                <w:i/>
                <w:iCs/>
                <w:color w:val="1C1D1E"/>
                <w:sz w:val="20"/>
                <w:szCs w:val="20"/>
                <w:shd w:val="clear" w:color="auto" w:fill="FFFFFF"/>
              </w:rPr>
              <w:t>MdDIPM</w:t>
            </w:r>
            <w:r w:rsidR="00613363" w:rsidRPr="004E4ECA">
              <w:rPr>
                <w:rFonts w:ascii="Calibri" w:hAnsi="Calibri" w:cs="Calibri"/>
                <w:i/>
                <w:iCs/>
                <w:color w:val="1C1D1E"/>
                <w:sz w:val="20"/>
                <w:szCs w:val="20"/>
                <w:shd w:val="clear" w:color="auto" w:fill="FFFFFF"/>
              </w:rPr>
              <w:t>1/</w:t>
            </w:r>
            <w:r w:rsidRPr="004E4ECA">
              <w:rPr>
                <w:rFonts w:ascii="Calibri" w:hAnsi="Calibri" w:cs="Calibri"/>
                <w:i/>
                <w:iCs/>
                <w:color w:val="1C1D1E"/>
                <w:sz w:val="20"/>
                <w:szCs w:val="20"/>
                <w:shd w:val="clear" w:color="auto" w:fill="FFFFFF"/>
              </w:rPr>
              <w:t xml:space="preserve">4, </w:t>
            </w:r>
            <w:r w:rsidRPr="004E4ECA">
              <w:rPr>
                <w:rFonts w:ascii="Calibri" w:hAnsi="Calibri" w:cs="Calibri"/>
                <w:color w:val="1C1D1E"/>
                <w:sz w:val="20"/>
                <w:szCs w:val="20"/>
                <w:shd w:val="clear" w:color="auto" w:fill="FFFFFF"/>
              </w:rPr>
              <w:t>disease resistance</w:t>
            </w:r>
          </w:p>
        </w:tc>
        <w:tc>
          <w:tcPr>
            <w:tcW w:w="3389" w:type="dxa"/>
          </w:tcPr>
          <w:p w14:paraId="3BA40A1E" w14:textId="3F61AEB0" w:rsidR="00FE7BA2" w:rsidRPr="004E4ECA" w:rsidRDefault="000410A6"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{"citationID":"bLi06nOY","properties":{"formattedCitation":"(Dalla Costa et al., 2020)","plainCitation":"(Dalla Costa et al., 2020)","noteIndex":0},"citationItems":[{"id":214,"uris":["http://zotero.org/users/local/ftZVc0Fk/items/QKMZKNAZ"],"uri":["http://zotero.org/users/local/ftZVc0Fk/items/QKMZKNAZ"],"itemData":{"id":214,"type":"article-journal","abstract":"Genome editing via CRISPR/Cas9 is a powerful technology, which has been widely applied to improve traits in cereals, vegetables and even fruit trees. For the delivery of CRISPR/Cas9 components into dicotyledonous plants, Agrobacterium tumefaciens mediated gene transfer is still the prevalent method, although editing is often accompanied by the integration of the bacterial T-DNA into the host genome. We assessed two approaches in order to achieve T-DNA excision from the plant genome, minimizing the extent of foreign DNA left behind. The first is based on the Flp/FRT system and the second on Cas9 and synthetic cleavage target sites (CTS) close to T-DNA borders, which are recognized by the sgRNA. Several grapevine and apple lines, transformed with a panel of CRISPR/SpCas9 binary vectors, were regenerated and characterized for T-DNA copy number and for the rate of targeted editing. As detected by an optimized NGS-based sequencing method, trimming at T-DNA borders occurred in 100% of the lines, impairing in most cases the excision. Another observation was the leakage activity of Cas9 which produced pierced and therefore non-functional CTS. Deletions of genomic DNA and presence of filler DNA were also noticed at the junctions between T-DNA and genomic DNA. This study proved that many factors must be considered for designing efficient binary vectors capable of minimizing the presence of exogenous DNA in CRISPRed fruit trees.","container-title":"Scientific Reports","DOI":"10.1038/s41598-020-77110-1","ISSN":"2045-2322","issue":"1","journalAbbreviation":"Scientific Reports","page":"20155","title":"Strategies to produce T-DNA free CRISPRed fruit trees via Agrobacterium tumefaciens stable gene transfer","volume":"10","author":[{"family":"Dalla Costa","given":"Lorenza"},{"family":"Piazza","given":"Stefano"},{"family":"Pompili","given":"Valerio"},{"family":"Salvagnin","given":"Umberto"},{"family":"Cestaro","given":"Alessandro"},{"family":"Moffa","given":"Loredana"},{"family":"Vittani","given":"Lorenzo"},{"family":"Moser","given":"Claudio"},{"family":"Malnoy","given":"Mickael"}],"issued":{"date-parts":[["2020",11,19]]}}}],"schema":"https://github.com/citation-style-language/schema/raw/master/csl-citation.json"} </w:instrText>
            </w:r>
            <w:r w:rsidRPr="004E4ECA">
              <w:rPr>
                <w:sz w:val="20"/>
                <w:szCs w:val="20"/>
              </w:rPr>
              <w:fldChar w:fldCharType="separate"/>
            </w:r>
            <w:r w:rsidRPr="004E4ECA">
              <w:rPr>
                <w:noProof/>
                <w:sz w:val="20"/>
                <w:szCs w:val="20"/>
              </w:rPr>
              <w:t>(Dalla Costa et al., 2020)</w:t>
            </w:r>
            <w:r w:rsidRPr="004E4ECA">
              <w:rPr>
                <w:sz w:val="20"/>
                <w:szCs w:val="20"/>
              </w:rPr>
              <w:fldChar w:fldCharType="end"/>
            </w:r>
          </w:p>
        </w:tc>
      </w:tr>
      <w:tr w:rsidR="00FB5966" w:rsidRPr="00832130" w14:paraId="60D651FF"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931E8AD" w14:textId="34C7D815" w:rsidR="00FB5966" w:rsidRPr="004E4ECA" w:rsidRDefault="00FB5966" w:rsidP="00FE7BA2">
            <w:pPr>
              <w:rPr>
                <w:sz w:val="20"/>
                <w:szCs w:val="20"/>
              </w:rPr>
            </w:pPr>
            <w:r w:rsidRPr="004E4ECA">
              <w:rPr>
                <w:sz w:val="20"/>
                <w:szCs w:val="20"/>
              </w:rPr>
              <w:t>Pear (</w:t>
            </w:r>
            <w:r w:rsidRPr="004E4ECA">
              <w:rPr>
                <w:i/>
                <w:iCs/>
                <w:sz w:val="20"/>
                <w:szCs w:val="20"/>
              </w:rPr>
              <w:t>Pyrus communis</w:t>
            </w:r>
            <w:r w:rsidRPr="004E4ECA">
              <w:rPr>
                <w:sz w:val="20"/>
                <w:szCs w:val="20"/>
              </w:rPr>
              <w:t>)</w:t>
            </w:r>
          </w:p>
        </w:tc>
        <w:tc>
          <w:tcPr>
            <w:tcW w:w="2340" w:type="dxa"/>
          </w:tcPr>
          <w:p w14:paraId="6AB80D8F" w14:textId="71B978BD" w:rsidR="00FB5966" w:rsidRPr="004E4ECA" w:rsidRDefault="00FB5966"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31ED298D" w14:textId="5FA71D29" w:rsidR="00FB5966" w:rsidRPr="004E4ECA" w:rsidRDefault="00FB5966" w:rsidP="00FE7BA2">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1C1D1E"/>
                <w:sz w:val="20"/>
                <w:szCs w:val="20"/>
                <w:shd w:val="clear" w:color="auto" w:fill="FFFFFF"/>
              </w:rPr>
            </w:pPr>
            <w:r w:rsidRPr="004E4ECA">
              <w:rPr>
                <w:rFonts w:ascii="Calibri" w:hAnsi="Calibri" w:cs="Calibri"/>
                <w:i/>
                <w:iCs/>
                <w:color w:val="1C1D1E"/>
                <w:sz w:val="20"/>
                <w:szCs w:val="20"/>
                <w:shd w:val="clear" w:color="auto" w:fill="FFFFFF"/>
              </w:rPr>
              <w:t>PcTFL1</w:t>
            </w:r>
          </w:p>
        </w:tc>
        <w:tc>
          <w:tcPr>
            <w:tcW w:w="3389" w:type="dxa"/>
          </w:tcPr>
          <w:p w14:paraId="725FD0B3" w14:textId="3CEF1AE2" w:rsidR="00FB5966" w:rsidRPr="004E4ECA" w:rsidRDefault="000410A6"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{"citationID":"3xcAZd41","properties":{"formattedCitation":"(Charrier et al., 2019)","plainCitation":"(Charrier et al., 2019)","noteIndex":0},"citationItems":[{"id":11,"uris":["http://zotero.org/users/local/ftZVc0Fk/items/W3NH5NRQ"],"uri":["http://zotero.org/users/local/ftZVc0Fk/items/W3NH5NRQ"],"itemData":{"id":11,"type":"article-journal","abstract":"Targeted genome engineering has emerged as an alternative to classical plant breeding and transgenic methods to improve crop plants. Among other methods (zinc finger nucleases or TAL effector nucleases) the CRISPR-Cas system proved to be the most effective, convenient and least expensive method. In this study, we optimized the conditions of application of this system on apple and explored its feasibility on pear. As a proof of concept, we chose to knock-out the Phytoene Desaturase (PDS) and Terminal Flower 1 (TFL1) genes. To improve the edition efficiency, two different single guide RNAs (gRNAs) were associated to the Cas9 nuclease for each target gene. These gRNAs were placed under the control of the U3 and U6 apple promoters. Characteristic albino phenotype was obtained for 85% of the apple transgenic lines targeted in MdPDS gene. Early flowering was observed in 93% of the apple transgenic lines targeted in MdTFL1.1 gene and 9% of the pear transgenic lines targeted in PcTFL1.1. Sequencing of the target zones in apple and pear CRISPR-PDS and CRISPR-TFL1.1 transgenic lines showed that the two gRNAs induced mutations but at variable frequencies. In most cases, Cas9 nuclease cut the DNA in the twenty targeted base pairs near the protospacer adjacent motif and insertions were more frequent than deletions or substitutions. The most frequent edition profile of PDS as well as TFL1.1 genes was chimeric biallelic. Analysis of a sample of potential off-target sequences of the CRISPR-TFL1.1 construct indicated the absence of edition in cases of three mismatches. In addition, transient transformation with the CRISPR-PDS construct produced two T-DNA free edited apple lines. Our overall results indicate that, despite the frequent occurrence of chimerism, the CRISPR-Cas 9 system is a powerful and precise method to induce targeted mutagenesis in the first generation of apple and pear transgenic lines.","container-title":"Frontiers in Plant Science","DOI":"10.3389/fpls.2019.00040","ISSN":"1664-462X","journalAbbreviation":"Frontiers in Plant Science","page":"40","title":"Efficient Targeted Mutagenesis in Apple and First Time Edition of Pear Using the CRISPR-Cas9 System","volume":"10","author":[{"family":"Charrier","given":"Aurélie"},{"family":"Vergne","given":"Emilie"},{"family":"Dousset","given":"Nicolas"},{"family":"Richer","given":"Andréa"},{"family":"Petiteau","given":"Aurélien"},{"family":"Chevreau","given":"Elisabeth"}],"issued":{"date-parts":[["2019"]]}}}],"schema":"https://github.com/citation-style-language/schema/raw/master/csl-citation.json"} </w:instrText>
            </w:r>
            <w:r w:rsidRPr="004E4ECA">
              <w:rPr>
                <w:sz w:val="20"/>
                <w:szCs w:val="20"/>
              </w:rPr>
              <w:fldChar w:fldCharType="separate"/>
            </w:r>
            <w:r w:rsidRPr="004E4ECA">
              <w:rPr>
                <w:noProof/>
                <w:sz w:val="20"/>
                <w:szCs w:val="20"/>
              </w:rPr>
              <w:t>(Charrier et al., 2019)</w:t>
            </w:r>
            <w:r w:rsidRPr="004E4ECA">
              <w:rPr>
                <w:sz w:val="20"/>
                <w:szCs w:val="20"/>
              </w:rPr>
              <w:fldChar w:fldCharType="end"/>
            </w:r>
          </w:p>
        </w:tc>
      </w:tr>
      <w:tr w:rsidR="00FE7BA2" w:rsidRPr="00832130" w14:paraId="565C1EFD"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68F330B" w14:textId="4B4AC560" w:rsidR="00FE7BA2" w:rsidRPr="004E4ECA" w:rsidRDefault="00FE7BA2" w:rsidP="00FE7BA2">
            <w:pPr>
              <w:rPr>
                <w:i/>
                <w:iCs/>
                <w:sz w:val="20"/>
                <w:szCs w:val="20"/>
              </w:rPr>
            </w:pPr>
            <w:r w:rsidRPr="004E4ECA">
              <w:rPr>
                <w:i/>
                <w:iCs/>
                <w:sz w:val="20"/>
                <w:szCs w:val="20"/>
              </w:rPr>
              <w:t xml:space="preserve">Citrus </w:t>
            </w:r>
          </w:p>
        </w:tc>
        <w:tc>
          <w:tcPr>
            <w:tcW w:w="2340" w:type="dxa"/>
          </w:tcPr>
          <w:p w14:paraId="6EA62135" w14:textId="3C3B23E3"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7654E3F7" w14:textId="3F7440DF"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CsLOB1</w:t>
            </w:r>
            <w:r w:rsidRPr="004E4ECA">
              <w:rPr>
                <w:sz w:val="20"/>
                <w:szCs w:val="20"/>
              </w:rPr>
              <w:t>, disease r</w:t>
            </w:r>
            <w:r w:rsidRPr="004E4ECA">
              <w:rPr>
                <w:rFonts w:ascii="Calibri" w:hAnsi="Calibri" w:cs="Calibri"/>
                <w:color w:val="1C1D1E"/>
                <w:sz w:val="20"/>
                <w:szCs w:val="20"/>
                <w:shd w:val="clear" w:color="auto" w:fill="FFFFFF"/>
              </w:rPr>
              <w:t>esistance</w:t>
            </w:r>
          </w:p>
        </w:tc>
        <w:tc>
          <w:tcPr>
            <w:tcW w:w="3389" w:type="dxa"/>
          </w:tcPr>
          <w:p w14:paraId="31BA625C" w14:textId="2F8B8E0F" w:rsidR="00FE7BA2" w:rsidRPr="004E4ECA" w:rsidRDefault="006A3054"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{"citationID":"QkByCV1f","properties":{"formattedCitation":"(Peng et al., 2017)","plainCitation":"(Peng et al., 2017)","noteIndex":0},"citationItems":[{"id":27,"uris":["http://zotero.org/users/local/ftZVc0Fk/items/7XUZCYLN"],"uri":["http://zotero.org/users/local/ftZVc0Fk/items/7XUZCYLN"],"itemData":{"id":27,"type":"article-journal","abstract":"Summary Citrus canker, caused by Xanthomonas citri subsp. citri (Xcc), is severely damaging to the global citrus industry. Targeted editing of host disease-susceptibility genes represents an interesting and potentially durable alternative in plant breeding for resistance. Here, we report improvement of citrus canker resistance through CRISPR/Cas9-targeted modification of the susceptibility gene CsLOB1 promoter in citrus. Wanjincheng orange (Citrus sinensis Osbeck) harbours at least three copies of the CsLOB1G allele and one copy of the CsLOB1? allele. The promoter of both alleles contains the effector binding element (EBEPthA4), which is recognized by the main effector PthA4 of Xcc to activate CsLOB1 expression to promote citrus canker development. Five pCas9/CsLOB1sgRNA constructs were designed to modify the EBEPthA4 of the CsLOB1 promoter in Wanjincheng orange. Among these constructs, mutation rates were 11.5%?64.7%. Homozygous mutants were generated directly from citrus explants. Sixteen lines that harboured EBEPthA4 modifications were identified from 38 mutant plants. Four mutation lines (S2-5, S2-6, S2-12 and S5-13), in which promoter editing disrupted CsLOB1 induction in response to Xcc infection, showed enhanced resistance to citrus canker compared with the wild type. No canker symptoms were observed in the S2-6 and S5-13 lines. Promoter editing of CsLOB1G alone was sufficient to enhance citrus canker resistance in Wanjincheng orange. Deletion of the entire EBEPthA4 sequence from both CsLOB1 alleles conferred a high degree of resistance to citrus canker. The results demonstrate that CRISPR/Cas9-mediated promoter editing of CsLOB1 is an efficient strategy for generation of canker-resistant citrus cultivars.","container-title":"Plant Biotechnology Journal","DOI":"10.1111/pbi.12733","ISSN":"1467-7644","issue":"12","journalAbbreviation":"Plant Biotechnology Journal","note":"publisher: John Wiley &amp; Sons, Ltd","page":"1509-1519","title":"Engineering canker-resistant plants through CRISPR/Cas9-targeted editing of the susceptibility gene CsLOB1 promoter in citrus","volume":"15","author":[{"family":"Peng","given":"Aihong"},{"family":"Chen","given":"Shanchun"},{"family":"Lei","given":"Tiangang"},{"family":"Xu","given":"Lanzhen"},{"family":"He","given":"Yongrui"},{"family":"Wu","given":"Liu"},{"family":"Yao","given":"Lixiao"},{"family":"Zou","given":"Xiuping"}],"issued":{"date-parts":[["2017",12,1]]}}}],"schema":"https://github.com/citation-style-language/schema/raw/master/csl-citation.json"} </w:instrText>
            </w:r>
            <w:r w:rsidRPr="004E4ECA">
              <w:rPr>
                <w:sz w:val="20"/>
                <w:szCs w:val="20"/>
              </w:rPr>
              <w:fldChar w:fldCharType="separate"/>
            </w:r>
            <w:r w:rsidRPr="004E4ECA">
              <w:rPr>
                <w:noProof/>
                <w:sz w:val="20"/>
                <w:szCs w:val="20"/>
              </w:rPr>
              <w:t>(Peng et al., 2017)</w:t>
            </w:r>
            <w:r w:rsidRPr="004E4ECA">
              <w:rPr>
                <w:sz w:val="20"/>
                <w:szCs w:val="20"/>
              </w:rPr>
              <w:fldChar w:fldCharType="end"/>
            </w:r>
          </w:p>
        </w:tc>
      </w:tr>
      <w:tr w:rsidR="00FE7BA2" w:rsidRPr="00832130" w14:paraId="72E649D4"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71DB943" w14:textId="77777777" w:rsidR="00FE7BA2" w:rsidRPr="004E4ECA" w:rsidRDefault="00FE7BA2" w:rsidP="00FE7BA2">
            <w:pPr>
              <w:rPr>
                <w:sz w:val="20"/>
                <w:szCs w:val="20"/>
              </w:rPr>
            </w:pPr>
          </w:p>
        </w:tc>
        <w:tc>
          <w:tcPr>
            <w:tcW w:w="2340" w:type="dxa"/>
          </w:tcPr>
          <w:p w14:paraId="3A5901A7" w14:textId="49C329BF"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03A133FF" w14:textId="6E40DF4B"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5A546652" w14:textId="1D672C19" w:rsidR="00FE7BA2" w:rsidRPr="004E4ECA" w:rsidRDefault="006A3054"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{"citationID":"s4oG3jP6","properties":{"formattedCitation":"(Zhu et al., 2019)","plainCitation":"(Zhu et al., 2019)","noteIndex":0},"citationItems":[{"id":29,"uris":["http://zotero.org/users/local/ftZVc0Fk/items/PHEJUQ3R"],"uri":["http://zotero.org/users/local/ftZVc0Fk/items/PHEJUQ3R"],"itemData":{"id":29,"type":"article-journal","abstract":"Summary Hongkong kumquat (Fortunella hindsii) is a wild citrus species characterized by dwarf plant height and early flowering. Here, we identified the monoembryonic F. hindsii (designated as ?Mini-Citrus?) for the first time and constructed its selfing lines. This germplasm constitutes an ideal model for the genetic and functional genomics studies of citrus, which have been severely hindered by the long juvenility and inherent apomixes of citrus. F. hindsii showed a very short juvenile period (~8 months) and stable monoembryonic phenotype under cultivation. We report the first de novo assembled 373.6 Mb genome sequences (Contig-N50 2.2 Mb and Scaffold-N50 5.2 Mb) for F. hindsii. In total, 32 257 protein-coding genes were annotated, 96.9% of which had homologues in other eight Citrinae species. The phylogenomic analysis revealed a close relationship of F. hindsii with cultivated citrus varieties, especially with mandarin. Furthermore, the CRISPR/Cas9 system was demonstrated to be an efficient strategy to generate target mutagenesis on F. hindsii. The modifications of target genes in the CRISPR-modified F. hindsii were predominantly 1-bp insertions or small deletions. This genetic transformation system based on F. hindsii could shorten the whole process from explant to T1 mutant to about 15 months. Overall, due to its short juvenility, monoembryony, close genetic background to cultivated citrus and applicability of CRISPR, F. hindsii shows unprecedented potentials to be used as a model species for citrus research.","container-title":"Plant Biotechnology Journal","DOI":"10.1111/pbi.13132","ISSN":"1467-7644","issue":"11","journalAbbreviation":"Plant Biotechnology Journal","note":"publisher: John Wiley &amp; Sons, Ltd","page":"2199-2210","title":"Genome sequencing and CRISPR/Cas9 gene editing of an early flowering Mini-Citrus (Fortunella hindsii)","volume":"17","author":[{"family":"Zhu","given":"Chenqiao"},{"family":"Zheng","given":"Xiongjie"},{"family":"Huang","given":"Yue"},{"family":"Ye","given":"Junli"},{"family":"Chen","given":"Peng"},{"family":"Zhang","given":"Chenglei"},{"family":"Zhao","given":"Fei"},{"family":"Xie","given":"Zongzhou"},{"family":"Zhang","given":"Siqi"},{"family":"Wang","given":"Nan"},{"family":"Li","given":"Hang"},{"family":"Wang","given":"Lun"},{"family":"Tang","given":"Xiaomei"},{"family":"Chai","given":"Lijun"},{"family":"Xu","given":"Qiang"},{"family":"Deng","given":"Xiuxin"}],"issued":{"date-parts":[["2019",11,1]]}}}],"schema":"https://github.com/citation-style-language/schema/raw/master/csl-citation.json"} </w:instrText>
            </w:r>
            <w:r w:rsidRPr="004E4ECA">
              <w:rPr>
                <w:sz w:val="20"/>
                <w:szCs w:val="20"/>
              </w:rPr>
              <w:fldChar w:fldCharType="separate"/>
            </w:r>
            <w:r w:rsidRPr="004E4ECA">
              <w:rPr>
                <w:noProof/>
                <w:sz w:val="20"/>
                <w:szCs w:val="20"/>
              </w:rPr>
              <w:t>(Zhu et al., 2019)</w:t>
            </w:r>
            <w:r w:rsidRPr="004E4ECA">
              <w:rPr>
                <w:sz w:val="20"/>
                <w:szCs w:val="20"/>
              </w:rPr>
              <w:fldChar w:fldCharType="end"/>
            </w:r>
          </w:p>
        </w:tc>
      </w:tr>
      <w:tr w:rsidR="00FE7BA2" w:rsidRPr="00832130" w14:paraId="41AADE0A"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7AB3564" w14:textId="77777777" w:rsidR="00FE7BA2" w:rsidRPr="004E4ECA" w:rsidRDefault="00FE7BA2" w:rsidP="00FE7BA2">
            <w:pPr>
              <w:rPr>
                <w:sz w:val="20"/>
                <w:szCs w:val="20"/>
              </w:rPr>
            </w:pPr>
          </w:p>
        </w:tc>
        <w:tc>
          <w:tcPr>
            <w:tcW w:w="2340" w:type="dxa"/>
          </w:tcPr>
          <w:p w14:paraId="4E2BFC0B" w14:textId="071549F3"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08710D1D" w14:textId="03BC99DC"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CsWRKY22</w:t>
            </w:r>
            <w:r w:rsidRPr="004E4ECA">
              <w:rPr>
                <w:sz w:val="20"/>
                <w:szCs w:val="20"/>
              </w:rPr>
              <w:t>, disease r</w:t>
            </w:r>
            <w:r w:rsidRPr="004E4ECA">
              <w:rPr>
                <w:rFonts w:ascii="Calibri" w:hAnsi="Calibri" w:cs="Calibri"/>
                <w:color w:val="1C1D1E"/>
                <w:sz w:val="20"/>
                <w:szCs w:val="20"/>
                <w:shd w:val="clear" w:color="auto" w:fill="FFFFFF"/>
              </w:rPr>
              <w:t>esistance</w:t>
            </w:r>
          </w:p>
        </w:tc>
        <w:tc>
          <w:tcPr>
            <w:tcW w:w="3389" w:type="dxa"/>
          </w:tcPr>
          <w:p w14:paraId="7410C036" w14:textId="1F2953DF" w:rsidR="00FE7BA2" w:rsidRPr="004E4ECA" w:rsidRDefault="006A3054"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003D339A" w:rsidRPr="004E4ECA">
              <w:rPr>
                <w:sz w:val="20"/>
                <w:szCs w:val="20"/>
              </w:rPr>
              <w:instrText xml:space="preserve"> ADDIN ZOTERO_ITEM CSL_CITATION {"citationID":"sK3wBovX","properties":{"formattedCitation":"(Omori et al., 2021)","plainCitation":"(Omori et al., 2021)","noteIndex":0},"citationItems":[{"id":59,"uris":["http://zotero.org/users/local/ftZVc0Fk/items/IFYJ79Q5"],"uri":["http://zotero.org/users/local/ftZVc0Fk/items/IFYJ79Q5"],"itemData":{"id":59,"type":"article-journal","container-title":"The Journal of Horticultural Science and Biotechnology","DOI":"10.1080/14620316.2020.1822760","ISSN":"1462-0316","issue":"2","journalAbbreviation":"null","note":"publisher: Taylor &amp; Francis","page":"153-161","title":"Targeted mutagenesis of CENTRORADIALIS using CRISPR/Cas9 system through the improvement of genetic transformation efficiency of tetraploid highbush blueberry","volume":"96","author":[{"family":"Omori","given":"Masafumi"},{"family":"Yamane","given":"Hisayo"},{"family":"Osakabe","given":"Keishi"},{"family":"Osakabe","given":"Yuriko"},{"family":"Tao","given":"Ryutaro"}],"issued":{"date-parts":[["2021",3,4]]}}}],"schema":"https://github.com/citation-style-language/schema/raw/master/csl-citation.json"} </w:instrText>
            </w:r>
            <w:r w:rsidRPr="004E4ECA">
              <w:rPr>
                <w:sz w:val="20"/>
                <w:szCs w:val="20"/>
              </w:rPr>
              <w:fldChar w:fldCharType="separate"/>
            </w:r>
            <w:r w:rsidR="003D339A" w:rsidRPr="004E4ECA">
              <w:rPr>
                <w:noProof/>
                <w:sz w:val="20"/>
                <w:szCs w:val="20"/>
              </w:rPr>
              <w:t>(Omori et al., 2021)</w:t>
            </w:r>
            <w:r w:rsidRPr="004E4ECA">
              <w:rPr>
                <w:sz w:val="20"/>
                <w:szCs w:val="20"/>
              </w:rPr>
              <w:fldChar w:fldCharType="end"/>
            </w:r>
          </w:p>
        </w:tc>
      </w:tr>
      <w:tr w:rsidR="00FE7BA2" w:rsidRPr="00832130" w14:paraId="28295A65"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314FA60" w14:textId="77777777" w:rsidR="00FE7BA2" w:rsidRPr="004E4ECA" w:rsidRDefault="00FE7BA2" w:rsidP="00FE7BA2">
            <w:pPr>
              <w:rPr>
                <w:sz w:val="20"/>
                <w:szCs w:val="20"/>
              </w:rPr>
            </w:pPr>
          </w:p>
        </w:tc>
        <w:tc>
          <w:tcPr>
            <w:tcW w:w="2340" w:type="dxa"/>
          </w:tcPr>
          <w:p w14:paraId="66D61F6C" w14:textId="26109B0A"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3F805750" w14:textId="20A64778"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CsLOB1</w:t>
            </w:r>
            <w:r w:rsidRPr="004E4ECA">
              <w:rPr>
                <w:sz w:val="20"/>
                <w:szCs w:val="20"/>
              </w:rPr>
              <w:t>, disease r</w:t>
            </w:r>
            <w:r w:rsidRPr="004E4ECA">
              <w:rPr>
                <w:rFonts w:ascii="Calibri" w:hAnsi="Calibri" w:cs="Calibri"/>
                <w:color w:val="1C1D1E"/>
                <w:sz w:val="20"/>
                <w:szCs w:val="20"/>
                <w:shd w:val="clear" w:color="auto" w:fill="FFFFFF"/>
              </w:rPr>
              <w:t>esistance</w:t>
            </w:r>
          </w:p>
        </w:tc>
        <w:tc>
          <w:tcPr>
            <w:tcW w:w="3389" w:type="dxa"/>
          </w:tcPr>
          <w:p w14:paraId="39A2732D" w14:textId="0E94B4E4" w:rsidR="00FE7BA2" w:rsidRPr="004E4ECA" w:rsidRDefault="006A3054"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{"citationID":"HugaFceH","properties":{"formattedCitation":"(Jia et al., 2019)","plainCitation":"(Jia et al., 2019)","noteIndex":0},"citationItems":[{"id":32,"uris":["http://zotero.org/users/local/ftZVc0Fk/items/KD2ATZTU"],"uri":["http://zotero.org/users/local/ftZVc0Fk/items/KD2ATZTU"],"itemData":{"id":32,"type":"article-journal","abstract":"Summary Recently, CRISPR-Cas12a (Cpf1) from Prevotella and Francisella was engineered to modify plant genomes. In this report, we employed CRISPR-LbCas12a (LbCpf1), which is derived from Lachnospiraceae bacterium ND2006, to edit a citrus genome for the first time. First, LbCas12a was used to modify the CsPDS gene successfully in Duncan grapefruit via Xcc-facilitated agroinfiltration. Next, LbCas12a driven by either the 35S or Yao promoter was used to edit the PthA4 effector binding elements in the promoter (EBEPthA4-CsLOBP) of CsLOB1. A single crRNA was selected to target a conserved region of both Type I and Type II CsLOBPs, since the protospacer adjacent motif of LbCas12a (TTTV) allows crRNA to act on the conserved region of these two types of CsLOBP. CsLOB1 is the canker susceptibility gene, and it is induced by the corresponding pathogenicity factor PthA4 in Xanthomonas citri by binding to EBEPthA4-CsLOBP. A total of seven 35S-LbCas12a-transformed Duncan plants were generated, and they were designated as #D35s1 to #D35s7, and ten Yao-LbCas12a-transformed Duncan plants were created and designated as #Dyao1 to #Dyao10. LbCas12a-directed EBEPthA4-CsLOBP modifications were observed in three 35S-LbCas12a-transformed Duncan plants (#D35s1, #D35s4 and #D35s7). However, no LbCas12a-mediated indels were observed in the Yao-LbCas12a-transformed plants. Notably, transgenic line #D35s4, which contains the highest mutation rate, alleviates Xcc?pthA4:dCsLOB1.4 infection. Finally, no potential off-targets were observed. Therefore, CRISPR-LbCas12a can readily be used as a powerful tool for citrus genome editing.","container-title":"Plant Biotechnology Journal","DOI":"10.1111/pbi.13109","ISSN":"1467-7644","issue":"10","journalAbbreviation":"Plant Biotechnology Journal","note":"publisher: John Wiley &amp; Sons, Ltd","page":"1928-1937","title":"CRISPR-LbCas12a-mediated modification of citrus","volume":"17","author":[{"family":"Jia","given":"Hongge"},{"family":"Orbović","given":"Vladimir"},{"family":"Wang","given":"Nian"}],"issued":{"date-parts":[["2019",10,1]]}}}],"schema":"https://github.com/citation-style-language/schema/raw/master/csl-citation.json"} </w:instrText>
            </w:r>
            <w:r w:rsidRPr="004E4ECA">
              <w:rPr>
                <w:sz w:val="20"/>
                <w:szCs w:val="20"/>
              </w:rPr>
              <w:fldChar w:fldCharType="separate"/>
            </w:r>
            <w:r w:rsidRPr="004E4ECA">
              <w:rPr>
                <w:noProof/>
                <w:sz w:val="20"/>
                <w:szCs w:val="20"/>
              </w:rPr>
              <w:t>(Jia et al., 2019)</w:t>
            </w:r>
            <w:r w:rsidRPr="004E4ECA">
              <w:rPr>
                <w:sz w:val="20"/>
                <w:szCs w:val="20"/>
              </w:rPr>
              <w:fldChar w:fldCharType="end"/>
            </w:r>
          </w:p>
        </w:tc>
      </w:tr>
      <w:tr w:rsidR="00FE7BA2" w:rsidRPr="00832130" w14:paraId="369F9A6E"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57D8E63" w14:textId="77777777" w:rsidR="00FE7BA2" w:rsidRPr="004E4ECA" w:rsidRDefault="00FE7BA2" w:rsidP="00FE7BA2">
            <w:pPr>
              <w:rPr>
                <w:sz w:val="20"/>
                <w:szCs w:val="20"/>
              </w:rPr>
            </w:pPr>
          </w:p>
        </w:tc>
        <w:tc>
          <w:tcPr>
            <w:tcW w:w="2340" w:type="dxa"/>
          </w:tcPr>
          <w:p w14:paraId="4CCC408F" w14:textId="32C40C5C"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52D58A8F" w14:textId="051286A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65317D45" w14:textId="13AA86DB" w:rsidR="00FE7BA2" w:rsidRPr="004E4ECA" w:rsidRDefault="006A3054"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{"citationID":"0b5ApSne","properties":{"formattedCitation":"(Dutt et al., 2020)","plainCitation":"(Dutt et al., 2020)","noteIndex":0},"citationItems":[{"id":36,"uris":["http://zotero.org/users/local/ftZVc0Fk/items/3AVFKNQ2"],"uri":["http://zotero.org/users/local/ftZVc0Fk/items/3AVFKNQ2"],"itemData":{"id":36,"type":"article-journal","abstract":"Development of precise genome editing strategies is a prerequisite for producing edited plants that can aid in the study of gene function and help understand the genetic traits in a cultivar. Citrus embryogenic cell cultures can be used to rapidly produce a large population of genome edited transformed citrus lines. The ability to introduce specific mutations in the genome of these cells using two constructs (pC-PDS1 and pC-PDS2) was evaluated in this study.","container-title":"BMC Biotechnology","DOI":"10.1186/s12896-020-00652-9","ISSN":"1472-6750","issue":"1","journalAbbreviation":"BMC Biotechnology","page":"58","title":"Efficient CRISPR/Cas9 genome editing with Citrus embryogenic cell cultures","volume":"20","author":[{"family":"Dutt","given":"Manjul"},{"family":"Mou","given":"Zhonglin"},{"family":"Zhang","given":"Xudong"},{"family":"Tanwir","given":"Sameena E."},{"family":"Grosser","given":"Jude W."}],"issued":{"date-parts":[["2020",11,10]]}}}],"schema":"https://github.com/citation-style-language/schema/raw/master/csl-citation.json"} </w:instrText>
            </w:r>
            <w:r w:rsidRPr="004E4ECA">
              <w:rPr>
                <w:sz w:val="20"/>
                <w:szCs w:val="20"/>
              </w:rPr>
              <w:fldChar w:fldCharType="separate"/>
            </w:r>
            <w:r w:rsidRPr="004E4ECA">
              <w:rPr>
                <w:noProof/>
                <w:sz w:val="20"/>
                <w:szCs w:val="20"/>
              </w:rPr>
              <w:t>(Dutt et al., 2020)</w:t>
            </w:r>
            <w:r w:rsidRPr="004E4ECA">
              <w:rPr>
                <w:sz w:val="20"/>
                <w:szCs w:val="20"/>
              </w:rPr>
              <w:fldChar w:fldCharType="end"/>
            </w:r>
          </w:p>
        </w:tc>
      </w:tr>
      <w:tr w:rsidR="00FE7BA2" w:rsidRPr="00832130" w14:paraId="22A28501"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3F44A0D" w14:textId="77777777" w:rsidR="00FE7BA2" w:rsidRPr="004E4ECA" w:rsidRDefault="00FE7BA2" w:rsidP="00FE7BA2">
            <w:pPr>
              <w:rPr>
                <w:sz w:val="20"/>
                <w:szCs w:val="20"/>
              </w:rPr>
            </w:pPr>
          </w:p>
        </w:tc>
        <w:tc>
          <w:tcPr>
            <w:tcW w:w="2340" w:type="dxa"/>
          </w:tcPr>
          <w:p w14:paraId="6DC99143" w14:textId="1E87DCAC"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68D6AE8C" w14:textId="3248224B"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CsLOB1</w:t>
            </w:r>
            <w:r w:rsidRPr="004E4ECA">
              <w:rPr>
                <w:sz w:val="20"/>
                <w:szCs w:val="20"/>
              </w:rPr>
              <w:t>, disease r</w:t>
            </w:r>
            <w:r w:rsidRPr="004E4ECA">
              <w:rPr>
                <w:rFonts w:ascii="Calibri" w:hAnsi="Calibri" w:cs="Calibri"/>
                <w:color w:val="1C1D1E"/>
                <w:sz w:val="20"/>
                <w:szCs w:val="20"/>
                <w:shd w:val="clear" w:color="auto" w:fill="FFFFFF"/>
              </w:rPr>
              <w:t>esistance</w:t>
            </w:r>
          </w:p>
        </w:tc>
        <w:tc>
          <w:tcPr>
            <w:tcW w:w="3389" w:type="dxa"/>
          </w:tcPr>
          <w:p w14:paraId="0EF330C4" w14:textId="19D906BE" w:rsidR="00FE7BA2" w:rsidRPr="004E4ECA" w:rsidRDefault="006A3054"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{"citationID":"hGmf8SHk","properties":{"formattedCitation":"(Jia and Wang, 2020)","plainCitation":"(Jia and Wang, 2020)","noteIndex":0},"citationItems":[{"id":39,"uris":["http://zotero.org/users/local/ftZVc0Fk/items/R4Q6YB7A"],"uri":["http://zotero.org/users/local/ftZVc0Fk/items/R4Q6YB7A"],"itemData":{"id":39,"type":"article-journal","container-title":"Plant Biotechnology Journal","DOI":"10.1111/pbi.13375","ISSN":"1467-7644","issue":"10","journalAbbreviation":"Plant Biotechnology Journal","note":"publisher: John Wiley &amp; Sons, Ltd","page":"1990-1992","title":"Generation of homozygous canker-resistant citrus in the T0 generation using CRISPR-SpCas9p","volume":"18","author":[{"family":"Jia","given":"Hongge"},{"family":"Wang","given":"Nian"}],"issued":{"date-parts":[["2020",10,1]]}}}],"schema":"https://github.com/citation-style-language/schema/raw/master/csl-citation.json"} </w:instrText>
            </w:r>
            <w:r w:rsidRPr="004E4ECA">
              <w:rPr>
                <w:sz w:val="20"/>
                <w:szCs w:val="20"/>
              </w:rPr>
              <w:fldChar w:fldCharType="separate"/>
            </w:r>
            <w:r w:rsidRPr="004E4ECA">
              <w:rPr>
                <w:noProof/>
                <w:sz w:val="20"/>
                <w:szCs w:val="20"/>
              </w:rPr>
              <w:t>(Jia and Wang, 2020)</w:t>
            </w:r>
            <w:r w:rsidRPr="004E4ECA">
              <w:rPr>
                <w:sz w:val="20"/>
                <w:szCs w:val="20"/>
              </w:rPr>
              <w:fldChar w:fldCharType="end"/>
            </w:r>
          </w:p>
        </w:tc>
      </w:tr>
      <w:tr w:rsidR="00FE7BA2" w:rsidRPr="00832130" w14:paraId="0A6CD232"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4FD53ADF" w14:textId="77777777" w:rsidR="00FE7BA2" w:rsidRPr="004E4ECA" w:rsidRDefault="00FE7BA2" w:rsidP="00FE7BA2">
            <w:pPr>
              <w:rPr>
                <w:sz w:val="20"/>
                <w:szCs w:val="20"/>
              </w:rPr>
            </w:pPr>
          </w:p>
        </w:tc>
        <w:tc>
          <w:tcPr>
            <w:tcW w:w="2340" w:type="dxa"/>
          </w:tcPr>
          <w:p w14:paraId="4240701A" w14:textId="7FE0CA3C"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D196F49" w14:textId="6DBB597A"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w:t>
            </w:r>
            <w:r w:rsidRPr="004E4ECA">
              <w:rPr>
                <w:i/>
                <w:iCs/>
                <w:sz w:val="20"/>
                <w:szCs w:val="20"/>
              </w:rPr>
              <w:t>AGO7</w:t>
            </w:r>
            <w:r w:rsidRPr="004E4ECA">
              <w:rPr>
                <w:sz w:val="20"/>
                <w:szCs w:val="20"/>
              </w:rPr>
              <w:t xml:space="preserve"> chlorosis, leaf dev.</w:t>
            </w:r>
          </w:p>
        </w:tc>
        <w:tc>
          <w:tcPr>
            <w:tcW w:w="3389" w:type="dxa"/>
          </w:tcPr>
          <w:p w14:paraId="13CF1532" w14:textId="28D44E40" w:rsidR="00FE7BA2" w:rsidRPr="004E4ECA" w:rsidRDefault="00F4433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{"citationID":"7GlFcWFC","properties":{"formattedCitation":"(Jia et al., 2017)","plainCitation":"(Jia et al., 2017)","noteIndex":0},"citationItems":[{"id":34,"uris":["http://zotero.org/users/local/ftZVc0Fk/items/482IGZJC"],"uri":["http://zotero.org/users/local/ftZVc0Fk/items/482IGZJC"],"itemData":{"id":34,"type":"article-journal","abstract":"Abstract Citrus is a highly valued tree crop worldwide, while, at the same time, citrus production faces many biotic challenges, including bacterial canker and Huanglongbing (HLB). Breeding for disease-resistant varieties is the most efficient and sustainable approach to control plant diseases. Traditional breeding of citrus varieties is challenging due to multiple limitations, including polyploidy, polyembryony, extended juvenility and long crossing cycles. Targeted genome editing technology has the potential to shorten varietal development for some traits, including disease resistance. Here, we used CRISPR/Cas9/sgRNA technology to modify the canker susceptibility gene CsLOB1 in Duncan grapefruit. Six independent lines, DLOB2, DLOB3, DLOB9, DLOB10, DLOB11 and DLOB12, were generated. Targeted next-generation sequencing of the six lines showed the mutation rate was 31.58%, 23.80%, 89.36%, 88.79%, 46.91% and 51.12% for DLOB2, DLOB3, DLOB9, DLOB10, DLOB11 and DLOB12, respectively, of the cells in each line. DLOB2 and DLOB3 showed canker symptoms similar to wild-type grapefruit, when inoculated with the pathogen Xanthomonas citri subsp. citri (Xcc). No canker symptoms were observed on DLOB9, DLOB10, DLOB11 and DLOB12 at 4 days postinoculation (DPI) with Xcc. Pustules caused by Xcc were observed on DLOB9, DLOB10, DLOB11 and DLOB12 in later stages, which were much reduced compared to that on wild-type grapefruit. The pustules on DLOB9 and DLOB10 did not develop into typical canker symptoms. No side effects and off-target mutations were detected in the mutated plants. This study indicates that genome editing using CRISPR technology will provide a promising pathway to generate disease-resistant citrus varieties.","container-title":"Plant Biotechnology Journal","DOI":"10.1111/pbi.12677","ISSN":"1467-7644","issue":"7","journalAbbreviation":"Plant Biotechnology Journal","note":"publisher: John Wiley &amp; Sons, Ltd","page":"817-823","title":"Genome editing of the disease susceptibility gene CsLOB1 in citrus confers resistance to citrus canker","volume":"15","author":[{"family":"Jia","given":"Hongge"},{"family":"Zhang","given":"Yunzeng"},{"family":"Orbović","given":"Vladimir"},{"family":"Xu","given":"Jin"},{"family":"White","given":"Frank F."},{"family":"Jones","given":"Jeffrey B."},{"family":"Wang","given":"Nian"}],"issued":{"date-parts":[["2017",7,1]]}}}],"schema":"https://github.com/citation-style-language/schema/raw/master/csl-citation.json"} </w:instrText>
            </w:r>
            <w:r w:rsidRPr="004E4ECA">
              <w:rPr>
                <w:sz w:val="20"/>
                <w:szCs w:val="20"/>
              </w:rPr>
              <w:fldChar w:fldCharType="separate"/>
            </w:r>
            <w:r w:rsidRPr="004E4ECA">
              <w:rPr>
                <w:noProof/>
                <w:sz w:val="20"/>
                <w:szCs w:val="20"/>
              </w:rPr>
              <w:t>(Jia et al., 2017)</w:t>
            </w:r>
            <w:r w:rsidRPr="004E4ECA">
              <w:rPr>
                <w:sz w:val="20"/>
                <w:szCs w:val="20"/>
              </w:rPr>
              <w:fldChar w:fldCharType="end"/>
            </w:r>
          </w:p>
        </w:tc>
      </w:tr>
      <w:tr w:rsidR="00FE7BA2" w:rsidRPr="00832130" w14:paraId="579A7AB8"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5590D7E" w14:textId="77777777" w:rsidR="00FE7BA2" w:rsidRPr="004E4ECA" w:rsidRDefault="00FE7BA2" w:rsidP="00FE7BA2">
            <w:pPr>
              <w:rPr>
                <w:sz w:val="20"/>
                <w:szCs w:val="20"/>
              </w:rPr>
            </w:pPr>
          </w:p>
        </w:tc>
        <w:tc>
          <w:tcPr>
            <w:tcW w:w="2340" w:type="dxa"/>
          </w:tcPr>
          <w:p w14:paraId="44674555" w14:textId="1ADDA9B8"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8DBAE50" w14:textId="034C22BF"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CsLOB1</w:t>
            </w:r>
            <w:r w:rsidRPr="004E4ECA">
              <w:rPr>
                <w:sz w:val="20"/>
                <w:szCs w:val="20"/>
              </w:rPr>
              <w:t>, disease r</w:t>
            </w:r>
            <w:r w:rsidRPr="004E4ECA">
              <w:rPr>
                <w:rFonts w:ascii="Calibri" w:hAnsi="Calibri" w:cs="Calibri"/>
                <w:color w:val="1C1D1E"/>
                <w:sz w:val="20"/>
                <w:szCs w:val="20"/>
                <w:shd w:val="clear" w:color="auto" w:fill="FFFFFF"/>
              </w:rPr>
              <w:t>esistance</w:t>
            </w:r>
          </w:p>
        </w:tc>
        <w:tc>
          <w:tcPr>
            <w:tcW w:w="3389" w:type="dxa"/>
          </w:tcPr>
          <w:p w14:paraId="2EBB0423" w14:textId="48622CC1" w:rsidR="00FE7BA2" w:rsidRPr="004E4ECA" w:rsidRDefault="00F44330"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{"citationID":"O9Vcz2JO","properties":{"formattedCitation":"(Zou et al., 2019)","plainCitation":"(Zou et al., 2019)","noteIndex":0},"citationItems":[{"id":42,"uris":["http://zotero.org/users/local/ftZVc0Fk/items/VBUC2H39"],"uri":["http://zotero.org/users/local/ftZVc0Fk/items/VBUC2H39"],"itemData":{"id":42,"type":"article-journal","container-title":"Acta Horticulturae Sinica","issue":"2","journalAbbreviation":"Acta Horticulturae Sinica","page":"337-344","title":"CRISPR/Cas9-mediated Editing of Multiple Sites in the Citrus CsLOB1 Promoter","volume":"46","author":[{"family":"Zou","given":"Xiuping"},{"family":"Fan","given":"Di"},{"family":"Peng","given":"Aihong"},{"family":"He","given":"Yongrui"},{"family":"Xu","given":"Lanzhen"},{"family":"Lei","given":"Tiangang"},{"family":"Yao","given":"Lixiao"},{"family":"Li","given":"Qiang"},{"family":"Luo","given":"Keming"}],"issued":{"date-parts":[["2019"]]}}}],"schema":"https://github.com/citation-style-language/schema/raw/master/csl-citation.json"} </w:instrText>
            </w:r>
            <w:r w:rsidRPr="004E4ECA">
              <w:rPr>
                <w:sz w:val="20"/>
                <w:szCs w:val="20"/>
              </w:rPr>
              <w:fldChar w:fldCharType="separate"/>
            </w:r>
            <w:r w:rsidRPr="004E4ECA">
              <w:rPr>
                <w:rFonts w:ascii="Calibri" w:cs="Calibri"/>
                <w:sz w:val="20"/>
                <w:szCs w:val="20"/>
              </w:rPr>
              <w:t>(Zou et al., 2019)</w:t>
            </w:r>
            <w:r w:rsidRPr="004E4ECA">
              <w:rPr>
                <w:sz w:val="20"/>
                <w:szCs w:val="20"/>
              </w:rPr>
              <w:fldChar w:fldCharType="end"/>
            </w:r>
          </w:p>
        </w:tc>
      </w:tr>
      <w:tr w:rsidR="00FE7BA2" w:rsidRPr="00832130" w14:paraId="3E1A28BC"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C62D409" w14:textId="77777777" w:rsidR="00FE7BA2" w:rsidRPr="004E4ECA" w:rsidRDefault="00FE7BA2" w:rsidP="00FE7BA2">
            <w:pPr>
              <w:rPr>
                <w:sz w:val="20"/>
                <w:szCs w:val="20"/>
              </w:rPr>
            </w:pPr>
          </w:p>
        </w:tc>
        <w:tc>
          <w:tcPr>
            <w:tcW w:w="2340" w:type="dxa"/>
          </w:tcPr>
          <w:p w14:paraId="566D4C63" w14:textId="5FF46CFA" w:rsidR="00FE7BA2" w:rsidRPr="004E4ECA" w:rsidRDefault="00AE119B"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A185A1E" w14:textId="20E672AE"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00AE119B" w:rsidRPr="004E4ECA">
              <w:rPr>
                <w:i/>
                <w:iCs/>
                <w:sz w:val="20"/>
                <w:szCs w:val="20"/>
              </w:rPr>
              <w:t xml:space="preserve">, </w:t>
            </w:r>
            <w:r w:rsidR="00AE119B" w:rsidRPr="004E4ECA">
              <w:rPr>
                <w:sz w:val="20"/>
                <w:szCs w:val="20"/>
              </w:rPr>
              <w:t>chlorosis</w:t>
            </w:r>
          </w:p>
        </w:tc>
        <w:tc>
          <w:tcPr>
            <w:tcW w:w="3389" w:type="dxa"/>
          </w:tcPr>
          <w:p w14:paraId="5345F6CE" w14:textId="59CBB466" w:rsidR="00FE7BA2" w:rsidRPr="004E4ECA" w:rsidRDefault="00F4433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{"citationID":"Fn1ISjcI","properties":{"formattedCitation":"(Huang et al., 2020)","plainCitation":"(Huang et al., 2020)","noteIndex":0},"citationItems":[{"id":44,"uris":["http://zotero.org/users/local/ftZVc0Fk/items/NTIK8GZT"],"uri":["http://zotero.org/users/local/ftZVc0Fk/items/NTIK8GZT"],"itemData":{"id":44,"type":"article-journal","abstract":"We have developed multiplex genome editing toolkits for citrus that significantly improve citrusgenome editing efficacy.","container-title":"Plant Molecular Biology","DOI":"10.1007/s11103-020-01043-6","ISSN":"1573-5028","issue":"3","journalAbbreviation":"Plant Molecular Biology","page":"297-307","title":"Development of multiplex genome editing toolkits for citrus with high efficacy in biallelic and homozygous mutations","volume":"104","author":[{"family":"Huang","given":"Xiaoen"},{"family":"Wang","given":"Yuanchun"},{"family":"Xu","given":"Jin"},{"family":"Wang","given":"Nian"}],"issued":{"date-parts":[["2020",10,1]]}}}],"schema":"https://github.com/citation-style-language/schema/raw/master/csl-citation.json"} </w:instrText>
            </w:r>
            <w:r w:rsidRPr="004E4ECA">
              <w:rPr>
                <w:sz w:val="20"/>
                <w:szCs w:val="20"/>
              </w:rPr>
              <w:fldChar w:fldCharType="separate"/>
            </w:r>
            <w:r w:rsidRPr="004E4ECA">
              <w:rPr>
                <w:noProof/>
                <w:sz w:val="20"/>
                <w:szCs w:val="20"/>
              </w:rPr>
              <w:t>(Huang et al., 2020)</w:t>
            </w:r>
            <w:r w:rsidRPr="004E4ECA">
              <w:rPr>
                <w:sz w:val="20"/>
                <w:szCs w:val="20"/>
              </w:rPr>
              <w:fldChar w:fldCharType="end"/>
            </w:r>
          </w:p>
        </w:tc>
      </w:tr>
      <w:tr w:rsidR="00FE7BA2" w:rsidRPr="00832130" w14:paraId="0307DB7E"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C997D5B" w14:textId="501C3D09" w:rsidR="00FE7BA2" w:rsidRPr="004E4ECA" w:rsidRDefault="00FE7BA2" w:rsidP="00FE7BA2">
            <w:pPr>
              <w:rPr>
                <w:i/>
                <w:iCs/>
                <w:sz w:val="20"/>
                <w:szCs w:val="20"/>
              </w:rPr>
            </w:pPr>
            <w:r w:rsidRPr="004E4ECA">
              <w:rPr>
                <w:i/>
                <w:iCs/>
                <w:sz w:val="20"/>
                <w:szCs w:val="20"/>
              </w:rPr>
              <w:t>Parasponia andersonii</w:t>
            </w:r>
          </w:p>
        </w:tc>
        <w:tc>
          <w:tcPr>
            <w:tcW w:w="2340" w:type="dxa"/>
          </w:tcPr>
          <w:p w14:paraId="776AC35A" w14:textId="0A9B8BF6"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55D555D8" w14:textId="476F0EE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EIN2, HK4, NSP1/2,</w:t>
            </w:r>
            <w:r w:rsidRPr="004E4ECA">
              <w:rPr>
                <w:sz w:val="20"/>
                <w:szCs w:val="20"/>
              </w:rPr>
              <w:t xml:space="preserve"> nodulation</w:t>
            </w:r>
          </w:p>
        </w:tc>
        <w:tc>
          <w:tcPr>
            <w:tcW w:w="3389" w:type="dxa"/>
          </w:tcPr>
          <w:p w14:paraId="744B2CF0" w14:textId="0A643A06" w:rsidR="00FE7BA2" w:rsidRPr="004E4ECA" w:rsidRDefault="00F44330"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{"citationID":"TiUCuQzd","properties":{"formattedCitation":"(van Zeijl et al., 2018)","plainCitation":"(van Zeijl et al., 2018)","noteIndex":0},"citationItems":[{"id":45,"uris":["http://zotero.org/users/local/ftZVc0Fk/items/RSZS2UGJ"],"uri":["http://zotero.org/users/local/ftZVc0Fk/items/RSZS2UGJ"],"itemData":{"id":45,"type":"article-journal","abstract":"Parasponia represents five fast-growing tropical tree species in the Cannabaceae and is the only plant lineage besides legumes that can establish nitrogen-fixing nodules with rhizobium. Comparative analyses between legumes and Parasponia allows identification of conserved genetic networks controlling this symbiosis. However, such studies are hampered due to the absence of powerful reverse genetic tools for Parasponia. Here, we present a fast and efficient protocol for Agrobacterium tumefaciens-mediated transformation and CRISPR/Cas9 mutagenesis of Parasponia andersonii. Using this protocol, knockout mutants are obtained within 3 months. Due to efficient micro-propagation, bi-allelic mutants can be studied in the T0 generation, allowing phenotypic evaluation within 6 months after transformation. We mutated four genes – PanHK4, PanEIN2, PanNSP1, and PanNSP2 – that control cytokinin, ethylene, or strigolactone hormonal networks and that in legumes commit essential symbiotic functions. Knockout mutants in Panhk4 and Panein2 displayed developmental phenotypes, namely reduced procambium activity in Panhk4 and disturbed sex differentiation in Panein2 mutants. The symbiotic phenotypes of Panhk4 and Panein2 mutant lines differ from those in legumes. In contrast, PanNSP1 and PanNSP2 are essential for nodule formation, a phenotype similar as reported for legumes. This indicates a conserved role for these GRAS-type transcriptional regulators in rhizobium symbiosis, illustrating the value of Parasponia trees as a research model for reverse genetic studies.","container-title":"Frontiers in Plant Science","DOI":"10.3389/fpls.2018.00284","ISSN":"1664-462X","journalAbbreviation":"Frontiers in Plant Science","page":"284","title":"CRISPR/Cas9-Mediated Mutagenesis of Four Putative Symbiosis Genes of the Tropical Tree Parasponia andersonii Reveals Novel Phenotypes","volume":"9","author":[{"family":"Zeijl","given":"Arjan","non-dropping-particle":"van"},{"family":"Wardhani","given":"Titis A. K."},{"family":"Seifi Kalhor","given":"Maryam"},{"family":"Rutten","given":"Luuk"},{"family":"Bu","given":"Fengjiao"},{"family":"Hartog","given":"Marijke"},{"family":"Linders","given":"Sidney"},{"family":"Fedorova","given":"Elena E."},{"family":"Bisseling","given":"Ton"},{"family":"Kohlen","given":"Wouter"},{"family":"Geurts","given":"Rene"}],"issued":{"date-parts":[["2018"]]}}}],"schema":"https://github.com/citation-style-language/schema/raw/master/csl-citation.json"} </w:instrText>
            </w:r>
            <w:r w:rsidRPr="004E4ECA">
              <w:rPr>
                <w:sz w:val="20"/>
                <w:szCs w:val="20"/>
              </w:rPr>
              <w:fldChar w:fldCharType="separate"/>
            </w:r>
            <w:r w:rsidRPr="004E4ECA">
              <w:rPr>
                <w:noProof/>
                <w:sz w:val="20"/>
                <w:szCs w:val="20"/>
              </w:rPr>
              <w:t>(van Zeijl et al., 2018)</w:t>
            </w:r>
            <w:r w:rsidRPr="004E4ECA">
              <w:rPr>
                <w:sz w:val="20"/>
                <w:szCs w:val="20"/>
              </w:rPr>
              <w:fldChar w:fldCharType="end"/>
            </w:r>
          </w:p>
        </w:tc>
      </w:tr>
      <w:tr w:rsidR="00FE7BA2" w:rsidRPr="00832130" w14:paraId="511E8149"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5F7C9FE" w14:textId="5EEC7BE9" w:rsidR="00FE7BA2" w:rsidRPr="004E4ECA" w:rsidRDefault="00FE7BA2" w:rsidP="00FE7BA2">
            <w:pPr>
              <w:rPr>
                <w:sz w:val="20"/>
                <w:szCs w:val="20"/>
              </w:rPr>
            </w:pPr>
            <w:r w:rsidRPr="004E4ECA">
              <w:rPr>
                <w:sz w:val="20"/>
                <w:szCs w:val="20"/>
              </w:rPr>
              <w:t>Coffee (</w:t>
            </w:r>
            <w:r w:rsidRPr="004E4ECA">
              <w:rPr>
                <w:i/>
                <w:iCs/>
                <w:sz w:val="20"/>
                <w:szCs w:val="20"/>
              </w:rPr>
              <w:t>Coffea canephora</w:t>
            </w:r>
            <w:r w:rsidRPr="004E4ECA">
              <w:rPr>
                <w:sz w:val="20"/>
                <w:szCs w:val="20"/>
              </w:rPr>
              <w:t>)</w:t>
            </w:r>
          </w:p>
        </w:tc>
        <w:tc>
          <w:tcPr>
            <w:tcW w:w="2340" w:type="dxa"/>
          </w:tcPr>
          <w:p w14:paraId="2E0CCC6C" w14:textId="315A804C"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C0B1916" w14:textId="398784D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10CE3045" w14:textId="17201DCA" w:rsidR="00FE7BA2" w:rsidRPr="004E4ECA" w:rsidRDefault="00F4433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{"citationID":"0bYNIrTZ","properties":{"formattedCitation":"(Breitler et al., 2018)","plainCitation":"(Breitler et al., 2018)","noteIndex":0},"citationItems":[{"id":24,"uris":["http://zotero.org/users/local/ftZVc0Fk/items/6JG4MULR"],"uri":["http://zotero.org/users/local/ftZVc0Fk/items/6JG4MULR"],"itemData":{"id":24,"type":"article-journal","abstract":"Genome editing, which is an unprecedented technological breakthrough, has provided a valuable means of creating targeted mutations in plant genomes. In this study, we developed a genomic web tool to identify all gRNA target sequences in the coffee genome, along with potential off-targets. In all, 8,145,748 CRISPR guides were identified in the draft genome of Coffea canephora corresponding to 5,338,568 different sequences and, of these, 4,655,458 were single, and 514,591 were covering exons. The proof of concept was established by targeting the phytoene desaturase gene (CcPDS) using the Agrobacterium tumefaciens transformation technique and somatic embryogenesis as the plant regeneration method. An analysis of the RNA-guided genome-editing events showed that 22.8% of the regenerated plants were heterozygous mutants and 7.6% were homozygous mutants. Mutation efficiency at the target site was estimated to be 30.4%. We demonstrated that genome editing by the CRISPR/Cas9 method is an efficient and reliable way of knocking out genes of agronomic interest in the coffee tree, opening up the way for coffee molecular breeding. Our results also showed that the use of somatic embryogenesis, as the method for regenerating genome-edited plants, could restrict the choice of targeted genes to those that are not essential to the embryo development and germination steps.","container-title":"Plant Cell, Tissue and Organ Culture (PCTOC)","DOI":"10.1007/s11240-018-1429-2","ISSN":"1573-5044","issue":"3","journalAbbreviation":"Plant Cell, Tissue and Organ Culture (PCTOC)","page":"383-394","title":"CRISPR/Cas9-mediated efficient targeted mutagenesis has the potential to accelerate the domestication of Coffea canephora","volume":"134","author":[{"family":"Breitler","given":"Jean-Christophe"},{"family":"Dechamp","given":"Eveline"},{"family":"Campa","given":"Claudine"},{"family":"Zebral Rodrigues","given":"Leonardo Augusto"},{"family":"Guyot","given":"Romain"},{"family":"Marraccini","given":"Pierre"},{"family":"Etienne","given":"Hervé"}],"issued":{"date-parts":[["2018",9,1]]}}}],"schema":"https://github.com/citation-style-language/schema/raw/master/csl-citation.json"} </w:instrText>
            </w:r>
            <w:r w:rsidRPr="004E4ECA">
              <w:rPr>
                <w:sz w:val="20"/>
                <w:szCs w:val="20"/>
              </w:rPr>
              <w:fldChar w:fldCharType="separate"/>
            </w:r>
            <w:r w:rsidRPr="004E4ECA">
              <w:rPr>
                <w:noProof/>
                <w:sz w:val="20"/>
                <w:szCs w:val="20"/>
              </w:rPr>
              <w:t>(Breitler et al., 2018)</w:t>
            </w:r>
            <w:r w:rsidRPr="004E4ECA">
              <w:rPr>
                <w:sz w:val="20"/>
                <w:szCs w:val="20"/>
              </w:rPr>
              <w:fldChar w:fldCharType="end"/>
            </w:r>
          </w:p>
        </w:tc>
      </w:tr>
      <w:tr w:rsidR="00FE7BA2" w:rsidRPr="00832130" w14:paraId="6204C102" w14:textId="77777777" w:rsidTr="00F44330">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95" w:type="dxa"/>
          </w:tcPr>
          <w:p w14:paraId="1A52AC88" w14:textId="4CD2771F" w:rsidR="00FE7BA2" w:rsidRPr="004E4ECA" w:rsidRDefault="00FE7BA2" w:rsidP="00FE7BA2">
            <w:pPr>
              <w:rPr>
                <w:sz w:val="20"/>
                <w:szCs w:val="20"/>
              </w:rPr>
            </w:pPr>
            <w:r w:rsidRPr="004E4ECA">
              <w:rPr>
                <w:sz w:val="20"/>
                <w:szCs w:val="20"/>
              </w:rPr>
              <w:t xml:space="preserve">Cocoa </w:t>
            </w:r>
            <w:r w:rsidRPr="004E4ECA">
              <w:rPr>
                <w:i/>
                <w:iCs/>
                <w:sz w:val="20"/>
                <w:szCs w:val="20"/>
              </w:rPr>
              <w:t>(Theobroma cocao)</w:t>
            </w:r>
          </w:p>
        </w:tc>
        <w:tc>
          <w:tcPr>
            <w:tcW w:w="2340" w:type="dxa"/>
          </w:tcPr>
          <w:p w14:paraId="70B19D2B" w14:textId="5DB93BEB"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68E76A90" w14:textId="4D695A4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TcNPR3</w:t>
            </w:r>
            <w:r w:rsidRPr="004E4ECA">
              <w:rPr>
                <w:sz w:val="20"/>
                <w:szCs w:val="20"/>
              </w:rPr>
              <w:t>, disease resistance</w:t>
            </w:r>
          </w:p>
        </w:tc>
        <w:tc>
          <w:tcPr>
            <w:tcW w:w="3389" w:type="dxa"/>
          </w:tcPr>
          <w:p w14:paraId="10EFFE8A" w14:textId="2F1DF2A8" w:rsidR="00FE7BA2" w:rsidRPr="004E4ECA" w:rsidRDefault="00630E68"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{"citationID":"Gy9RESgs","properties":{"formattedCitation":"(Fister et al., 2018)","plainCitation":"(Fister et al., 2018)","noteIndex":0},"citationItems":[{"id":81,"uris":["http://zotero.org/users/local/ftZVc0Fk/items/EEZLGIFV"],"uri":["http://zotero.org/users/local/ftZVc0Fk/items/EEZLGIFV"],"itemData":{"id":81,"type":"article-journal","abstract":"Theobroma cacao, the source of cocoa, suffers significant losses to a variety of pathogens resulting in reduced incomes for millions of farmers in developing countries. Development of disease resistant cacao varieties is an essential strategy to combat this threat, but is limited by sources of genetic resistance and the slow generation time of this tropical tree crop. In this study, we present the first application of genome editing technology in cacao, using Agrobacterium-mediated transient transformation to introduce CRISPR/Cas9 components into cacao leaves and cotyledon cells. As a first proof of concept, we targeted the cacao Non-Expressor of Pathogenesis-Related 3 (TcNPR3) gene, a suppressor of the defense response. After demonstrating activity of designed single-guide RNAs (sgRNA) in vitro, we used Agrobacterium to introduce a CRISPR/Cas9 system into leaf tissue, and identified the presence of deletions in 27% of TcNPR3 copies in the treated tissues. The edited tissue exhibited an increased resistance to infection with the cacao pathogen Phytophthora tropicalis and elevated expression of downstream defense genes. Analysis of off-target mutagenesis in sequences similar to sgRNA target sites using high-throughput sequencing did not reveal mutations above background sequencing error rates. These results confirm the function of NPR3 as a repressor of the cacao immune system and demonstrate the application of CRISPR/Cas9 as a powerful functional genomics tool for cacao. Several stably transformed and genome edited somatic embryos were obtained via Agrobacterium-mediated transformation, and ongoing work will test the effectiveness of this approach at a whole plant level.","container-title":"Frontiers in Plant Science","DOI":"10.3389/fpls.2018.00268","ISSN":"1664-462X","journalAbbreviation":"Frontiers in Plant Science","page":"268","title":"Transient Expression of CRISPR/Cas9 Machinery Targeting TcNPR3 Enhances Defense Response in Theobroma cacao","volume":"9","author":[{"family":"Fister","given":"Andrew S."},{"family":"Landherr","given":"Lena"},{"family":"Maximova","given":"Siela N."},{"family":"Guiltinan","given":"Mark J."}],"issued":{"date-parts":[["2018"]]}}}],"schema":"https://github.com/citation-style-language/schema/raw/master/csl-citation.json"} </w:instrText>
            </w:r>
            <w:r w:rsidRPr="004E4ECA">
              <w:rPr>
                <w:sz w:val="20"/>
                <w:szCs w:val="20"/>
              </w:rPr>
              <w:fldChar w:fldCharType="separate"/>
            </w:r>
            <w:r w:rsidRPr="004E4ECA">
              <w:rPr>
                <w:noProof/>
                <w:sz w:val="20"/>
                <w:szCs w:val="20"/>
              </w:rPr>
              <w:t>(Fister et al., 2018)</w:t>
            </w:r>
            <w:r w:rsidRPr="004E4ECA">
              <w:rPr>
                <w:sz w:val="20"/>
                <w:szCs w:val="20"/>
              </w:rPr>
              <w:fldChar w:fldCharType="end"/>
            </w:r>
          </w:p>
        </w:tc>
      </w:tr>
      <w:tr w:rsidR="00FE7BA2" w:rsidRPr="00832130" w14:paraId="6E3449B5"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B6D5180" w14:textId="5D27F45B" w:rsidR="00FE7BA2" w:rsidRPr="004E4ECA" w:rsidRDefault="00FE7BA2" w:rsidP="00FE7BA2">
            <w:pPr>
              <w:rPr>
                <w:sz w:val="20"/>
                <w:szCs w:val="20"/>
              </w:rPr>
            </w:pPr>
            <w:r w:rsidRPr="004E4ECA">
              <w:rPr>
                <w:sz w:val="20"/>
                <w:szCs w:val="20"/>
              </w:rPr>
              <w:t>Tea (</w:t>
            </w:r>
            <w:r w:rsidRPr="004E4ECA">
              <w:rPr>
                <w:i/>
                <w:iCs/>
                <w:sz w:val="20"/>
                <w:szCs w:val="20"/>
              </w:rPr>
              <w:t>Camellia sinensis</w:t>
            </w:r>
            <w:r w:rsidRPr="004E4ECA">
              <w:rPr>
                <w:sz w:val="20"/>
                <w:szCs w:val="20"/>
              </w:rPr>
              <w:t>)</w:t>
            </w:r>
          </w:p>
        </w:tc>
        <w:tc>
          <w:tcPr>
            <w:tcW w:w="2340" w:type="dxa"/>
          </w:tcPr>
          <w:p w14:paraId="5BDC8B4B" w14:textId="4FFB76A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6D89663" w14:textId="3DF736BB"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CsHB1</w:t>
            </w:r>
            <w:r w:rsidRPr="004E4ECA">
              <w:rPr>
                <w:sz w:val="20"/>
                <w:szCs w:val="20"/>
              </w:rPr>
              <w:t>, caffeine content</w:t>
            </w:r>
          </w:p>
        </w:tc>
        <w:tc>
          <w:tcPr>
            <w:tcW w:w="3389" w:type="dxa"/>
          </w:tcPr>
          <w:p w14:paraId="2E0E1B26" w14:textId="69A8642E" w:rsidR="00FE7BA2" w:rsidRPr="004E4ECA" w:rsidRDefault="00630E68"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{"citationID":"oWQ06EqY","properties":{"formattedCitation":"(Ma et al., 2021)","plainCitation":"(Ma et al., 2021)","noteIndex":0},"citationItems":[{"id":121,"uris":["http://zotero.org/users/local/ftZVc0Fk/items/DDPSFWCZ"],"uri":["http://zotero.org/users/local/ftZVc0Fk/items/DDPSFWCZ"],"itemData":{"id":121,"type":"article-journal","abstract":"Caffeine is an important metabolite in tea. In previous study, transcription factor CsHB1 was cloned from tea plants via yeast one-hybrid using yhNMT1 as bait. In this study, the expression of CsHB1 and yhNMT1 in tea plants was analyzed by qRT-PCR, the effect of CsHB1 on the expression of yhNMT1 was determined by tobacco transient expression system, and the CsHB1 was assembled into pYLCRISPR/Cas9Pubi-H vector followed by transgene to tea callus. Our results showed that the expression of CsHB1 was similar to that of yhNMT1. The overexpression of CsHB1 showed no significant effect on yhNMT1 in tobacco leaves. The constructed pYLCRISPR/Cas9Pubi-H-CsHB1 vector was successfully transformed into tea callus, and CsHB1 gene was mutated directionally. In transgenic callus, the expression of CsHB1 and yhNMT1 decreased by 65 % and 93 %, respectively, and the accumulation of caffeine decreased by 97.5 %, which indicated that yhNMT1 gene was regulated by CsHB1. Our results will help to understand the regulation mechanism of caffeine biosynthesis in tea.","container-title":"Process Biochemistry","DOI":"10.1016/j.procbio.2021.01.001","ISSN":"1359-5113","journalAbbreviation":"Process Biochemistry","page":"304-311","title":"The analysis of transcription factor CsHB1 effects on caffeine accumulation in tea callus through CRISPR/Cas9 mediated gene editing","volume":"101","author":[{"family":"Ma","given":"Wenhui"},{"family":"Kang","given":"Xin"},{"family":"Liu","given":"Ping"},{"family":"Zhang","given":"Yuanyuan"},{"family":"Lin","given":"Xiaorong"},{"family":"Li","given":"Bin"},{"family":"Chen","given":"Zhongzheng"}],"issued":{"date-parts":[["2021",2,1]]}}}],"schema":"https://github.com/citation-style-language/schema/raw/master/csl-citation.json"} </w:instrText>
            </w:r>
            <w:r w:rsidRPr="004E4ECA">
              <w:rPr>
                <w:sz w:val="20"/>
                <w:szCs w:val="20"/>
              </w:rPr>
              <w:fldChar w:fldCharType="separate"/>
            </w:r>
            <w:r w:rsidRPr="004E4ECA">
              <w:rPr>
                <w:noProof/>
                <w:sz w:val="20"/>
                <w:szCs w:val="20"/>
              </w:rPr>
              <w:t>(Ma et al., 2021)</w:t>
            </w:r>
            <w:r w:rsidRPr="004E4ECA">
              <w:rPr>
                <w:sz w:val="20"/>
                <w:szCs w:val="20"/>
              </w:rPr>
              <w:fldChar w:fldCharType="end"/>
            </w:r>
          </w:p>
        </w:tc>
      </w:tr>
      <w:tr w:rsidR="00FE7BA2" w:rsidRPr="00832130" w14:paraId="6D43FAFA" w14:textId="77777777" w:rsidTr="0083213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595" w:type="dxa"/>
          </w:tcPr>
          <w:p w14:paraId="66FC9AD7" w14:textId="16457885" w:rsidR="00FE7BA2" w:rsidRPr="004E4ECA" w:rsidRDefault="00FE7BA2" w:rsidP="00FE7BA2">
            <w:pPr>
              <w:rPr>
                <w:sz w:val="20"/>
                <w:szCs w:val="20"/>
              </w:rPr>
            </w:pPr>
            <w:r w:rsidRPr="004E4ECA">
              <w:rPr>
                <w:sz w:val="20"/>
                <w:szCs w:val="20"/>
              </w:rPr>
              <w:t>Kiwifruit (</w:t>
            </w:r>
            <w:r w:rsidRPr="004E4ECA">
              <w:rPr>
                <w:i/>
                <w:iCs/>
                <w:sz w:val="20"/>
                <w:szCs w:val="20"/>
              </w:rPr>
              <w:t>Actinidia deliciosa</w:t>
            </w:r>
            <w:r w:rsidRPr="004E4ECA">
              <w:rPr>
                <w:sz w:val="20"/>
                <w:szCs w:val="20"/>
              </w:rPr>
              <w:t>)</w:t>
            </w:r>
          </w:p>
        </w:tc>
        <w:tc>
          <w:tcPr>
            <w:tcW w:w="2340" w:type="dxa"/>
          </w:tcPr>
          <w:p w14:paraId="03CD0E24" w14:textId="1207F46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6CA41AFF" w14:textId="1578A669"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6EAC9102" w14:textId="08DC21B1" w:rsidR="00FE7BA2" w:rsidRPr="004E4ECA" w:rsidRDefault="003535DB"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00420EDD" w:rsidRPr="004E4ECA">
              <w:rPr>
                <w:sz w:val="20"/>
                <w:szCs w:val="20"/>
              </w:rPr>
              <w:instrText xml:space="preserve"> ADDIN ZOTERO_ITEM CSL_CITATION {"citationID":"QV1DYqPl","properties":{"formattedCitation":"(Wang et al., 2018b)","plainCitation":"(Wang et al., 2018b)","noteIndex":0},"citationItems":[{"id":125,"uris":["http://zotero.org/users/local/ftZVc0Fk/items/Z8I73WWE"],"uri":["http://zotero.org/users/local/ftZVc0Fk/items/Z8I73WWE"],"itemData":{"id":125,"type":"article-journal","abstract":"Summary Kiwifruit is an important fruit crop; however, technologies for its functional genomic and molecular improvement are limited. The clustered regulatory interspaced short palindromic repeats (CRISPR)/CRISPR-associated protein (Cas) system has been successfully applied to genetic improvement in many crops, but its editing capability is variable depending on the different combinations of the synthetic guide RNA (sgRNA) and Cas9 protein expression devices. Optimizing conditions for its use within a particular species is therefore needed to achieve highly efficient genome editing. In this study, we developed a new cloning strategy for generating paired-sgRNA/Cas9 vectors containing four sgRNAs targeting the kiwifruit phytoene desaturase gene (AcPDS). Comparing to the previous method of paired-sgRNA cloning, our strategy only requires the synthesis of two gRNA-containing primers which largely reduces the cost. We further compared efficiencies of paired-sgRNA/Cas9 vectors containing different sgRNA expression devices, including both the polycistronic tRNA-sgRNA cassette (PTG) and the traditional CRISPR expression cassette. We found the mutagenesis frequency of the PTG/Cas9 system was 10-fold higher than that of the CRISPR/Cas9 system, coinciding with the relative expressions of sgRNAs in two different expression cassettes. In particular, we identified large chromosomal fragment deletions induced by the paired-sgRNAs of the PTG/Cas9 system. Finally, as expected, we found both systems can successfully induce the albino phenotype of kiwifruit plantlets regenerated from the G418-resistance callus lines. We conclude that the PTG/Cas9 system is a more powerful system than the traditional CRISPR/Cas9 system for kiwifruit genome editing, which provides valuable clues for optimizing CRISPR/Cas9 editing system in other plants.","container-title":"Plant Biotechnology Journal","DOI":"10.1111/pbi.12884","ISSN":"1467-7644","issue":"8","journalAbbreviation":"Plant Biotechnology Journal","note":"publisher: John Wiley &amp; Sons, Ltd","page":"1424-1433","title":"Optimized paired-sgRNA/Cas9 cloning and expression cassette triggers high-efficiency multiplex genome editing in kiwifruit","volume":"16","author":[{"family":"Wang","given":"Zupeng"},{"family":"Wang","given":"Shuaibin"},{"family":"Li","given":"Dawei"},{"family":"Zhang","given":"Qiong"},{"family":"Li","given":"Li"},{"family":"Zhong","given":"Caihong"},{"family":"Liu","given":"Yifei"},{"family":"Huang","given":"Hongwen"}],"issued":{"date-parts":[["2018",8,1]]}}}],"schema":"https://github.com/citation-style-language/schema/raw/master/csl-citation.json"} </w:instrText>
            </w:r>
            <w:r w:rsidRPr="004E4ECA">
              <w:rPr>
                <w:sz w:val="20"/>
                <w:szCs w:val="20"/>
              </w:rPr>
              <w:fldChar w:fldCharType="separate"/>
            </w:r>
            <w:r w:rsidR="00420EDD" w:rsidRPr="004E4ECA">
              <w:rPr>
                <w:noProof/>
                <w:sz w:val="20"/>
                <w:szCs w:val="20"/>
              </w:rPr>
              <w:t>(Wang et al., 2018b)</w:t>
            </w:r>
            <w:r w:rsidRPr="004E4ECA">
              <w:rPr>
                <w:sz w:val="20"/>
                <w:szCs w:val="20"/>
              </w:rPr>
              <w:fldChar w:fldCharType="end"/>
            </w:r>
          </w:p>
        </w:tc>
      </w:tr>
      <w:tr w:rsidR="00FE7BA2" w:rsidRPr="00832130" w14:paraId="3E1DEE9A"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4002F65" w14:textId="77777777" w:rsidR="00FE7BA2" w:rsidRPr="004E4ECA" w:rsidRDefault="00FE7BA2" w:rsidP="00FE7BA2">
            <w:pPr>
              <w:rPr>
                <w:sz w:val="20"/>
                <w:szCs w:val="20"/>
              </w:rPr>
            </w:pPr>
          </w:p>
        </w:tc>
        <w:tc>
          <w:tcPr>
            <w:tcW w:w="2340" w:type="dxa"/>
          </w:tcPr>
          <w:p w14:paraId="76272927" w14:textId="22B4089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5762B9D9" w14:textId="1F4A6DD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i/>
                <w:iCs/>
                <w:sz w:val="20"/>
                <w:szCs w:val="20"/>
              </w:rPr>
            </w:pPr>
            <w:r w:rsidRPr="004E4ECA">
              <w:rPr>
                <w:i/>
                <w:iCs/>
                <w:sz w:val="20"/>
                <w:szCs w:val="20"/>
              </w:rPr>
              <w:t>CEN4,SyGl</w:t>
            </w:r>
            <w:r w:rsidRPr="004E4ECA">
              <w:rPr>
                <w:sz w:val="20"/>
                <w:szCs w:val="20"/>
              </w:rPr>
              <w:t>, sex determination</w:t>
            </w:r>
          </w:p>
        </w:tc>
        <w:tc>
          <w:tcPr>
            <w:tcW w:w="3389" w:type="dxa"/>
          </w:tcPr>
          <w:p w14:paraId="01809D44" w14:textId="21BB1721" w:rsidR="00FE7BA2" w:rsidRPr="004E4ECA" w:rsidRDefault="003535DB"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{"citationID":"8BMWxhUp","properties":{"formattedCitation":"(Varkonyi-Gasic et al., 2021)","plainCitation":"(Varkonyi-Gasic et al., 2021)","noteIndex":0},"citationItems":[{"id":127,"uris":["http://zotero.org/users/local/ftZVc0Fk/items/AP3W9MBX"],"uri":["http://zotero.org/users/local/ftZVc0Fk/items/AP3W9MBX"],"itemData":{"id":127,"type":"article-journal","abstract":"Summary Kiwifruit (Actinidia chinensis) is a dioecious, long-living woody perennial vine. Reduced generation time and induction of hermaphroditism can accelerate crop improvement and facilitate alternative farming for better food security in the face of climate change. Previous studies identified that CENTRORADIALIS genes CEN and CEN4 act to repress flowering, whilst the male-specific Shy Girl (SyGl) gene with homology to type-C cytokinin response regulators could repress gynoecium development in model plants. Here we use CRISPR/Cas9 to mutagenize CEN, CEN4 and SyGl in the male kiwifruit A. chinensis ?Bruce?. Biallelic mutations of CEN and CEN4 generated rapid-flowering male plants, and simultaneous targeting of CEN4 and SyGl gave rise to rapid-flowering hermaphrodites with restored gynoecial function and viable pollen, providing functional evidence for the role of SyGl in suppression of feminization. Analysis of ovary tissues identified genes that contribute to carpel development and revealed that SyGl affected both cytokinin profiles and the expression of genes involved in cytokinin metabolism and signalling. The plant lines generated by CEN4/SyGl knockout could self-pollinate and produce fast-flowering offspring. These results establish that SyGI acts as the suppressor of feminization in kiwifruit and demonstrate the potential for accelerated breeding in an outcrossing horticultural woody perennial.","container-title":"New Phytologist","DOI":"10.1111/nph.17234","ISSN":"0028-646X","issue":"n/a","journalAbbreviation":"New Phytologist","note":"publisher: John Wiley &amp; Sons, Ltd","title":"Shy Girl, a kiwifruit suppressor of feminization, restricts gynoecium development via regulation of cytokinin metabolism and signalling","URL":"https://doi.org/10.1111/nph.17234","volume":"n/a","author":[{"family":"Varkonyi-Gasic","given":"Erika"},{"family":"Wang","given":"Tianchi"},{"family":"Cooney","given":"Janine"},{"family":"Jeon","given":"Subin"},{"family":"Voogd","given":"Charlotte"},{"family":"Douglas","given":"Mikaela J."},{"family":"Pilkington","given":"Sarah M."},{"family":"Akagi","given":"Takashi"},{"family":"Allan","given":"Andrew C."}],"accessed":{"date-parts":[["2021",3,5]]},"issued":{"date-parts":[["2021",1,27]]}}}],"schema":"https://github.com/citation-style-language/schema/raw/master/csl-citation.json"} </w:instrText>
            </w:r>
            <w:r w:rsidRPr="004E4ECA">
              <w:rPr>
                <w:sz w:val="20"/>
                <w:szCs w:val="20"/>
              </w:rPr>
              <w:fldChar w:fldCharType="separate"/>
            </w:r>
            <w:r w:rsidRPr="004E4ECA">
              <w:rPr>
                <w:noProof/>
                <w:sz w:val="20"/>
                <w:szCs w:val="20"/>
              </w:rPr>
              <w:t>(Varkonyi-Gasic et al., 2021)</w:t>
            </w:r>
            <w:r w:rsidRPr="004E4ECA">
              <w:rPr>
                <w:sz w:val="20"/>
                <w:szCs w:val="20"/>
              </w:rPr>
              <w:fldChar w:fldCharType="end"/>
            </w:r>
          </w:p>
        </w:tc>
      </w:tr>
      <w:tr w:rsidR="00FE7BA2" w:rsidRPr="00832130" w14:paraId="14B536D7" w14:textId="77777777" w:rsidTr="003535D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595" w:type="dxa"/>
          </w:tcPr>
          <w:p w14:paraId="1D576CEE" w14:textId="77777777" w:rsidR="00FE7BA2" w:rsidRPr="004E4ECA" w:rsidRDefault="00FE7BA2" w:rsidP="00FE7BA2">
            <w:pPr>
              <w:rPr>
                <w:sz w:val="20"/>
                <w:szCs w:val="20"/>
              </w:rPr>
            </w:pPr>
          </w:p>
        </w:tc>
        <w:tc>
          <w:tcPr>
            <w:tcW w:w="2340" w:type="dxa"/>
          </w:tcPr>
          <w:p w14:paraId="3DFAA361" w14:textId="0DD76008"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535A8D90" w14:textId="0B852489"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 xml:space="preserve">CEN4, </w:t>
            </w:r>
            <w:r w:rsidRPr="004E4ECA">
              <w:rPr>
                <w:sz w:val="20"/>
                <w:szCs w:val="20"/>
              </w:rPr>
              <w:t>flowering</w:t>
            </w:r>
          </w:p>
        </w:tc>
        <w:tc>
          <w:tcPr>
            <w:tcW w:w="3389" w:type="dxa"/>
          </w:tcPr>
          <w:p w14:paraId="53F5B889" w14:textId="44B53E68" w:rsidR="00FE7BA2" w:rsidRPr="004E4ECA" w:rsidRDefault="003535DB"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{"citationID":"mRqhLpFv","properties":{"formattedCitation":"(Varkonyi-Gasic et al., 2019)","plainCitation":"(Varkonyi-Gasic et al., 2019)","noteIndex":0},"citationItems":[{"id":129,"uris":["http://zotero.org/users/local/ftZVc0Fk/items/YR3X993B"],"uri":["http://zotero.org/users/local/ftZVc0Fk/items/YR3X993B"],"itemData":{"id":129,"type":"article-journal","abstract":"Summary Annualization of woody perennials has the potential to revolutionize the breeding and production of fruit crops and rapidly improve horticultural species. Kiwifruit (Actinidia chinensis) is a recently domesticated fruit crop with a short history of breeding and tremendous potential for improvement. Previously, multiple kiwifruit CENTRORADIALIS (CEN)-like genes have been identified as potential repressors of flowering. In this study, CRISPR/Cas9- mediated manipulation enabled functional analysis of kiwifruit CEN-like genes AcCEN4 and AcCEN. Mutation of these genes transformed a climbing woody perennial, which develops axillary inflorescences after many years of juvenility, into a compact plant with rapid terminal flower and fruit development. The number of affected genes and alleles and severity of detected mutations correlated with the precocity and change in plant stature, suggesting that a bi-allelic mutation of either AcCEN4 or AcCEN may be sufficient for early flowering, whereas mutations affecting both genes further contributed to precocity and enhanced the compact growth habit. CRISPR/Cas9-mediated mutagenesis of AcCEN4 and AcCEN may be a valuable means to engineer Actinidia amenable for accelerated breeding, indoor farming and cultivation as an annual crop.","container-title":"Plant Biotechnology Journal","DOI":"10.1111/pbi.13021","ISSN":"1467-7644","issue":"5","journalAbbreviation":"Plant Biotechnology Journal","note":"publisher: John Wiley &amp; Sons, Ltd","page":"869-880","title":"Mutagenesis of kiwifruit CENTRORADIALIS-like genes transforms a climbing woody perennial with long juvenility and axillary flowering into a compact plant with rapid terminal flowering","volume":"17","author":[{"family":"Varkonyi-Gasic","given":"Erika"},{"family":"Wang","given":"Tianchi"},{"family":"Voogd","given":"Charlotte"},{"family":"Jeon","given":"Subin"},{"family":"Drummond","given":"Revel S. M."},{"family":"Gleave","given":"Andrew P."},{"family":"Allan","given":"Andrew C."}],"issued":{"date-parts":[["2019",5,1]]}}}],"schema":"https://github.com/citation-style-language/schema/raw/master/csl-citation.json"} </w:instrText>
            </w:r>
            <w:r w:rsidRPr="004E4ECA">
              <w:rPr>
                <w:sz w:val="20"/>
                <w:szCs w:val="20"/>
              </w:rPr>
              <w:fldChar w:fldCharType="separate"/>
            </w:r>
            <w:r w:rsidRPr="004E4ECA">
              <w:rPr>
                <w:noProof/>
                <w:sz w:val="20"/>
                <w:szCs w:val="20"/>
              </w:rPr>
              <w:t>(Varkonyi-Gasic et al., 2019)</w:t>
            </w:r>
            <w:r w:rsidRPr="004E4ECA">
              <w:rPr>
                <w:sz w:val="20"/>
                <w:szCs w:val="20"/>
              </w:rPr>
              <w:fldChar w:fldCharType="end"/>
            </w:r>
          </w:p>
        </w:tc>
      </w:tr>
      <w:tr w:rsidR="00FE7BA2" w:rsidRPr="00832130" w14:paraId="6CB40EC2"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7058C22" w14:textId="77777777" w:rsidR="00FE7BA2" w:rsidRPr="004E4ECA" w:rsidRDefault="00FE7BA2" w:rsidP="00FE7BA2">
            <w:pPr>
              <w:rPr>
                <w:sz w:val="20"/>
                <w:szCs w:val="20"/>
              </w:rPr>
            </w:pPr>
          </w:p>
        </w:tc>
        <w:tc>
          <w:tcPr>
            <w:tcW w:w="2340" w:type="dxa"/>
          </w:tcPr>
          <w:p w14:paraId="7ADDA667" w14:textId="09DFAD14"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2445A426" w14:textId="073EA8D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4E4ECA">
              <w:rPr>
                <w:i/>
                <w:iCs/>
                <w:sz w:val="20"/>
                <w:szCs w:val="20"/>
              </w:rPr>
              <w:t xml:space="preserve">FrBy, SyGl, </w:t>
            </w:r>
            <w:r w:rsidRPr="004E4ECA">
              <w:rPr>
                <w:sz w:val="20"/>
                <w:szCs w:val="20"/>
              </w:rPr>
              <w:t>sex determination</w:t>
            </w:r>
          </w:p>
        </w:tc>
        <w:tc>
          <w:tcPr>
            <w:tcW w:w="3389" w:type="dxa"/>
          </w:tcPr>
          <w:p w14:paraId="1EB6FA7B" w14:textId="3097ECFA" w:rsidR="00FE7BA2" w:rsidRPr="004E4ECA" w:rsidRDefault="003535DB"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{"citationID":"niE6lgLy","properties":{"formattedCitation":"(Akagi et al., 2019)","plainCitation":"(Akagi et al., 2019)","noteIndex":0},"citationItems":[{"id":131,"uris":["http://zotero.org/users/local/ftZVc0Fk/items/C5HPGES3"],"uri":["http://zotero.org/users/local/ftZVc0Fk/items/C5HPGES3"],"itemData":{"id":131,"type":"article-journal","abstract":"Dioecy, the presence of male and female individuals, has evolved independently in multiple flowering plant lineages1–3. Although theoretical models for the evolution of dioecy, such as the ‘two-mutations’ model, are well established4,5, little is known about the specific genes determining sex and their evolutionary history3. Kiwifruit, a major tree crop consumed worldwide, is a dioecious species. In kiwifruit we previously identified a Y-encoded sex-determinant candidate gene acting as the suppressor of feminization (SuF), named Shy Girl (SyGI)6. Here, we identify a second Y-encoded sex-determinant that we named Friendly Boy (FrBy), which exhibits strong expression in tapetal cells. Gene-editing and complementation analyses in Arabidopsis thaliana and Nicotiana tabacum indicated that FrBy acts for the maintenance of male (M) functions, independently of SyGI, and that these functions are conserved across angiosperm species. We further characterized the genomic architecture of the small (&lt;1 megabase pairs (Mb)) male-specific region of the Y chromosome (MSY), which harbours only two genes expressed extensively in developing gynoecia and androecia, respectively: SyGI and FrBy. Re-sequencing of the genome of a natural hermaphrodite kiwifruit revealed that this individual is genetically male but carries deletion(s) of parts of the Y chromosome, including SyGI. Additionally, expression of FrBy in female kiwifruit resulted in hermaphrodite plants. These results clearly indicate that Y-encoded SyGI and FrBy act independently as the SuF and M factors in kiwifruit, respectively, and provide insight into not only the evolutionary path leading to a two-factor sex-determination system, but also a new breeding approach for dioecious species.","container-title":"Nature Plants","DOI":"10.1038/s41477-019-0489-6","ISSN":"2055-0278","issue":"8","journalAbbreviation":"Nature Plants","page":"801-809","title":"Two Y-chromosome-encoded genes determine sex in kiwifruit","volume":"5","author":[{"family":"Akagi","given":"Takashi"},{"family":"Pilkington","given":"Sarah M."},{"family":"Varkonyi-Gasic","given":"Erika"},{"family":"Henry","given":"Isabelle M."},{"family":"Sugano","given":"Shigeo S."},{"family":"Sonoda","given":"Minori"},{"family":"Firl","given":"Alana"},{"family":"McNeilage","given":"Mark A."},{"family":"Douglas","given":"Mikaela J."},{"family":"Wang","given":"Tianchi"},{"family":"Rebstock","given":"Ria"},{"family":"Voogd","given":"Charlotte"},{"family":"Datson","given":"Paul"},{"family":"Allan","given":"Andrew C."},{"family":"Beppu","given":"Kenji"},{"family":"Kataoka","given":"Ikuo"},{"family":"Tao","given":"Ryutaro"}],"issued":{"date-parts":[["2019",8,1]]}}}],"schema":"https://github.com/citation-style-language/schema/raw/master/csl-citation.json"} </w:instrText>
            </w:r>
            <w:r w:rsidRPr="004E4ECA">
              <w:rPr>
                <w:sz w:val="20"/>
                <w:szCs w:val="20"/>
              </w:rPr>
              <w:fldChar w:fldCharType="separate"/>
            </w:r>
            <w:r w:rsidRPr="004E4ECA">
              <w:rPr>
                <w:noProof/>
                <w:sz w:val="20"/>
                <w:szCs w:val="20"/>
              </w:rPr>
              <w:t>(Akagi et al., 2019)</w:t>
            </w:r>
            <w:r w:rsidRPr="004E4ECA">
              <w:rPr>
                <w:sz w:val="20"/>
                <w:szCs w:val="20"/>
              </w:rPr>
              <w:fldChar w:fldCharType="end"/>
            </w:r>
          </w:p>
        </w:tc>
      </w:tr>
      <w:tr w:rsidR="00FE7BA2" w:rsidRPr="00832130" w14:paraId="6D3C32F3"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2A70CA8" w14:textId="4AFC6782" w:rsidR="00FE7BA2" w:rsidRPr="004E4ECA" w:rsidRDefault="00FE7BA2" w:rsidP="00FE7BA2">
            <w:pPr>
              <w:rPr>
                <w:sz w:val="20"/>
                <w:szCs w:val="20"/>
              </w:rPr>
            </w:pPr>
            <w:r w:rsidRPr="004E4ECA">
              <w:rPr>
                <w:sz w:val="20"/>
                <w:szCs w:val="20"/>
              </w:rPr>
              <w:t>Hops (</w:t>
            </w:r>
            <w:r w:rsidRPr="004E4ECA">
              <w:rPr>
                <w:i/>
                <w:iCs/>
                <w:sz w:val="20"/>
                <w:szCs w:val="20"/>
              </w:rPr>
              <w:t>Humulus lupulus</w:t>
            </w:r>
            <w:r w:rsidRPr="004E4ECA">
              <w:rPr>
                <w:sz w:val="20"/>
                <w:szCs w:val="20"/>
              </w:rPr>
              <w:t>)</w:t>
            </w:r>
          </w:p>
        </w:tc>
        <w:tc>
          <w:tcPr>
            <w:tcW w:w="2340" w:type="dxa"/>
          </w:tcPr>
          <w:p w14:paraId="6D9D5D53" w14:textId="501BC9BB"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9122041" w14:textId="583CAE1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576C350E" w14:textId="1A721B8D" w:rsidR="00FE7BA2" w:rsidRPr="004E4ECA" w:rsidRDefault="003535DB"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{"citationID":"WrCjv2ES","properties":{"formattedCitation":"(Awasthi et al., 2021)","plainCitation":"(Awasthi et al., 2021)","noteIndex":0},"citationItems":[{"id":82,"uris":["http://zotero.org/users/local/ftZVc0Fk/items/B7T3XKCM"],"uri":["http://zotero.org/users/local/ftZVc0Fk/items/B7T3XKCM"],"itemData":{"id":82,"type":"article-journal","abstract":"The CRISPR/Cas9-based targeted genome editing has emerged as a versatile technique, widely employed in plant genome engineering, both to decipher gene function and as an alternative to classical breeding technique for traits improvement in plants. However, to date, no such platform has been developed for hop (Humulus lupulus L.), which is an economically important crop producing valuable secondary metabolites utilized in the brewing and pharmaceutical industries. Here, we present the first report on the successful establishment of efficient CRISPR/Cas9-based genome editing using the visible endogenous marker gene phytoene desaturase (PDS) involved in carotenoid biosynthesis to demonstrate successful genome editing in hop. Agrobacterium tumefaciens-mediated transformation of in vitro generated internodal explants was used for the stable integration of constructs expressing plant codon-optimized Cas9 and a pair of co-expressed guide RNAs to target the distinct genomic sites of the PDS gene of hop. Analysis of RNA-guided genome-editing events, including mutant lines screening and homozygosity assessment using the T7 endonuclease assay showed that 33.3% of transformed plants were successfully edited at the target site, displaying albino and mosaic regenerants. Intriguingly, the detected mutations were ranges of deletions (16 bp to 39 bp) which led to disruption of the exon-intron boundary, few base substitutions, and a 1 bp insertion at 3 bp upstream of the PAM region of the target site. The decrease in chlorophyll a/b, and carotenoid content in the mutant lines further confirmed the functional disruption of the HlPDS gene. Taken together, our results demonstrate that the CRISPR/Cas9 system can precisely edit the targeted genome sequences, which may revolutionize our way to overcome some of the obstacles that have plagued the traits improvement in hop.","container-title":"Plant Physiology and Biochemistry","DOI":"10.1016/j.plaphy.2021.01.006","ISSN":"0981-9428","journalAbbreviation":"Plant Physiology and Biochemistry","page":"1-7","title":"Establishment of CRISPR/Cas9 mediated targeted mutagenesis in hop (Humulus lupulus)","volume":"160","author":[{"family":"Awasthi","given":"Praveen"},{"family":"Kocábek","given":"Tomáš"},{"family":"Mishra","given":"Ajay Kumar"},{"family":"Nath","given":"Vishnu Sukumari"},{"family":"Shrestha","given":"Ankita"},{"family":"Matoušek","given":"Jaroslav"}],"issued":{"date-parts":[["2021",3,1]]}}}],"schema":"https://github.com/citation-style-language/schema/raw/master/csl-citation.json"} </w:instrText>
            </w:r>
            <w:r w:rsidRPr="004E4ECA">
              <w:rPr>
                <w:sz w:val="20"/>
                <w:szCs w:val="20"/>
              </w:rPr>
              <w:fldChar w:fldCharType="separate"/>
            </w:r>
            <w:r w:rsidRPr="004E4ECA">
              <w:rPr>
                <w:noProof/>
                <w:sz w:val="20"/>
                <w:szCs w:val="20"/>
              </w:rPr>
              <w:t>(Awasthi et al., 2021)</w:t>
            </w:r>
            <w:r w:rsidRPr="004E4ECA">
              <w:rPr>
                <w:sz w:val="20"/>
                <w:szCs w:val="20"/>
              </w:rPr>
              <w:fldChar w:fldCharType="end"/>
            </w:r>
          </w:p>
        </w:tc>
      </w:tr>
      <w:tr w:rsidR="00FE7BA2" w:rsidRPr="00832130" w14:paraId="026AFDD7"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97B7E74" w14:textId="76B312FC" w:rsidR="00FE7BA2" w:rsidRPr="004E4ECA" w:rsidRDefault="00FE7BA2" w:rsidP="00FE7BA2">
            <w:pPr>
              <w:rPr>
                <w:sz w:val="20"/>
                <w:szCs w:val="20"/>
              </w:rPr>
            </w:pPr>
            <w:r w:rsidRPr="004E4ECA">
              <w:rPr>
                <w:sz w:val="20"/>
                <w:szCs w:val="20"/>
              </w:rPr>
              <w:t>Grape (</w:t>
            </w:r>
            <w:r w:rsidRPr="004E4ECA">
              <w:rPr>
                <w:i/>
                <w:iCs/>
                <w:sz w:val="20"/>
                <w:szCs w:val="20"/>
              </w:rPr>
              <w:t>Vit</w:t>
            </w:r>
            <w:r w:rsidR="00643BB0">
              <w:rPr>
                <w:i/>
                <w:iCs/>
                <w:sz w:val="20"/>
                <w:szCs w:val="20"/>
              </w:rPr>
              <w:t>i</w:t>
            </w:r>
            <w:r w:rsidRPr="004E4ECA">
              <w:rPr>
                <w:i/>
                <w:iCs/>
                <w:sz w:val="20"/>
                <w:szCs w:val="20"/>
              </w:rPr>
              <w:t>s vinifera</w:t>
            </w:r>
            <w:r w:rsidRPr="004E4ECA">
              <w:rPr>
                <w:sz w:val="20"/>
                <w:szCs w:val="20"/>
              </w:rPr>
              <w:t>)</w:t>
            </w:r>
          </w:p>
        </w:tc>
        <w:tc>
          <w:tcPr>
            <w:tcW w:w="2340" w:type="dxa"/>
          </w:tcPr>
          <w:p w14:paraId="51AEEA74" w14:textId="067C52C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E653477" w14:textId="35512EC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4B9A8848" w14:textId="3B235049" w:rsidR="00FE7BA2" w:rsidRPr="004E4ECA" w:rsidRDefault="003535DB"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{"citationID":"JgPmQUl5","properties":{"formattedCitation":"(Nakajima et al., 2017)","plainCitation":"(Nakajima et al., 2017)","noteIndex":0},"citationItems":[{"id":83,"uris":["http://zotero.org/users/local/ftZVc0Fk/items/SPFIV9Z9"],"uri":["http://zotero.org/users/local/ftZVc0Fk/items/SPFIV9Z9"],"itemData":{"id":83,"type":"article-journal","abstract":"RNA-guided genome editing using the CRISPR/Cas9 CRISPR (clustered regularly interspaced short palindromic repeats)/Cas9 (CRISPR-associated protein 9) system has been applied successfully in several plant species. However, to date, there are few reports on the use of any of the current genome editing approaches in grape—an important fruit crop with a large market not only for table grapes but also for wine. Here, we report successful targeted mutagenesis in grape (Vitis vinifera L., cv. Neo Muscat) using the CRISPR/Cas9 system. When a Cas9 expression construct was transformed to embryonic calli along with a synthetic sgRNA expression construct targeting the Vitis vinifera phytoene desaturase (VvPDS) gene, regenerated plants with albino leaves were obtained. DNA sequencing confirmed that the VvPDS gene was mutated at the target site in regenerated grape plants. Interestingly, the ratio of mutated cells was higher in lower, older, leaves compared to that in newly appearing upper leaves. This result might suggest either that the proportion of targeted mutagenized cells is higher in older leaves due to the repeated induction of DNA double strand breaks (DSBs), or that the efficiency of precise DSBs repair in cells of old grape leaves is decreased.","container-title":"PLOS ONE","DOI":"10.1371/journal.pone.0177966","issue":"5","journalAbbreviation":"PLOS ONE","note":"publisher: Public Library of Science","page":"e0177966","title":"CRISPR/Cas9-mediated targeted mutagenesis in grape","volume":"12","author":[{"family":"Nakajima","given":"Ikuko"},{"family":"Ban","given":"Yusuke"},{"family":"Azuma","given":"Akifumi"},{"family":"Onoue","given":"Noriyuki"},{"family":"Moriguchi","given":"Takaya"},{"family":"Yamamoto","given":"Toshiya"},{"family":"Toki","given":"Seiichi"},{"family":"Endo","given":"Masaki"}],"issued":{"date-parts":[["2017",5,18]]}}}],"schema":"https://github.com/citation-style-language/schema/raw/master/csl-citation.json"} </w:instrText>
            </w:r>
            <w:r w:rsidRPr="004E4ECA">
              <w:rPr>
                <w:sz w:val="20"/>
                <w:szCs w:val="20"/>
              </w:rPr>
              <w:fldChar w:fldCharType="separate"/>
            </w:r>
            <w:r w:rsidRPr="004E4ECA">
              <w:rPr>
                <w:noProof/>
                <w:sz w:val="20"/>
                <w:szCs w:val="20"/>
              </w:rPr>
              <w:t>(Nakajima et al., 2017)</w:t>
            </w:r>
            <w:r w:rsidRPr="004E4ECA">
              <w:rPr>
                <w:sz w:val="20"/>
                <w:szCs w:val="20"/>
              </w:rPr>
              <w:fldChar w:fldCharType="end"/>
            </w:r>
          </w:p>
        </w:tc>
      </w:tr>
      <w:tr w:rsidR="00FE7BA2" w:rsidRPr="00832130" w14:paraId="6888EB45"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D98BFC0" w14:textId="77777777" w:rsidR="00FE7BA2" w:rsidRPr="004E4ECA" w:rsidRDefault="00FE7BA2" w:rsidP="00FE7BA2">
            <w:pPr>
              <w:rPr>
                <w:sz w:val="20"/>
                <w:szCs w:val="20"/>
              </w:rPr>
            </w:pPr>
          </w:p>
        </w:tc>
        <w:tc>
          <w:tcPr>
            <w:tcW w:w="2340" w:type="dxa"/>
          </w:tcPr>
          <w:p w14:paraId="48010DC1" w14:textId="0F8E589C"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6B799042" w14:textId="240FDC9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31A02A70" w14:textId="5D70ECDE" w:rsidR="00FE7BA2" w:rsidRPr="004E4ECA" w:rsidRDefault="003535DB"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{"citationID":"GN4c6pvn","properties":{"formattedCitation":"(Ren et al., 2019)","plainCitation":"(Ren et al., 2019)","noteIndex":0},"citationItems":[{"id":84,"uris":["http://zotero.org/users/local/ftZVc0Fk/items/VXIKXZRL"],"uri":["http://zotero.org/users/local/ftZVc0Fk/items/VXIKXZRL"],"itemData":{"id":84,"type":"article-journal","abstract":"Clustered regularly interspersed short palindromic repeats (CRISPR)/Cas system is an efficient targeted genome editing method. Although CRISPR/Cas9-mediated mutagenesis has been applied successfully in grape, few studies have examined the technique’s efficiency. To optimize CRISPR/Cas9 editing efficiency in Vitis vinifera, we surveyed three key parameters: GC content of single guide RNA (sgRNA), variety of transformant cells used, and SpCas9 expression levels in transgenic cell mass. Four sgRNAs with differing GC content were designed to target exon sites of the V. vinifera phytoene desaturase gene. Suspension cells of ‘Chardonnay’ and ‘41B’ varieties were used as the transgenic cell mass. Both T7EI and PCR/RE assays showed that CRISPR/Cas9 editing efficiency increases proportionally with sgRNA GC content with 65% GC content yielding highest editing efficiency in both varieties. Additionally, gene editing was more efficient in ‘41B’ than in ‘Chardonnay.’ CRISPR/Cas9 systems with different editing efficiency showed different SpCas9 expression level, but compared with GC content of sgRNA, SpCas9 expression level has less influence on editing efficiency. Taken together, these results help optimize of CRISPR/Cas9 performance in grape.","container-title":"Frontiers in Plant Science","DOI":"10.3389/fpls.2019.00612","ISSN":"1664-462X","journalAbbreviation":"Frontiers in Plant Science","page":"612","title":"Efficiency Optimization of CRISPR/Cas9-Mediated Targeted Mutagenesis in Grape","volume":"10","author":[{"family":"Ren","given":"Fengrui"},{"family":"Ren","given":"Chong"},{"family":"Zhang","given":"Zhan"},{"family":"Duan","given":"Wei"},{"family":"Lecourieux","given":"David"},{"family":"Li","given":"Shaohua"},{"family":"Liang","given":"Zhenchang"}],"issued":{"date-parts":[["2019"]]}}}],"schema":"https://github.com/citation-style-language/schema/raw/master/csl-citation.json"} </w:instrText>
            </w:r>
            <w:r w:rsidRPr="004E4ECA">
              <w:rPr>
                <w:sz w:val="20"/>
                <w:szCs w:val="20"/>
              </w:rPr>
              <w:fldChar w:fldCharType="separate"/>
            </w:r>
            <w:r w:rsidRPr="004E4ECA">
              <w:rPr>
                <w:noProof/>
                <w:sz w:val="20"/>
                <w:szCs w:val="20"/>
              </w:rPr>
              <w:t>(Ren et al., 2019)</w:t>
            </w:r>
            <w:r w:rsidRPr="004E4ECA">
              <w:rPr>
                <w:sz w:val="20"/>
                <w:szCs w:val="20"/>
              </w:rPr>
              <w:fldChar w:fldCharType="end"/>
            </w:r>
          </w:p>
        </w:tc>
      </w:tr>
      <w:tr w:rsidR="00FE7BA2" w:rsidRPr="00832130" w14:paraId="3AA02F91"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7B69513" w14:textId="77777777" w:rsidR="00FE7BA2" w:rsidRPr="004E4ECA" w:rsidRDefault="00FE7BA2" w:rsidP="00FE7BA2">
            <w:pPr>
              <w:rPr>
                <w:sz w:val="20"/>
                <w:szCs w:val="20"/>
              </w:rPr>
            </w:pPr>
          </w:p>
        </w:tc>
        <w:tc>
          <w:tcPr>
            <w:tcW w:w="2340" w:type="dxa"/>
          </w:tcPr>
          <w:p w14:paraId="6281E007" w14:textId="1AE4E19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2B7C5C7D" w14:textId="443D0B90"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VvWRKY52</w:t>
            </w:r>
            <w:r w:rsidRPr="004E4ECA">
              <w:rPr>
                <w:sz w:val="20"/>
                <w:szCs w:val="20"/>
              </w:rPr>
              <w:t>, disease resistance</w:t>
            </w:r>
          </w:p>
        </w:tc>
        <w:tc>
          <w:tcPr>
            <w:tcW w:w="3389" w:type="dxa"/>
          </w:tcPr>
          <w:p w14:paraId="5CF4E91F" w14:textId="56B89A75"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{"citationID":"vTqgaGry","properties":{"formattedCitation":"(Wang et al., 2018a)","plainCitation":"(Wang et al., 2018a)","noteIndex":0},"citationItems":[{"id":85,"uris":["http://zotero.org/users/local/ftZVc0Fk/items/LDH9ZX4N"],"uri":["http://zotero.org/users/local/ftZVc0Fk/items/LDH9ZX4N"],"itemData":{"id":85,"type":"article-journal","abstract":"Summary The clustered regularly interspaced short palindromic repeats-associated protein 9 (CRISPR/Cas9) system is a powerful tool for editing plant genomes. Efficient genome editing of grape (Vitis vinifera) suspension cells using the type II CRISPR/Cas9 system has been demonstrated; however, it has not been established whether this system can be applied to get biallelic mutations in the first generation of grape. In this current study, we designed four guide RNAs for the VvWRKY52 transcription factor gene for using with the CRISPR/Cas9 system, and obtained transgenic plants via Agrobacterium-mediated transformation, using somatic embryos of the Thompson Seedless cultivar. Analysis of the first-generation transgenic plants verified 22 mutant plants of the 72 T-DNA-inserted plants. Of these, 15 lines carried biallelic mutations and seven were heterozygous. A range of RNA-guided editing events, including large deletions, were found in the mutant plants, while smaller deletions comprised the majority of the detected mutations. Sequencing of potential off-target sites for all four targets revealed no off-target events. In addition, knockout of VvWRKY52 in grape increased the resistance to Botrytis cinerea. We conclude that the CRISPR/Cas9 system allows precise genome editing in the first generation of grape and represents a useful tool for gene functional analysis and grape molecular breeding.","container-title":"Plant Biotechnology Journal","DOI":"10.1111/pbi.12832","ISSN":"1467-7644","issue":"4","journalAbbreviation":"Plant Biotechnology Journal","note":"publisher: John Wiley &amp; Sons, Ltd","page":"844-855","title":"CRISPR/Cas9-mediated efficient targeted mutagenesis in grape in the first generation","volume":"16","author":[{"family":"Wang","given":"Xianhang"},{"family":"Tu","given":"Mingxing"},{"family":"Wang","given":"Dejun"},{"family":"Liu","given":"Jianwei"},{"family":"Li","given":"Yajuan"},{"family":"Li","given":"Zhi"},{"family":"Wang","given":"Yuejin"},{"family":"Wang","given":"Xiping"}],"issued":{"date-parts":[["2018",4,1]]}}}],"schema":"https://github.com/citation-style-language/schema/raw/master/csl-citation.json"} </w:instrText>
            </w:r>
            <w:r w:rsidRPr="004E4ECA">
              <w:rPr>
                <w:sz w:val="20"/>
                <w:szCs w:val="20"/>
              </w:rPr>
              <w:fldChar w:fldCharType="separate"/>
            </w:r>
            <w:r w:rsidRPr="004E4ECA">
              <w:rPr>
                <w:noProof/>
                <w:sz w:val="20"/>
                <w:szCs w:val="20"/>
              </w:rPr>
              <w:t>(Wang et al., 2018a)</w:t>
            </w:r>
            <w:r w:rsidRPr="004E4ECA">
              <w:rPr>
                <w:sz w:val="20"/>
                <w:szCs w:val="20"/>
              </w:rPr>
              <w:fldChar w:fldCharType="end"/>
            </w:r>
          </w:p>
        </w:tc>
      </w:tr>
      <w:tr w:rsidR="00FE7BA2" w:rsidRPr="00832130" w14:paraId="26ED55A2"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E4D9755" w14:textId="77777777" w:rsidR="00FE7BA2" w:rsidRPr="004E4ECA" w:rsidRDefault="00FE7BA2" w:rsidP="00FE7BA2">
            <w:pPr>
              <w:rPr>
                <w:sz w:val="20"/>
                <w:szCs w:val="20"/>
              </w:rPr>
            </w:pPr>
          </w:p>
        </w:tc>
        <w:tc>
          <w:tcPr>
            <w:tcW w:w="2340" w:type="dxa"/>
          </w:tcPr>
          <w:p w14:paraId="71B3608F" w14:textId="74F170D2"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098C2F23" w14:textId="2943418B"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VvPR4b</w:t>
            </w:r>
            <w:r w:rsidRPr="004E4ECA">
              <w:rPr>
                <w:sz w:val="20"/>
                <w:szCs w:val="20"/>
              </w:rPr>
              <w:t>, disease resistance</w:t>
            </w:r>
          </w:p>
        </w:tc>
        <w:tc>
          <w:tcPr>
            <w:tcW w:w="3389" w:type="dxa"/>
          </w:tcPr>
          <w:p w14:paraId="61F8F574" w14:textId="12C43701" w:rsidR="00FE7BA2" w:rsidRPr="004E4ECA" w:rsidRDefault="00D92C03"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{"citationID":"6IvBbC6N","properties":{"formattedCitation":"(Li et al., 2020a)","plainCitation":"(Li et al., 2020a)","noteIndex":0},"citationItems":[{"id":87,"uris":["http://zotero.org/users/local/ftZVc0Fk/items/HJ3SVB3W"],"uri":["http://zotero.org/users/local/ftZVc0Fk/items/HJ3SVB3W"],"itemData":{"id":87,"type":"article-journal","abstract":"Downy mildew of grapevine (Vitis vinifera L.), caused by the oomycete pathogen Plasmopara viticola, is one of the most serious concerns for grape production worldwide. It has been widely reported that the pathogenesis-related 4 (PR4) protein plays important roles in plant resistance to diseases. However, little is known about the role of PR4 in the defense of grapevine against P. viticola. In this study, we engineered loss-of-function mutations in the VvPR4b gene from the cultivar “Thompson Seedless” using the CRISPR/Cas9 system and evaluated the consequences for downy mildew resistance. Sequencing results showed that deletions were the main type of mutation introduced and that no off-target events occurred. Infection assays using leaf discs showed that, compared to wild-type plants, the VvPR4b knockout lines had increased susceptibility to P. viticola. This was accompanied by reduced accumulation of reactive oxygen species around stomata. Measurement of the relative genomic abundance of P. viticola in VvPR4b knockout lines also demonstrated that the mutants had increased susceptibility to the pathogen. Our results confirm that VvPR4b plays an active role in the defense of grapevine against downy mildew.","container-title":"Horticulture Research","DOI":"10.1038/s41438-020-00371-4","ISSN":"2052-7276","issue":"1","journalAbbreviation":"Horticulture Research","page":"149","title":"CRISPR/Cas9-mediated VvPR4b editing decreases downy mildew resistance in grapevine (Vitis vinifera L.)","volume":"7","author":[{"family":"Li","given":"Meng-Yuan"},{"family":"Jiao","given":"Yun-Tong"},{"family":"Wang","given":"Yu-Ting"},{"family":"Zhang","given":"Na"},{"family":"Wang","given":"Bian-Bian"},{"family":"Liu","given":"Rui-Qi"},{"family":"Yin","given":"Xiao"},{"family":"Xu","given":"Yan"},{"family":"Liu","given":"Guo-Tian"}],"issued":{"date-parts":[["2020",9,1]]}}}],"schema":"https://github.com/citation-style-language/schema/raw/master/csl-citation.json"} </w:instrText>
            </w:r>
            <w:r w:rsidRPr="004E4ECA">
              <w:rPr>
                <w:sz w:val="20"/>
                <w:szCs w:val="20"/>
              </w:rPr>
              <w:fldChar w:fldCharType="separate"/>
            </w:r>
            <w:r w:rsidRPr="004E4ECA">
              <w:rPr>
                <w:noProof/>
                <w:sz w:val="20"/>
                <w:szCs w:val="20"/>
              </w:rPr>
              <w:t>(Li et al., 2020a)</w:t>
            </w:r>
            <w:r w:rsidRPr="004E4ECA">
              <w:rPr>
                <w:sz w:val="20"/>
                <w:szCs w:val="20"/>
              </w:rPr>
              <w:fldChar w:fldCharType="end"/>
            </w:r>
          </w:p>
        </w:tc>
      </w:tr>
      <w:tr w:rsidR="00FE7BA2" w:rsidRPr="00832130" w14:paraId="35588D61"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9FAF04E" w14:textId="77777777" w:rsidR="00FE7BA2" w:rsidRPr="004E4ECA" w:rsidRDefault="00FE7BA2" w:rsidP="00FE7BA2">
            <w:pPr>
              <w:rPr>
                <w:sz w:val="20"/>
                <w:szCs w:val="20"/>
              </w:rPr>
            </w:pPr>
          </w:p>
        </w:tc>
        <w:tc>
          <w:tcPr>
            <w:tcW w:w="2340" w:type="dxa"/>
          </w:tcPr>
          <w:p w14:paraId="2AE1D2FA" w14:textId="685DDA2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3467975D" w14:textId="6829EED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VvMYBA7,TAS4</w:t>
            </w:r>
            <w:r w:rsidRPr="004E4ECA">
              <w:rPr>
                <w:sz w:val="20"/>
                <w:szCs w:val="20"/>
              </w:rPr>
              <w:t xml:space="preserve"> disease resistance</w:t>
            </w:r>
          </w:p>
        </w:tc>
        <w:tc>
          <w:tcPr>
            <w:tcW w:w="3389" w:type="dxa"/>
          </w:tcPr>
          <w:p w14:paraId="05269CC3" w14:textId="2CBE0794"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{"citationID":"Ilw12P6i","properties":{"formattedCitation":"(Sunitha and Rock, 2020)","plainCitation":"(Sunitha and Rock, 2020)","noteIndex":0},"citationItems":[{"id":88,"uris":["http://zotero.org/users/local/ftZVc0Fk/items/QSJALUZL"],"uri":["http://zotero.org/users/local/ftZVc0Fk/items/QSJALUZL"],"itemData":{"id":88,"type":"article-journal","abstract":"Pierce’s disease (PD) of grapevine (Vitis vinifera) is caused by the bacterium Xylella fastidiosa and is vectored by xylem sap-sucking insects, whereas Grapevine Red Blotch Virus (GRBV) causes Red Blotch Disease and is transmitted in the laboratory by alfalfa leafhopper Spissistilus festinus. The significance of anthocyanin accumulations in distinct tissues of grapevine by these pathogens is unknown, but vector feeding preferences and olfactory cues from host anthocyanins may be important for these disease etiologies. Phosphate, sugar, and UV light are known to regulate anthocyanin accumulation via miR828 and Trans-Acting Small-interfering locus4 (TAS4), specifically in grape by production of phased TAS4a/b/c small-interfering RNAs that are differentially expressed and target MYBA5/6/7 transcription factor transcripts for post-transcriptional slicing and antisense-mediated silencing. To generate materials that can critically test these genes’ functions in PD and GRBV disease symptoms, we produced transgenic grape plants targeting TAS4b and MYBA7 using CRISPR/Cas9 technology. We obtained five MYBA7 lines all with bi-allelic editing events and no off-targets detected at genomic loci with homology to the guide sequence. We obtained two independent edited TAS4b lines; one bi-allelic, the other heterozygous while both had fortuitous evidences of bi-allelic TAS4a off-target editing events at the paralogous locus. No visible anthocyanin accumulation phenotypes were observed in regenerated plants, possibly due to the presence of genetically redundant TAS4c and MYBA5/6 loci or absence of inductive environmental stress conditions. The editing events encompass single base insertions and di/trinucleotide deletions of Vvi-TAS4a/b and Vvi-MYBA7 at expected positions 3 nt upstream from the guideRNA proximal adjacent motifs NGG. We also identified evidences of homologous recombinations of TAS4a with TAS4b at the TAS4a off-target in one of the TAS4b lines, resulting in a chimeric locus with a bi-allelic polymorphism, supporting independent recombination events in transgenic plants associated with apparent high Cas9 activities. The lack of obvious visible pigment phenotypes in edited plants precluded pathogen challenge tests of the role of anthocyanins in host PD and GRBV resistance/tolerance mechanisms. Nonetheless, we demonstrate successful genome-editing of non-coding RNA and MYB transcription factor loci which can serve future characterizations of the functions of TAS4a/b/c and MYBA7 in developmental, physiological, and environmental biotic/abiotic stress response pathways important for value-added nutraceutical synthesis and pathogen responses of winegrape.","container-title":"Transgenic Research","DOI":"10.1007/s11248-020-00196-w","ISSN":"1573-9368","issue":"3","journalAbbreviation":"Transgenic Research","page":"355-367","title":"CRISPR/Cas9-mediated targeted mutagenesis of TAS4 and MYBA7 loci in grapevine rootstock 101-14","volume":"29","author":[{"family":"Sunitha","given":"Sukumaran"},{"family":"Rock","given":"Christopher D."}],"issued":{"date-parts":[["2020",6,1]]}}}],"schema":"https://github.com/citation-style-language/schema/raw/master/csl-citation.json"} </w:instrText>
            </w:r>
            <w:r w:rsidRPr="004E4ECA">
              <w:rPr>
                <w:sz w:val="20"/>
                <w:szCs w:val="20"/>
              </w:rPr>
              <w:fldChar w:fldCharType="separate"/>
            </w:r>
            <w:r w:rsidRPr="004E4ECA">
              <w:rPr>
                <w:noProof/>
                <w:sz w:val="20"/>
                <w:szCs w:val="20"/>
              </w:rPr>
              <w:t>(Sunitha and Rock, 2020)</w:t>
            </w:r>
            <w:r w:rsidRPr="004E4ECA">
              <w:rPr>
                <w:sz w:val="20"/>
                <w:szCs w:val="20"/>
              </w:rPr>
              <w:fldChar w:fldCharType="end"/>
            </w:r>
          </w:p>
        </w:tc>
      </w:tr>
      <w:tr w:rsidR="00FE7BA2" w:rsidRPr="00832130" w14:paraId="1DFE0B65"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1347FFB" w14:textId="77777777" w:rsidR="00FE7BA2" w:rsidRPr="004E4ECA" w:rsidRDefault="00FE7BA2" w:rsidP="00FE7BA2">
            <w:pPr>
              <w:rPr>
                <w:sz w:val="20"/>
                <w:szCs w:val="20"/>
              </w:rPr>
            </w:pPr>
          </w:p>
        </w:tc>
        <w:tc>
          <w:tcPr>
            <w:tcW w:w="2340" w:type="dxa"/>
          </w:tcPr>
          <w:p w14:paraId="761E8D6F" w14:textId="729888C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S,T (Cas9-RNPs)</w:t>
            </w:r>
          </w:p>
        </w:tc>
        <w:tc>
          <w:tcPr>
            <w:tcW w:w="3780" w:type="dxa"/>
          </w:tcPr>
          <w:p w14:paraId="0D24BF95" w14:textId="60C3B6D8"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rFonts w:ascii="Calibri" w:hAnsi="Calibri" w:cs="Calibri"/>
                <w:i/>
                <w:iCs/>
                <w:sz w:val="20"/>
                <w:szCs w:val="20"/>
              </w:rPr>
              <w:t>ALS1</w:t>
            </w:r>
            <w:r w:rsidRPr="004E4ECA">
              <w:rPr>
                <w:rFonts w:ascii="Calibri" w:hAnsi="Calibri" w:cs="Calibri"/>
                <w:sz w:val="20"/>
                <w:szCs w:val="20"/>
              </w:rPr>
              <w:t>, herbicide resistance</w:t>
            </w:r>
          </w:p>
        </w:tc>
        <w:tc>
          <w:tcPr>
            <w:tcW w:w="3389" w:type="dxa"/>
          </w:tcPr>
          <w:p w14:paraId="55D66C1A" w14:textId="1FD7FDD2" w:rsidR="00FE7BA2" w:rsidRPr="004E4ECA" w:rsidRDefault="00D92C03"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{"citationID":"QxiDlfYS","properties":{"formattedCitation":"(Osakabe et al., 2018)","plainCitation":"(Osakabe et al., 2018)","noteIndex":0},"citationItems":[{"id":25,"uris":["http://zotero.org/users/local/ftZVc0Fk/items/T7D2VMCG"],"uri":["http://zotero.org/users/local/ftZVc0Fk/items/T7D2VMCG"],"itemData":{"id":25,"type":"article-journal","abstract":"The CRISPR–Cas9 genome-editing tool and the availability of whole-genome sequences from plant species have revolutionized our ability to introduce targeted mutations into important crop plants, both to explore genetic changes and to introduce new functionalities. Here, we describe protocols adapting the CRISPR–Cas9 system to apple and grapevine plants, using both plasmid-mediated genome editing and the direct delivery of CRISPR–Cas9 ribonucleoproteins (RNPs) to achieve efficient DNA-free targeted mutations in apple and grapevine protoplasts. We provide a stepwise protocol for the design and transfer of CRISPR–Cas9 components to apple and grapevine protoplasts, followed by verification of highly efficient targeted mutagenesis, and regeneration of plants following the plasmid-mediated delivery of components. Our plasmid-mediated procedure and the direct delivery of CRISPR–Cas9 RNPs can both be utilized to modulate traits of interest with high accuracy and efficiency in apple and grapevine, and could be extended to other crop species. The complete protocol employing the direct delivery of CRISPR–Cas9 RNPs takes as little as 2–3 weeks, whereas the plasmid-mediated procedure takes &gt;3 months to regenerate plants and study the mutations.","container-title":"Nature Protocols","DOI":"10.1038/s41596-018-0067-9","ISSN":"1750-2799","issue":"12","journalAbbreviation":"Nature Protocols","page":"2844-2863","title":"CRISPR–Cas9-mediated genome editing in apple and grapevine","volume":"13","author":[{"family":"Osakabe","given":"Yuriko"},{"family":"Liang","given":"Zhenchang"},{"family":"Ren","given":"Chong"},{"family":"Nishitani","given":"Chikako"},{"family":"Osakabe","given":"Keishi"},{"family":"Wada","given":"Masato"},{"family":"Komori","given":"Sadao"},{"family":"Malnoy","given":"Mickael"},{"family":"Velasco","given":"Riccardo"},{"family":"Poli","given":"Michele"},{"family":"Jung","given":"Min-Hee"},{"family":"Koo","given":"Ok-Jae"},{"family":"Viola","given":"Roberto"},{"family":"Nagamangala Kanchiswamy","given":"Chidananda"}],"issued":{"date-parts":[["2018",12,1]]}}}],"schema":"https://github.com/citation-style-language/schema/raw/master/csl-citation.json"} </w:instrText>
            </w:r>
            <w:r w:rsidRPr="004E4ECA">
              <w:rPr>
                <w:sz w:val="20"/>
                <w:szCs w:val="20"/>
              </w:rPr>
              <w:fldChar w:fldCharType="separate"/>
            </w:r>
            <w:r w:rsidRPr="004E4ECA">
              <w:rPr>
                <w:noProof/>
                <w:sz w:val="20"/>
                <w:szCs w:val="20"/>
              </w:rPr>
              <w:t>(Osakabe et al., 2018)</w:t>
            </w:r>
            <w:r w:rsidRPr="004E4ECA">
              <w:rPr>
                <w:sz w:val="20"/>
                <w:szCs w:val="20"/>
              </w:rPr>
              <w:fldChar w:fldCharType="end"/>
            </w:r>
          </w:p>
        </w:tc>
      </w:tr>
      <w:tr w:rsidR="00FE7BA2" w:rsidRPr="00832130" w14:paraId="0E7C0CF7"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8EC4B88" w14:textId="77777777" w:rsidR="00FE7BA2" w:rsidRPr="004E4ECA" w:rsidRDefault="00FE7BA2" w:rsidP="00FE7BA2">
            <w:pPr>
              <w:rPr>
                <w:sz w:val="20"/>
                <w:szCs w:val="20"/>
              </w:rPr>
            </w:pPr>
          </w:p>
        </w:tc>
        <w:tc>
          <w:tcPr>
            <w:tcW w:w="2340" w:type="dxa"/>
          </w:tcPr>
          <w:p w14:paraId="1C1A966C" w14:textId="1E446860"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 (recomb, excision, Cas9ex)</w:t>
            </w:r>
          </w:p>
        </w:tc>
        <w:tc>
          <w:tcPr>
            <w:tcW w:w="3780" w:type="dxa"/>
          </w:tcPr>
          <w:p w14:paraId="43096402" w14:textId="13D339F6"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1C1D1E"/>
                <w:sz w:val="20"/>
                <w:szCs w:val="20"/>
                <w:shd w:val="clear" w:color="auto" w:fill="FFFFFF"/>
              </w:rPr>
            </w:pPr>
            <w:r w:rsidRPr="004E4ECA">
              <w:rPr>
                <w:rFonts w:ascii="Calibri" w:hAnsi="Calibri" w:cs="Calibri"/>
                <w:i/>
                <w:iCs/>
                <w:color w:val="1C1D1E"/>
                <w:sz w:val="20"/>
                <w:szCs w:val="20"/>
                <w:shd w:val="clear" w:color="auto" w:fill="FFFFFF"/>
              </w:rPr>
              <w:t xml:space="preserve">VviMLO7, </w:t>
            </w:r>
            <w:r w:rsidRPr="004E4ECA">
              <w:rPr>
                <w:rFonts w:ascii="Calibri" w:hAnsi="Calibri" w:cs="Calibri"/>
                <w:color w:val="1C1D1E"/>
                <w:sz w:val="20"/>
                <w:szCs w:val="20"/>
                <w:shd w:val="clear" w:color="auto" w:fill="FFFFFF"/>
              </w:rPr>
              <w:t>disease resistance</w:t>
            </w:r>
          </w:p>
        </w:tc>
        <w:tc>
          <w:tcPr>
            <w:tcW w:w="3389" w:type="dxa"/>
          </w:tcPr>
          <w:p w14:paraId="5A4E7219" w14:textId="56E9CDA9"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{"citationID":"DFn5eNIa","properties":{"formattedCitation":"(Dalla Costa et al., 2020)","plainCitation":"(Dalla Costa et al., 2020)","noteIndex":0},"citationItems":[{"id":214,"uris":["http://zotero.org/users/local/ftZVc0Fk/items/QKMZKNAZ"],"uri":["http://zotero.org/users/local/ftZVc0Fk/items/QKMZKNAZ"],"itemData":{"id":214,"type":"article-journal","abstract":"Genome editing via CRISPR/Cas9 is a powerful technology, which has been widely applied to improve traits in cereals, vegetables and even fruit trees. For the delivery of CRISPR/Cas9 components into dicotyledonous plants, Agrobacterium tumefaciens mediated gene transfer is still the prevalent method, although editing is often accompanied by the integration of the bacterial T-DNA into the host genome. We assessed two approaches in order to achieve T-DNA excision from the plant genome, minimizing the extent of foreign DNA left behind. The first is based on the Flp/FRT system and the second on Cas9 and synthetic cleavage target sites (CTS) close to T-DNA borders, which are recognized by the sgRNA. Several grapevine and apple lines, transformed with a panel of CRISPR/SpCas9 binary vectors, were regenerated and characterized for T-DNA copy number and for the rate of targeted editing. As detected by an optimized NGS-based sequencing method, trimming at T-DNA borders occurred in 100% of the lines, impairing in most cases the excision. Another observation was the leakage activity of Cas9 which produced pierced and therefore non-functional CTS. Deletions of genomic DNA and presence of filler DNA were also noticed at the junctions between T-DNA and genomic DNA. This study proved that many factors must be considered for designing efficient binary vectors capable of minimizing the presence of exogenous DNA in CRISPRed fruit trees.","container-title":"Scientific Reports","DOI":"10.1038/s41598-020-77110-1","ISSN":"2045-2322","issue":"1","journalAbbreviation":"Scientific Reports","page":"20155","title":"Strategies to produce T-DNA free CRISPRed fruit trees via Agrobacterium tumefaciens stable gene transfer","volume":"10","author":[{"family":"Dalla Costa","given":"Lorenza"},{"family":"Piazza","given":"Stefano"},{"family":"Pompili","given":"Valerio"},{"family":"Salvagnin","given":"Umberto"},{"family":"Cestaro","given":"Alessandro"},{"family":"Moffa","given":"Loredana"},{"family":"Vittani","given":"Lorenzo"},{"family":"Moser","given":"Claudio"},{"family":"Malnoy","given":"Mickael"}],"issued":{"date-parts":[["2020",11,19]]}}}],"schema":"https://github.com/citation-style-language/schema/raw/master/csl-citation.json"} </w:instrText>
            </w:r>
            <w:r w:rsidRPr="004E4ECA">
              <w:rPr>
                <w:sz w:val="20"/>
                <w:szCs w:val="20"/>
              </w:rPr>
              <w:fldChar w:fldCharType="separate"/>
            </w:r>
            <w:r w:rsidRPr="004E4ECA">
              <w:rPr>
                <w:noProof/>
                <w:sz w:val="20"/>
                <w:szCs w:val="20"/>
              </w:rPr>
              <w:t>(Dalla Costa et al., 2020)</w:t>
            </w:r>
            <w:r w:rsidRPr="004E4ECA">
              <w:rPr>
                <w:sz w:val="20"/>
                <w:szCs w:val="20"/>
              </w:rPr>
              <w:fldChar w:fldCharType="end"/>
            </w:r>
          </w:p>
        </w:tc>
      </w:tr>
      <w:tr w:rsidR="00FE7BA2" w:rsidRPr="00832130" w14:paraId="48876479"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607F563" w14:textId="3456E20C" w:rsidR="00FE7BA2" w:rsidRPr="004E4ECA" w:rsidRDefault="00FE7BA2" w:rsidP="00FE7BA2">
            <w:pPr>
              <w:rPr>
                <w:sz w:val="20"/>
                <w:szCs w:val="20"/>
              </w:rPr>
            </w:pPr>
            <w:r w:rsidRPr="004E4ECA">
              <w:rPr>
                <w:sz w:val="20"/>
                <w:szCs w:val="20"/>
              </w:rPr>
              <w:t>Cassava (</w:t>
            </w:r>
            <w:r w:rsidRPr="004E4ECA">
              <w:rPr>
                <w:i/>
                <w:iCs/>
                <w:sz w:val="20"/>
                <w:szCs w:val="20"/>
              </w:rPr>
              <w:t>Manihot esculenta)</w:t>
            </w:r>
          </w:p>
        </w:tc>
        <w:tc>
          <w:tcPr>
            <w:tcW w:w="2340" w:type="dxa"/>
          </w:tcPr>
          <w:p w14:paraId="6A5DACAE" w14:textId="3CD89635"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26B6879F" w14:textId="32E3E4F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nCBP</w:t>
            </w:r>
            <w:r w:rsidRPr="004E4ECA">
              <w:rPr>
                <w:sz w:val="20"/>
                <w:szCs w:val="20"/>
              </w:rPr>
              <w:t>, disease resistance</w:t>
            </w:r>
          </w:p>
        </w:tc>
        <w:tc>
          <w:tcPr>
            <w:tcW w:w="3389" w:type="dxa"/>
          </w:tcPr>
          <w:p w14:paraId="437DB4A1" w14:textId="74350F19" w:rsidR="00FE7BA2" w:rsidRPr="004E4ECA" w:rsidRDefault="00D92C03"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{"citationID":"0gJDY9HR","properties":{"formattedCitation":"(Gomez et al., 2019)","plainCitation":"(Gomez et al., 2019)","noteIndex":0},"citationItems":[{"id":14,"uris":["http://zotero.org/users/local/ftZVc0Fk/items/FBFFYXXQ"],"uri":["http://zotero.org/users/local/ftZVc0Fk/items/FBFFYXXQ"],"itemData":{"id":14,"type":"article-journal","abstract":"Summary Cassava brown streak disease (CBSD) is a major constraint on cassava yields in East and Central Africa and threatens production in West Africa. CBSD is caused by two species of positive-sense RNA viruses belonging to the family Potyviridae, genus Ipomovirus: Cassava brown streak virus (CBSV) and Ugandan cassava brown streak virus (UCBSV). Diseases caused by the family Potyviridae require the interaction of viral genome-linked protein (VPg) and host eukaryotic translation initiation factor 4E (eIF4E) isoforms. Cassava encodes five eIF4E proteins: eIF4E, eIF(iso)4E-1, eIF(iso)4E-2, novel cap-binding protein-1 (nCBP-1), and nCBP-2. Protein?protein interaction experiments consistently found that VPg proteins associate with cassava nCBPs. CRISPR/Cas9-mediated genome editing was employed to generate ncbp-1, ncbp-2, and ncbp-1/ncbp-2 mutants in cassava cultivar 60444. Challenge with CBSV showed that ncbp-1/ncbp-2 mutants displayed delayed and attenuated CBSD aerial symptoms, as well as reduced severity and incidence of storage root necrosis. Suppressed disease symptoms were correlated with reduced virus titre in storage roots relative to wild-type controls. Our results demonstrate the ability to modify multiple genes simultaneously in cassava to achieve tolerance to CBSD. Future studies will investigate the contribution of remaining eIF4E isoforms on CBSD and translate this knowledge into an optimized strategy for protecting cassava from disease.","container-title":"Plant Biotechnology Journal","DOI":"10.1111/pbi.12987","ISSN":"1467-7644","issue":"2","journalAbbreviation":"Plant Biotechnology Journal","note":"publisher: John Wiley &amp; Sons, Ltd","page":"421-434","title":"Simultaneous CRISPR/Cas9-mediated editing of cassava eIF4E isoforms nCBP-1 and nCBP-2 reduces cassava brown streak disease symptom severity and incidence","volume":"17","author":[{"family":"Gomez","given":"Michael A."},{"family":"Lin","given":"Z. Daniel"},{"family":"Moll","given":"Theodore"},{"family":"Chauhan","given":"Raj Deepika"},{"family":"Hayden","given":"Luke"},{"family":"Renninger","given":"Kelley"},{"family":"Beyene","given":"Getu"},{"family":"Taylor","given":"Nigel J."},{"family":"Carrington","given":"James C."},{"family":"Staskawicz","given":"Brian J."},{"family":"Bart","given":"Rebecca S."}],"issued":{"date-parts":[["2019",2,1]]}}}],"schema":"https://github.com/citation-style-language/schema/raw/master/csl-citation.json"} </w:instrText>
            </w:r>
            <w:r w:rsidRPr="004E4ECA">
              <w:rPr>
                <w:sz w:val="20"/>
                <w:szCs w:val="20"/>
              </w:rPr>
              <w:fldChar w:fldCharType="separate"/>
            </w:r>
            <w:r w:rsidRPr="004E4ECA">
              <w:rPr>
                <w:noProof/>
                <w:sz w:val="20"/>
                <w:szCs w:val="20"/>
              </w:rPr>
              <w:t>(Gomez et al., 2019)</w:t>
            </w:r>
            <w:r w:rsidRPr="004E4ECA">
              <w:rPr>
                <w:sz w:val="20"/>
                <w:szCs w:val="20"/>
              </w:rPr>
              <w:fldChar w:fldCharType="end"/>
            </w:r>
          </w:p>
        </w:tc>
      </w:tr>
      <w:tr w:rsidR="00FE7BA2" w:rsidRPr="00832130" w14:paraId="0DCD671A"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D264396" w14:textId="77777777" w:rsidR="00FE7BA2" w:rsidRPr="004E4ECA" w:rsidRDefault="00FE7BA2" w:rsidP="00FE7BA2">
            <w:pPr>
              <w:rPr>
                <w:sz w:val="20"/>
                <w:szCs w:val="20"/>
              </w:rPr>
            </w:pPr>
          </w:p>
        </w:tc>
        <w:tc>
          <w:tcPr>
            <w:tcW w:w="2340" w:type="dxa"/>
          </w:tcPr>
          <w:p w14:paraId="0FFB8BDD" w14:textId="505A222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03163DE" w14:textId="224F1EB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41D11989" w14:textId="3769B579"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{"citationID":"JnAzNUHt","properties":{"formattedCitation":"(Odipio et al., 2017)","plainCitation":"(Odipio et al., 2017)","noteIndex":0},"citationItems":[{"id":16,"uris":["http://zotero.org/users/local/ftZVc0Fk/items/NYBWBEJZ"],"uri":["http://zotero.org/users/local/ftZVc0Fk/items/NYBWBEJZ"],"itemData":{"id":16,"type":"article-journal","abstract":"CRISPR/Cas9 has become a powerful genome-editing tool for introducing genetic changes into crop species. In order to develop capacity for CRISPR/Cas9 technology in the tropical staple cassava (Manihot esculenta), the Phytoene desaturase (MePDS) gene was targeted in two cultivars using constructs carrying gRNAs targeting two sequences within MePDS exon 13. After Agrobacterium-mediated delivery of CRISPR/Cas9 reagents into cassava cells, both constructs induced visible albino phenotypes within cotyledon-stage somatic embryos regenerating on selection medium and the plants regenerated therefrom. A total of 58 (cv. 60444) and 25 (cv. TME 204) plant lines were recovered, of which 38 plant lines (19 from each cultivar) were analyzed for mutagenesis. The frequency of plant lines showing albino phenotype was high, ranging from 90 to 100% in cv. TME 204. Observed albino phenotypes were comprised of full albinos devoid of green tissue and chimeras containing a mixture of white and green tissues. Sequence analysis revealed that 38/38 (100%) of the plant lines examined carried mutations at the targeted MePDS site, with insertions, deletions, and substitutions recorded. One putatively mono-allelic homozygous line (1/19) was found from cv. 60444, while 1 (1/19) and 4 (4/19) putatively bi-allelic homozygous lines were found in 60444 and TME204, respectively. The remaining plant lines, comprised mostly of the chimeras, were found to be putatively heterozygous. We observed minor (1 bp) nucleotide substitutions and or deletions upstream of the 5′ and or downstream of the 3′ targeted MePDS region. The data reported demonstrates that CRISPR/Cas9-mediated genome editing of cassava is highly efficient and relatively simple, generating multi-allelic mutations in both cultivars studied. Modification of MePDS described here generates visually detectable mutated events in a relatively short time frame of 6–8 weeks, and does not require sequencing to confirm editing at the target. It therefore provides a valuable platform to facilitate rapid assessment and optimization of CRISPR/Cas9 and other genome-editing technologies in cassava.","container-title":"Frontiers in Plant Science","DOI":"10.3389/fpls.2017.01780","ISSN":"1664-462X","journalAbbreviation":"Frontiers in Plant Science","page":"1780","title":"Efficient CRISPR/Cas9 Genome Editing of Phytoene desaturase in Cassava","volume":"8","author":[{"family":"Odipio","given":"John"},{"family":"Alicai","given":"Titus"},{"family":"Ingelbrecht","given":"Ivan"},{"family":"Nusinow","given":"Dmitri A."},{"family":"Bart","given":"Rebecca"},{"family":"Taylor","given":"Nigel J."}],"issued":{"date-parts":[["2017"]]}}}],"schema":"https://github.com/citation-style-language/schema/raw/master/csl-citation.json"} </w:instrText>
            </w:r>
            <w:r w:rsidRPr="004E4ECA">
              <w:rPr>
                <w:sz w:val="20"/>
                <w:szCs w:val="20"/>
              </w:rPr>
              <w:fldChar w:fldCharType="separate"/>
            </w:r>
            <w:r w:rsidRPr="004E4ECA">
              <w:rPr>
                <w:noProof/>
                <w:sz w:val="20"/>
                <w:szCs w:val="20"/>
              </w:rPr>
              <w:t>(Odipio et al., 2017)</w:t>
            </w:r>
            <w:r w:rsidRPr="004E4ECA">
              <w:rPr>
                <w:sz w:val="20"/>
                <w:szCs w:val="20"/>
              </w:rPr>
              <w:fldChar w:fldCharType="end"/>
            </w:r>
          </w:p>
        </w:tc>
      </w:tr>
      <w:tr w:rsidR="00FE7BA2" w:rsidRPr="00832130" w14:paraId="370539CB"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1BF90B1E" w14:textId="77777777" w:rsidR="00FE7BA2" w:rsidRPr="004E4ECA" w:rsidRDefault="00FE7BA2" w:rsidP="00FE7BA2">
            <w:pPr>
              <w:rPr>
                <w:sz w:val="20"/>
                <w:szCs w:val="20"/>
              </w:rPr>
            </w:pPr>
          </w:p>
        </w:tc>
        <w:tc>
          <w:tcPr>
            <w:tcW w:w="2340" w:type="dxa"/>
          </w:tcPr>
          <w:p w14:paraId="3C2C39FE" w14:textId="612C0E98"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07B992AE" w14:textId="6D4C6A6F"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 xml:space="preserve">MeSWEET10a, </w:t>
            </w:r>
            <w:r w:rsidRPr="004E4ECA">
              <w:rPr>
                <w:sz w:val="20"/>
                <w:szCs w:val="20"/>
              </w:rPr>
              <w:t>GFP tagging</w:t>
            </w:r>
          </w:p>
        </w:tc>
        <w:tc>
          <w:tcPr>
            <w:tcW w:w="3389" w:type="dxa"/>
          </w:tcPr>
          <w:p w14:paraId="753CC2AC" w14:textId="43F09E65" w:rsidR="00FE7BA2" w:rsidRPr="004E4ECA" w:rsidRDefault="00D92C03"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{"citationID":"rSWv2Pxu","properties":{"formattedCitation":"(Veley et al., 2021)","plainCitation":"(Veley et al., 2021)","noteIndex":0},"citationItems":[{"id":17,"uris":["http://zotero.org/users/local/ftZVc0Fk/items/P6UWDQUU"],"uri":["http://zotero.org/users/local/ftZVc0Fk/items/P6UWDQUU"],"itemData":{"id":17,"type":"article-journal","abstract":"Research on a few model plant-pathogen systems has benefitted from years of tool and resource development. This is not the case for the vast majority of economically and nutritionally important plants, creating a crop improvement bottleneck. Cassava bacterial blight (CBB), caused by Xanthomonas axonopodis pv. manihotis (Xam), is an important disease in all regions where cassava (Manihot esculenta Crantz) is grown. Here we describe development of cassava that can be used to visualize one of the initial steps of CBB infection in vivo. Using CRISPR-mediated homology-directed repair (HDR), we generated plants containing scarless insertion of GFP at the 3’ end of CBB susceptibility (S) gene MeSWEET10a. Activation of MeSWEET10a-GFP by the transcription activator-like (TAL) effector TAL20 was subsequently visualized at transcriptional and translational levels. To our knowledge, this is the first such demonstration of HDR via gene editing in cassava.","container-title":"G3 Genes|Genomes|Genetics","DOI":"10.1093/g3journal/jkab028","ISSN":"2160-1836","issue":"jkab028","journalAbbreviation":"G3 Genes|Genomes|Genetics","title":"Gene-tagging via CRISPR-mediated homology-directed repair in cassava","URL":"https://doi.org/10.1093/g3journal/jkab028","author":[{"family":"Veley","given":"Kira M"},{"family":"Okwuonu","given":"Ihuoma"},{"family":"Jensen","given":"Greg"},{"family":"Yoder","given":"Marisa"},{"family":"Taylor","given":"Nigel J"},{"family":"Meyers","given":"Blake C"},{"family":"Bart","given":"Rebecca S"}],"accessed":{"date-parts":[["2021",3,5]]},"issued":{"date-parts":[["2021",2,2]]}}}],"schema":"https://github.com/citation-style-language/schema/raw/master/csl-citation.json"} </w:instrText>
            </w:r>
            <w:r w:rsidRPr="004E4ECA">
              <w:rPr>
                <w:sz w:val="20"/>
                <w:szCs w:val="20"/>
              </w:rPr>
              <w:fldChar w:fldCharType="separate"/>
            </w:r>
            <w:r w:rsidRPr="004E4ECA">
              <w:rPr>
                <w:noProof/>
                <w:sz w:val="20"/>
                <w:szCs w:val="20"/>
              </w:rPr>
              <w:t>(Veley et al., 2021)</w:t>
            </w:r>
            <w:r w:rsidRPr="004E4ECA">
              <w:rPr>
                <w:sz w:val="20"/>
                <w:szCs w:val="20"/>
              </w:rPr>
              <w:fldChar w:fldCharType="end"/>
            </w:r>
          </w:p>
        </w:tc>
      </w:tr>
      <w:tr w:rsidR="00FE7BA2" w:rsidRPr="00832130" w14:paraId="523DC3CA"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E86FD95" w14:textId="77777777" w:rsidR="00FE7BA2" w:rsidRPr="004E4ECA" w:rsidRDefault="00FE7BA2" w:rsidP="00FE7BA2">
            <w:pPr>
              <w:rPr>
                <w:sz w:val="20"/>
                <w:szCs w:val="20"/>
              </w:rPr>
            </w:pPr>
          </w:p>
        </w:tc>
        <w:tc>
          <w:tcPr>
            <w:tcW w:w="2340" w:type="dxa"/>
          </w:tcPr>
          <w:p w14:paraId="7BBB18FD" w14:textId="60D1AFAB"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53BA9646" w14:textId="3A0B5BE8"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SSIII</w:t>
            </w:r>
            <w:r w:rsidRPr="004E4ECA">
              <w:rPr>
                <w:sz w:val="20"/>
                <w:szCs w:val="20"/>
              </w:rPr>
              <w:t>, starch content</w:t>
            </w:r>
          </w:p>
        </w:tc>
        <w:tc>
          <w:tcPr>
            <w:tcW w:w="3389" w:type="dxa"/>
          </w:tcPr>
          <w:p w14:paraId="3823D8B7" w14:textId="0C7ED7FD"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{"citationID":"AZWW9UzP","properties":{"formattedCitation":"(Li et al., 2020b)","plainCitation":"(Li et al., 2020b)","noteIndex":0},"citationItems":[{"id":19,"uris":["http://zotero.org/users/local/ftZVc0Fk/items/XTEAM2S2"],"uri":["http://zotero.org/users/local/ftZVc0Fk/items/XTEAM2S2"],"itemData":{"id":19,"type":"article-journal","container-title":"Molecular Plant Breeding","DOI":"10.5376/mpb.2020.11.0017","ISSN":"1923-8266","journalAbbreviation":"mpb","source":"DOI.org (Crossref)","title":"Construction and Verification of CRISPR/Cas9 Gene Editing Vector for Cassava &lt;i&gt;MeSSIII&lt;/i&gt; Gene","URL":"http://genbreedpublisher.com/index.php/mpb/article/view/3787","author":[{"family":"Li","given":"Zhan"},{"family":"Wang","given":"Yajie"},{"family":"Lu","given":"Xiaohua"},{"family":"Li","given":"Ruimei"},{"family":"Liu","given":"Jiao"},{"family":"Fu","given":"Shaoping"},{"family":"Hu","given":"Xinwen"},{"family":"Guo","given":"Jianchun"},{"family":"Yao","given":"Yuan"}],"accessed":{"date-parts":[["2021",3,5]]},"issued":{"date-parts":[["2020"]]}}}],"schema":"https://github.com/citation-style-language/schema/raw/master/csl-citation.json"} </w:instrText>
            </w:r>
            <w:r w:rsidRPr="004E4ECA">
              <w:rPr>
                <w:sz w:val="20"/>
                <w:szCs w:val="20"/>
              </w:rPr>
              <w:fldChar w:fldCharType="separate"/>
            </w:r>
            <w:r w:rsidRPr="004E4ECA">
              <w:rPr>
                <w:noProof/>
                <w:sz w:val="20"/>
                <w:szCs w:val="20"/>
              </w:rPr>
              <w:t>(Li et al., 2020b)</w:t>
            </w:r>
            <w:r w:rsidRPr="004E4ECA">
              <w:rPr>
                <w:sz w:val="20"/>
                <w:szCs w:val="20"/>
              </w:rPr>
              <w:fldChar w:fldCharType="end"/>
            </w:r>
          </w:p>
        </w:tc>
      </w:tr>
      <w:tr w:rsidR="00FE7BA2" w:rsidRPr="00832130" w14:paraId="2B2E7317"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68CF806" w14:textId="77777777" w:rsidR="00FE7BA2" w:rsidRPr="004E4ECA" w:rsidRDefault="00FE7BA2" w:rsidP="00FE7BA2">
            <w:pPr>
              <w:rPr>
                <w:sz w:val="20"/>
                <w:szCs w:val="20"/>
              </w:rPr>
            </w:pPr>
          </w:p>
        </w:tc>
        <w:tc>
          <w:tcPr>
            <w:tcW w:w="2340" w:type="dxa"/>
          </w:tcPr>
          <w:p w14:paraId="0913B747" w14:textId="59FBBF9E"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T</w:t>
            </w:r>
          </w:p>
        </w:tc>
        <w:tc>
          <w:tcPr>
            <w:tcW w:w="3780" w:type="dxa"/>
          </w:tcPr>
          <w:p w14:paraId="546AE201" w14:textId="168A36D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MeE3L</w:t>
            </w:r>
            <w:r w:rsidRPr="004E4ECA">
              <w:rPr>
                <w:sz w:val="20"/>
                <w:szCs w:val="20"/>
              </w:rPr>
              <w:t>, disease resistance</w:t>
            </w:r>
          </w:p>
        </w:tc>
        <w:tc>
          <w:tcPr>
            <w:tcW w:w="3389" w:type="dxa"/>
          </w:tcPr>
          <w:p w14:paraId="236D1795" w14:textId="45A484E6" w:rsidR="00FE7BA2" w:rsidRPr="004E4ECA" w:rsidRDefault="00D92C03"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{"citationID":"m5i5EQE6","properties":{"formattedCitation":"(Chatukuta and Rey, 2020)","plainCitation":"(Chatukuta and Rey, 2020)","noteIndex":0},"citationItems":[{"id":21,"uris":["http://zotero.org/users/local/ftZVc0Fk/items/Y7FZGHHT"],"uri":["http://zotero.org/users/local/ftZVc0Fk/items/Y7FZGHHT"],"itemData":{"id":21,"type":"article-journal","abstract":"The study of transient gene expression in cassava plants during virus infection using existing protocols is laborious and may take approximately fifteen weeks due to cassava’s recalcitrance to transformation. The combination of a protoplast system with CRISPR-mediated gene editing promises to shorten the turnaround time from plant tissue culture to high-throughput gene expression screening for candidate genes. Here, we detail a protocol for screening genes associated with the response to South African cassava mosaic virus (SACMV) in cassava protoplasts, with reference to the ubiquitin E3 ligase gene, MeE3L.","container-title":"Virology Journal","DOI":"10.1186/s12985-020-01453-4","ISSN":"1743-422X","issue":"1","journalAbbreviation":"Virology Journal","page":"184","title":"A cassava protoplast system for screening genes associated with the response to South African cassava mosaic virus","volume":"17","author":[{"family":"Chatukuta","given":"Patience"},{"family":"Rey","given":"Marie Emma Christine"}],"issued":{"date-parts":[["2020",11,23]]}}}],"schema":"https://github.com/citation-style-language/schema/raw/master/csl-citation.json"} </w:instrText>
            </w:r>
            <w:r w:rsidRPr="004E4ECA">
              <w:rPr>
                <w:sz w:val="20"/>
                <w:szCs w:val="20"/>
              </w:rPr>
              <w:fldChar w:fldCharType="separate"/>
            </w:r>
            <w:r w:rsidRPr="004E4ECA">
              <w:rPr>
                <w:noProof/>
                <w:sz w:val="20"/>
                <w:szCs w:val="20"/>
              </w:rPr>
              <w:t>(Chatukuta and Rey, 2020)</w:t>
            </w:r>
            <w:r w:rsidRPr="004E4ECA">
              <w:rPr>
                <w:sz w:val="20"/>
                <w:szCs w:val="20"/>
              </w:rPr>
              <w:fldChar w:fldCharType="end"/>
            </w:r>
          </w:p>
        </w:tc>
      </w:tr>
      <w:tr w:rsidR="00FE7BA2" w:rsidRPr="00832130" w14:paraId="7FF291EA" w14:textId="77777777" w:rsidTr="00832130">
        <w:trPr>
          <w:trHeight w:val="215"/>
        </w:trPr>
        <w:tc>
          <w:tcPr>
            <w:cnfStyle w:val="001000000000" w:firstRow="0" w:lastRow="0" w:firstColumn="1" w:lastColumn="0" w:oddVBand="0" w:evenVBand="0" w:oddHBand="0" w:evenHBand="0" w:firstRowFirstColumn="0" w:firstRowLastColumn="0" w:lastRowFirstColumn="0" w:lastRowLastColumn="0"/>
            <w:tcW w:w="3595" w:type="dxa"/>
          </w:tcPr>
          <w:p w14:paraId="30020988" w14:textId="3338299D" w:rsidR="00FE7BA2" w:rsidRPr="004E4ECA" w:rsidRDefault="00FE7BA2" w:rsidP="00FE7BA2">
            <w:pPr>
              <w:rPr>
                <w:sz w:val="20"/>
                <w:szCs w:val="20"/>
              </w:rPr>
            </w:pPr>
            <w:r w:rsidRPr="004E4ECA">
              <w:rPr>
                <w:sz w:val="20"/>
                <w:szCs w:val="20"/>
              </w:rPr>
              <w:t>Potato (</w:t>
            </w:r>
            <w:r w:rsidRPr="004E4ECA">
              <w:rPr>
                <w:i/>
                <w:iCs/>
                <w:sz w:val="20"/>
                <w:szCs w:val="20"/>
              </w:rPr>
              <w:t>Solanum tuberosum</w:t>
            </w:r>
            <w:r w:rsidRPr="004E4ECA">
              <w:rPr>
                <w:sz w:val="20"/>
                <w:szCs w:val="20"/>
              </w:rPr>
              <w:t>)</w:t>
            </w:r>
          </w:p>
        </w:tc>
        <w:tc>
          <w:tcPr>
            <w:tcW w:w="2340" w:type="dxa"/>
          </w:tcPr>
          <w:p w14:paraId="59346785" w14:textId="6681974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A742D3C" w14:textId="14AA5B69"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EPSPS</w:t>
            </w:r>
            <w:r w:rsidRPr="004E4ECA">
              <w:rPr>
                <w:sz w:val="20"/>
                <w:szCs w:val="20"/>
              </w:rPr>
              <w:t>, herbicide resistance</w:t>
            </w:r>
          </w:p>
        </w:tc>
        <w:tc>
          <w:tcPr>
            <w:tcW w:w="3389" w:type="dxa"/>
          </w:tcPr>
          <w:p w14:paraId="65F8416B" w14:textId="4CB6D8D3"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{"citationID":"Omdpw0tQ","properties":{"formattedCitation":"(Hummel et al., 2018)","plainCitation":"(Hummel et al., 2018)","noteIndex":0},"citationItems":[{"id":22,"uris":["http://zotero.org/users/local/ftZVc0Fk/items/TCA6CIQC"],"uri":["http://zotero.org/users/local/ftZVc0Fk/items/TCA6CIQC"],"itemData":{"id":22,"type":"article-journal","abstract":"Summary Effective weed control can protect yields of cassava (Manihot esculenta) storage roots. Farmers could benefit from using herbicide with a tolerant cultivar. We applied traditional transgenesis and gene editing to generate robust glyphosate tolerance in cassava. By comparing promoters regulating expression of transformed 5-enolpyruvylshikimate-3-phosphate synthase (EPSPS) genes with various paired amino acid substitutions, we found that strong constitutive expression is required to achieve glyphosate tolerance during in vitro selection and in whole cassava plants. Using strategies that exploit homologous recombination (HR) and nonhomologous end-joining (NHEJ) DNA repair pathways, we precisely introduced the best-performing allele into the cassava genome, simultaneously creating a promoter swap and dual amino acid substitutions at the endogenous EPSPS locus. Primary EPSPS-edited plants were phenotypically normal, tolerant to high doses of glyphosate, with some free of detectable T-DNA integrations. Our methods demonstrate an editing strategy for creating glyphosate tolerance in crop plants and demonstrate the potential of gene editing for further improvement of cassava.","container-title":"Plant Biotechnology Journal","DOI":"10.1111/pbi.12868","ISSN":"1467-7644","issue":"7","journalAbbreviation":"Plant Biotechnology Journal","note":"publisher: John Wiley &amp; Sons, Ltd","page":"1275-1282","title":"Allele exchange at the EPSPS locus confers glyphosate tolerance in cassava","volume":"16","author":[{"family":"Hummel","given":"Aaron W."},{"family":"Chauhan","given":"Raj Deepika"},{"family":"Cermak","given":"Tomas"},{"family":"Mutka","given":"Andrew M."},{"family":"Vijayaraghavan","given":"Anupama"},{"family":"Boyher","given":"Adam"},{"family":"Starker","given":"Colby G."},{"family":"Bart","given":"Rebecca"},{"family":"Voytas","given":"Daniel F."},{"family":"Taylor","given":"Nigel J."}],"issued":{"date-parts":[["2018",7,1]]}}}],"schema":"https://github.com/citation-style-language/schema/raw/master/csl-citation.json"} </w:instrText>
            </w:r>
            <w:r w:rsidRPr="004E4ECA">
              <w:rPr>
                <w:sz w:val="20"/>
                <w:szCs w:val="20"/>
              </w:rPr>
              <w:fldChar w:fldCharType="separate"/>
            </w:r>
            <w:r w:rsidRPr="004E4ECA">
              <w:rPr>
                <w:noProof/>
                <w:sz w:val="20"/>
                <w:szCs w:val="20"/>
              </w:rPr>
              <w:t>(Hummel et al., 2018)</w:t>
            </w:r>
            <w:r w:rsidRPr="004E4ECA">
              <w:rPr>
                <w:sz w:val="20"/>
                <w:szCs w:val="20"/>
              </w:rPr>
              <w:fldChar w:fldCharType="end"/>
            </w:r>
          </w:p>
        </w:tc>
      </w:tr>
      <w:tr w:rsidR="00FE7BA2" w:rsidRPr="00832130" w14:paraId="26B7AAF7"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17D4BB5E" w14:textId="77777777" w:rsidR="00FE7BA2" w:rsidRPr="004E4ECA" w:rsidRDefault="00FE7BA2" w:rsidP="00FE7BA2">
            <w:pPr>
              <w:rPr>
                <w:sz w:val="20"/>
                <w:szCs w:val="20"/>
              </w:rPr>
            </w:pPr>
          </w:p>
        </w:tc>
        <w:tc>
          <w:tcPr>
            <w:tcW w:w="2340" w:type="dxa"/>
          </w:tcPr>
          <w:p w14:paraId="5724B447" w14:textId="56128E31"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T (Cas9-RNPs)</w:t>
            </w:r>
          </w:p>
        </w:tc>
        <w:tc>
          <w:tcPr>
            <w:tcW w:w="3780" w:type="dxa"/>
          </w:tcPr>
          <w:p w14:paraId="3624EB4C" w14:textId="652A29E6"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GBSS1</w:t>
            </w:r>
            <w:r w:rsidRPr="004E4ECA">
              <w:rPr>
                <w:sz w:val="20"/>
                <w:szCs w:val="20"/>
              </w:rPr>
              <w:t>, starch content</w:t>
            </w:r>
          </w:p>
        </w:tc>
        <w:tc>
          <w:tcPr>
            <w:tcW w:w="3389" w:type="dxa"/>
          </w:tcPr>
          <w:p w14:paraId="4163A4D7" w14:textId="761E09B2" w:rsidR="00FE7BA2" w:rsidRPr="004E4ECA" w:rsidRDefault="00D92C03"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{"citationID":"Qr57Mj8V","properties":{"formattedCitation":"(Andersson et al., 2018)","plainCitation":"(Andersson et al., 2018)","noteIndex":0},"citationItems":[{"id":61,"uris":["http://zotero.org/users/local/ftZVc0Fk/items/VB3FN4B2"],"uri":["http://zotero.org/users/local/ftZVc0Fk/items/VB3FN4B2"],"itemData":{"id":61,"type":"article-journal","abstract":"Clustered regularly interspaced short palindromic repeats and CRISPR-associated protein-9 (CRISPR-Cas9) can be used as an efficient tool for genome editing in potato (Solanum tuberosum). From both a scientific and a regulatory perspective, it is beneficial if integration of DNA in the potato genome is avoided. We have implemented a DNA-free genome editing method, using delivery of CRISPR-Cas9 ribonucleoproteins (RNPs) to potato protoplasts, by targeting the gene encoding a granule bound starch synthase (GBSS, EC 2.4.1.242). The RNP method was directly implemented using previously developed protoplast isolation, transfection and regeneration protocols without further adjustments. Cas9 protein was preassembled with RNA produced either synthetically or by in vitro transcription. RNP with synthetically produced RNA (cr-RNP) induced mutations, i.e. indels, at a frequency of up to 9%, with all mutated lines being transgene-free. A mutagenesis frequency of 25% of all regenerated shoots was found when using RNP with in vitro transcriptionally produced RNA (IVT?RNP). However, more than 80% of the shoots with confirmed mutations had unintended inserts in the cut site, which was in the same range as when using DNA delivery. The inserts originated both from DNA template remnants from the in vitro transcription, and from chromosomal potato DNA. In 2?3% of the regenerated shoots from the RNP-experiments, mutations were induced in all four alleles resulting in a complete knockout of the GBSS enzyme function.","container-title":"Physiologia Plantarum","DOI":"10.1111/ppl.12731","ISSN":"0031-9317","issue":"4","journalAbbreviation":"Physiologia Plantarum","note":"publisher: John Wiley &amp; Sons, Ltd","page":"378-384","title":"Genome editing in potato via CRISPR-Cas9 ribonucleoprotein delivery","volume":"164","author":[{"family":"Andersson","given":"Mariette"},{"family":"Turesson","given":"Helle"},{"family":"Olsson","given":"Niklas"},{"family":"Fält","given":"Ann-Sofie"},{"family":"Ohlsson","given":"Pia"},{"family":"Gonzalez","given":"Matías N."},{"family":"Samuelsson","given":"Mathias"},{"family":"Hofvander","given":"Per"}],"issued":{"date-parts":[["2018",12,1]]}}}],"schema":"https://github.com/citation-style-language/schema/raw/master/csl-citation.json"} </w:instrText>
            </w:r>
            <w:r w:rsidRPr="004E4ECA">
              <w:rPr>
                <w:sz w:val="20"/>
                <w:szCs w:val="20"/>
              </w:rPr>
              <w:fldChar w:fldCharType="separate"/>
            </w:r>
            <w:r w:rsidRPr="004E4ECA">
              <w:rPr>
                <w:noProof/>
                <w:sz w:val="20"/>
                <w:szCs w:val="20"/>
              </w:rPr>
              <w:t>(Andersson et al., 2018)</w:t>
            </w:r>
            <w:r w:rsidRPr="004E4ECA">
              <w:rPr>
                <w:sz w:val="20"/>
                <w:szCs w:val="20"/>
              </w:rPr>
              <w:fldChar w:fldCharType="end"/>
            </w:r>
          </w:p>
        </w:tc>
      </w:tr>
      <w:tr w:rsidR="00FE7BA2" w:rsidRPr="00832130" w14:paraId="427DD0C7"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F269DEB" w14:textId="77777777" w:rsidR="00FE7BA2" w:rsidRPr="004E4ECA" w:rsidRDefault="00FE7BA2" w:rsidP="00FE7BA2">
            <w:pPr>
              <w:rPr>
                <w:sz w:val="20"/>
                <w:szCs w:val="20"/>
              </w:rPr>
            </w:pPr>
          </w:p>
        </w:tc>
        <w:tc>
          <w:tcPr>
            <w:tcW w:w="2340" w:type="dxa"/>
          </w:tcPr>
          <w:p w14:paraId="3785388F" w14:textId="75EDA35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0CD786EA" w14:textId="00DF1CC9"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St16DOX</w:t>
            </w:r>
            <w:r w:rsidRPr="004E4ECA">
              <w:rPr>
                <w:sz w:val="20"/>
                <w:szCs w:val="20"/>
              </w:rPr>
              <w:t>, alkaloid biosyn.</w:t>
            </w:r>
          </w:p>
        </w:tc>
        <w:tc>
          <w:tcPr>
            <w:tcW w:w="3389" w:type="dxa"/>
          </w:tcPr>
          <w:p w14:paraId="435F84FE" w14:textId="27D901CF" w:rsidR="00FE7BA2" w:rsidRPr="004E4ECA" w:rsidRDefault="00D92C03"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{"citationID":"076FOI3N","properties":{"formattedCitation":"(Nakayasu et al., 2018)","plainCitation":"(Nakayasu et al., 2018)","noteIndex":0},"citationItems":[{"id":63,"uris":["http://zotero.org/users/local/ftZVc0Fk/items/E2RX5BPP"],"uri":["http://zotero.org/users/local/ftZVc0Fk/items/E2RX5BPP"],"itemData":{"id":63,"type":"article-journal","abstract":"Potato (Solanum tuberosum) is a major food crop, while the most tissues of potato accumulates steroidal glycoalkaloids (SGAs) α-solanine and α-chaconine. Since SGAs confer a bitter taste on human and show the toxicity against various organisms, reducing the SGA content in the tubers is requisite for potato breeding. However, generation of SGA-free potato has not been achieved yet, although silencing of several SGA biosynthetic genes led a decrease in SGAs. Here, we show that the knockout of St16DOX encoding a steroid 16α-hydroxylase in SGA biosynthesis causes the complete abolition of the SGA accumulation in potato hairy roots. Nine candidate guide RNA (gRNA) target sequences were selected from St16DOX by in silico analysis, and the two or three gRNAs were introduced into a CRISPR/Cas9 vector designated as pMgP237-2A-GFP that can express multiplex gRNAs based on the pre-tRNA processing system. To establish rapid screening of the candidate gRNAs that can efficiently mutate the St16DOX gene, we used a potato hairy root culture system for the introduction of the pMgP237 vectors. Among the transgenic hairy roots, two independent lines showed no detectable SGAs but accumulated the glycosides of 22,26-dihydroxycholesterol, which is the substrate of St16DOX. Analysis of the two lines with sequencing exhibited the mutated sequences of St16DOX with no wild-type sequences. Thus, generation of SGA-free hairy roots of tetraploid potato was achieved by the combination of the hairy root culture and the pMgP237-2A-GFP vector. This experimental system is useful to evaluate the efficacy of candidate gRNA target sequences in the short-term.","container-title":"Genome Editing Technologies for Plant Physiology","DOI":"10.1016/j.plaphy.2018.04.026","ISSN":"0981-9428","journalAbbreviation":"Plant Physiology and Biochemistry","page":"70-77","title":"Generation of α-solanine-free hairy roots of potato by CRISPR/Cas9 mediated genome editing of the St16DOX gene","volume":"131","author":[{"family":"Nakayasu","given":"Masaru"},{"family":"Akiyama","given":"Ryota"},{"family":"Lee","given":"Hyoung Jae"},{"family":"Osakabe","given":"Keishi"},{"family":"Osakabe","given":"Yuriko"},{"family":"Watanabe","given":"Bunta"},{"family":"Sugimoto","given":"Yukihiro"},{"family":"Umemoto","given":"Naoyuki"},{"family":"Saito","given":"Kazuki"},{"family":"Muranaka","given":"Toshiya"},{"family":"Mizutani","given":"Masaharu"}],"issued":{"date-parts":[["2018",10,1]]}}}],"schema":"https://github.com/citation-style-language/schema/raw/master/csl-citation.json"} </w:instrText>
            </w:r>
            <w:r w:rsidRPr="004E4ECA">
              <w:rPr>
                <w:sz w:val="20"/>
                <w:szCs w:val="20"/>
              </w:rPr>
              <w:fldChar w:fldCharType="separate"/>
            </w:r>
            <w:r w:rsidRPr="004E4ECA">
              <w:rPr>
                <w:noProof/>
                <w:sz w:val="20"/>
                <w:szCs w:val="20"/>
              </w:rPr>
              <w:t>(Nakayasu et al., 2018)</w:t>
            </w:r>
            <w:r w:rsidRPr="004E4ECA">
              <w:rPr>
                <w:sz w:val="20"/>
                <w:szCs w:val="20"/>
              </w:rPr>
              <w:fldChar w:fldCharType="end"/>
            </w:r>
          </w:p>
        </w:tc>
      </w:tr>
      <w:tr w:rsidR="00FE7BA2" w:rsidRPr="00832130" w14:paraId="46E1C665"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FBF2739" w14:textId="77777777" w:rsidR="00FE7BA2" w:rsidRPr="004E4ECA" w:rsidRDefault="00FE7BA2" w:rsidP="00FE7BA2">
            <w:pPr>
              <w:rPr>
                <w:sz w:val="20"/>
                <w:szCs w:val="20"/>
              </w:rPr>
            </w:pPr>
          </w:p>
        </w:tc>
        <w:tc>
          <w:tcPr>
            <w:tcW w:w="2340" w:type="dxa"/>
          </w:tcPr>
          <w:p w14:paraId="1350BA1C" w14:textId="67DAAAE3"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T</w:t>
            </w:r>
          </w:p>
        </w:tc>
        <w:tc>
          <w:tcPr>
            <w:tcW w:w="3780" w:type="dxa"/>
          </w:tcPr>
          <w:p w14:paraId="1B007627" w14:textId="726A01F9"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ALS</w:t>
            </w:r>
            <w:r w:rsidRPr="004E4ECA">
              <w:rPr>
                <w:sz w:val="20"/>
                <w:szCs w:val="20"/>
              </w:rPr>
              <w:t>, herbicide resistance</w:t>
            </w:r>
          </w:p>
        </w:tc>
        <w:tc>
          <w:tcPr>
            <w:tcW w:w="3389" w:type="dxa"/>
          </w:tcPr>
          <w:p w14:paraId="7BC16F8F" w14:textId="35BFE091" w:rsidR="00FE7BA2" w:rsidRPr="004E4ECA" w:rsidRDefault="00857351"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{"citationID":"3dMRg4yJ","properties":{"formattedCitation":"(Veillet et al., 2019)","plainCitation":"(Veillet et al., 2019)","noteIndex":0},"citationItems":[{"id":64,"uris":["http://zotero.org/users/local/ftZVc0Fk/items/F6VY544X"],"uri":["http://zotero.org/users/local/ftZVc0Fk/items/F6VY544X"],"itemData":{"id":64,"type":"article-journal","abstract":"Genome editing tools have rapidly been adopted by plant scientists for gene function discovery and crop improvement. The current technical challenge is to efficiently induce precise and predictable targeted point mutations valuable for crop breeding purposes. Cytidine base editors (CBEs) are CRISPR/Cas9 derived tools recently developed to direct a C-to-T base conversion. Stable genomic integration of CRISPR/Cas9 components through Agrobacterium-mediated transformation is the most widely used approach in dicotyledonous plants. However, elimination of foreign DNA may be difficult to achieve, especially in vegetatively propagated plants. In this study, we targeted the acetolactate synthase (ALS) gene in tomato and potato by a CBE using Agrobacterium-mediated transformation. We successfully and efficiently edited the targeted cytidine bases, leading to chlorsulfuron-resistant plants with precise base edition efficiency up to 71% in tomato. More importantly, we produced 12.9% and 10% edited but transgene-free plants in the first generation in tomato and potato, respectively. Such an approach is expected to decrease deleterious effects due to the random integration of transgene(s) into the host genome. Our successful approach opens up new perspectives for genome engineering by the co-edition of the ALS with other gene(s), leading to transgene-free plants harboring new traits of interest.","container-title":"International Journal of Molecular Sciences","DOI":"10.3390/ijms20020402","ISSN":"1422-0067","issue":"2","title":"Transgene-Free Genome Editing in Tomato and Potato Plants Using Agrobacterium-Mediated Delivery of a CRISPR/Cas9 Cytidine Base Editor","volume":"20","author":[{"family":"Veillet","given":"Florian"},{"family":"Perrot","given":"Laura"},{"family":"Chauvin","given":"Laura"},{"family":"Kermarrec","given":"Marie-Paule"},{"family":"Guyon-Debast","given":"Anouchka"},{"family":"Chauvin","given":"Jean-Eric"},{"family":"Nogué","given":"Fabien"},{"family":"Mazier","given":"Marianne"}],"issued":{"date-parts":[["2019"]]}}}],"schema":"https://github.com/citation-style-language/schema/raw/master/csl-citation.json"} </w:instrText>
            </w:r>
            <w:r w:rsidRPr="004E4ECA">
              <w:rPr>
                <w:sz w:val="20"/>
                <w:szCs w:val="20"/>
              </w:rPr>
              <w:fldChar w:fldCharType="separate"/>
            </w:r>
            <w:r w:rsidRPr="004E4ECA">
              <w:rPr>
                <w:noProof/>
                <w:sz w:val="20"/>
                <w:szCs w:val="20"/>
              </w:rPr>
              <w:t>(Veillet et al., 2019)</w:t>
            </w:r>
            <w:r w:rsidRPr="004E4ECA">
              <w:rPr>
                <w:sz w:val="20"/>
                <w:szCs w:val="20"/>
              </w:rPr>
              <w:fldChar w:fldCharType="end"/>
            </w:r>
          </w:p>
        </w:tc>
      </w:tr>
      <w:tr w:rsidR="00FE7BA2" w:rsidRPr="00832130" w14:paraId="484D8D14"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E84FDDC" w14:textId="77777777" w:rsidR="00FE7BA2" w:rsidRPr="004E4ECA" w:rsidRDefault="00FE7BA2" w:rsidP="00FE7BA2">
            <w:pPr>
              <w:rPr>
                <w:sz w:val="20"/>
                <w:szCs w:val="20"/>
              </w:rPr>
            </w:pPr>
          </w:p>
        </w:tc>
        <w:tc>
          <w:tcPr>
            <w:tcW w:w="2340" w:type="dxa"/>
          </w:tcPr>
          <w:p w14:paraId="2F0BD3B7" w14:textId="24F81310"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73C5D171" w14:textId="6B7B1D3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S-RNase, self-incompatibility</w:t>
            </w:r>
          </w:p>
        </w:tc>
        <w:tc>
          <w:tcPr>
            <w:tcW w:w="3389" w:type="dxa"/>
          </w:tcPr>
          <w:p w14:paraId="0700E493" w14:textId="4AD31088" w:rsidR="00FE7BA2" w:rsidRPr="004E4ECA" w:rsidRDefault="00A351BF"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{"citationID":"DmOtKE9c","properties":{"formattedCitation":"(Enciso-Rodriguez et al., 2019)","plainCitation":"(Enciso-Rodriguez et al., 2019)","noteIndex":0},"citationItems":[{"id":65,"uris":["http://zotero.org/users/local/ftZVc0Fk/items/X3HBNT4X"],"uri":["http://zotero.org/users/local/ftZVc0Fk/items/X3HBNT4X"],"itemData":{"id":65,"type":"article-journal","abstract":"Potato breeding can be redirected to a diploid inbred/F1 hybrid variety breeding strategy if self-compatibility can be introduced into diploid germplasm. However, the majority of diploid potato clones (Solanum spp.) possess gametophytic self-incompatibility that is primarily controlled by a single multiallelic locus called the S-locus which is composed of tightly linked genes, S-RNase (S-locus RNase) and multiple SLFs (S-locus F-box proteins), which are expressed in the style and pollen, respectively. Using S-RNase genes known to function in the Solanaceae gametophytic SI mechanism, we identified S-RNase alleles with flower-specific expression in two diploid self-incompatible potato lines using genome resequencing data. Consistent with the location of the S-locus in potato, we genetically mapped the S-RNase gene using a segregating population to a region of low recombination within the pericentromere of chromosome 1. To generate self-compatible diploid potato lines, a dual single-guide RNA (sgRNA) strategy was used to target conserved exonic regions of the S-RNase gene and generate targeted knockouts (KOs) using a Clustered Regularly Interspaced Short Palindromic Repeats/CRISPR-associated protein 9 (Cas9) approach. Self-compatibility was achieved in nine S-RNase KO T0 lines which contained bi-allelic and homozygous deletions/insertions in both genotypes, transmitting self compatibility to T1 progeny. This study demonstrates an efficient approach to achieve stable, consistent self-compatibility through S-RNase KO for use in diploid potato breeding approaches.","container-title":"Frontiers in Plant Science","DOI":"10.3389/fpls.2019.00376","ISSN":"1664-462X","journalAbbreviation":"Frontiers in Plant Science","page":"376","title":"Overcoming Self-Incompatibility in Diploid Potato Using CRISPR-Cas9","volume":"10","author":[{"family":"Enciso-Rodriguez","given":"Felix"},{"family":"Manrique-Carpintero","given":"Norma C."},{"family":"Nadakuduti","given":"Satya Swathi"},{"family":"Buell","given":"C. Robin"},{"family":"Zarka","given":"Daniel"},{"family":"Douches","given":"David"}],"issued":{"date-parts":[["2019"]]}}}],"schema":"https://github.com/citation-style-language/schema/raw/master/csl-citation.json"} </w:instrText>
            </w:r>
            <w:r w:rsidRPr="004E4ECA">
              <w:rPr>
                <w:sz w:val="20"/>
                <w:szCs w:val="20"/>
              </w:rPr>
              <w:fldChar w:fldCharType="separate"/>
            </w:r>
            <w:r w:rsidRPr="004E4ECA">
              <w:rPr>
                <w:noProof/>
                <w:sz w:val="20"/>
                <w:szCs w:val="20"/>
              </w:rPr>
              <w:t>(Enciso-Rodriguez et al., 2019)</w:t>
            </w:r>
            <w:r w:rsidRPr="004E4ECA">
              <w:rPr>
                <w:sz w:val="20"/>
                <w:szCs w:val="20"/>
              </w:rPr>
              <w:fldChar w:fldCharType="end"/>
            </w:r>
          </w:p>
        </w:tc>
      </w:tr>
      <w:tr w:rsidR="00FE7BA2" w:rsidRPr="00832130" w14:paraId="366E318D"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22A2283" w14:textId="77777777" w:rsidR="00FE7BA2" w:rsidRPr="004E4ECA" w:rsidRDefault="00FE7BA2" w:rsidP="00FE7BA2">
            <w:pPr>
              <w:rPr>
                <w:sz w:val="20"/>
                <w:szCs w:val="20"/>
              </w:rPr>
            </w:pPr>
          </w:p>
        </w:tc>
        <w:tc>
          <w:tcPr>
            <w:tcW w:w="2340" w:type="dxa"/>
          </w:tcPr>
          <w:p w14:paraId="057AEB29" w14:textId="2013FD0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579C4921" w14:textId="3CA4ABD1"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GBSS1</w:t>
            </w:r>
            <w:r w:rsidRPr="004E4ECA">
              <w:rPr>
                <w:sz w:val="20"/>
                <w:szCs w:val="20"/>
              </w:rPr>
              <w:t>, starch content</w:t>
            </w:r>
          </w:p>
        </w:tc>
        <w:tc>
          <w:tcPr>
            <w:tcW w:w="3389" w:type="dxa"/>
          </w:tcPr>
          <w:p w14:paraId="21AE4A89" w14:textId="19636C2F" w:rsidR="00FE7BA2" w:rsidRPr="004E4ECA" w:rsidRDefault="00A351BF"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{"citationID":"uJg23Vvq","properties":{"formattedCitation":"(Johansen et al., 2019)","plainCitation":"(Johansen et al., 2019)","noteIndex":0},"citationItems":[{"id":66,"uris":["http://zotero.org/users/local/ftZVc0Fk/items/JXD6AY29"],"uri":["http://zotero.org/users/local/ftZVc0Fk/items/JXD6AY29"],"itemData":{"id":66,"type":"article-journal","abstract":"CRISPR/Cas9 editing efficacies in tetraploid potato were highly improved through the use of endogenous potato U6 promoters. Highly increased editing efficiencies in the Granular Bound Starch Synthase gene at the protoplast level were obtained by replacement of the Arabidopsis U6 promotor, driving expression of the CRISPR component, with endogenous potato U6 promotors. This translated at the ex-plant level into 35% full allelic gene editing. Indel Detection Amplicon Analysis was established as an efficient tool for fast assessment of gene editing in complex genomes, such as potato. Together, this warrants significant reduction of laborious cell culturing, ex-plant regeneration and screening procedures of plants with high complexity genomes.","container-title":"Scientific Reports","DOI":"10.1038/s41598-019-54126-w","ISSN":"2045-2322","issue":"1","journalAbbreviation":"Scientific Reports","page":"17715","title":"High efficacy full allelic CRISPR/Cas9 gene editing in tetraploid potato","volume":"9","author":[{"family":"Johansen","given":"Ida Elisabeth"},{"family":"Liu","given":"Ying"},{"family":"Jørgensen","given":"Bodil"},{"family":"Bennett","given":"Eric Paul"},{"family":"Andreasson","given":"Erik"},{"family":"Nielsen","given":"Kåre L."},{"family":"Blennow","given":"Andreas"},{"family":"Petersen","given":"Bent Larsen"}],"issued":{"date-parts":[["2019",11,27]]}}}],"schema":"https://github.com/citation-style-language/schema/raw/master/csl-citation.json"} </w:instrText>
            </w:r>
            <w:r w:rsidRPr="004E4ECA">
              <w:rPr>
                <w:sz w:val="20"/>
                <w:szCs w:val="20"/>
              </w:rPr>
              <w:fldChar w:fldCharType="separate"/>
            </w:r>
            <w:r w:rsidRPr="004E4ECA">
              <w:rPr>
                <w:noProof/>
                <w:sz w:val="20"/>
                <w:szCs w:val="20"/>
              </w:rPr>
              <w:t>(Johansen et al., 2019)</w:t>
            </w:r>
            <w:r w:rsidRPr="004E4ECA">
              <w:rPr>
                <w:sz w:val="20"/>
                <w:szCs w:val="20"/>
              </w:rPr>
              <w:fldChar w:fldCharType="end"/>
            </w:r>
          </w:p>
        </w:tc>
      </w:tr>
      <w:tr w:rsidR="00FE7BA2" w:rsidRPr="00832130" w14:paraId="22DA2020"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C6FC883" w14:textId="77777777" w:rsidR="00FE7BA2" w:rsidRPr="004E4ECA" w:rsidRDefault="00FE7BA2" w:rsidP="00FE7BA2">
            <w:pPr>
              <w:rPr>
                <w:sz w:val="20"/>
                <w:szCs w:val="20"/>
              </w:rPr>
            </w:pPr>
          </w:p>
        </w:tc>
        <w:tc>
          <w:tcPr>
            <w:tcW w:w="2340" w:type="dxa"/>
          </w:tcPr>
          <w:p w14:paraId="276C1EB6" w14:textId="3730759B"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T (Cas9-RNPs)</w:t>
            </w:r>
          </w:p>
        </w:tc>
        <w:tc>
          <w:tcPr>
            <w:tcW w:w="3780" w:type="dxa"/>
          </w:tcPr>
          <w:p w14:paraId="79E2ECC7" w14:textId="5634B6F4"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 xml:space="preserve">StPPO2, </w:t>
            </w:r>
            <w:r w:rsidRPr="004E4ECA">
              <w:rPr>
                <w:sz w:val="20"/>
                <w:szCs w:val="20"/>
              </w:rPr>
              <w:t>polyphenol biosyn.</w:t>
            </w:r>
          </w:p>
        </w:tc>
        <w:tc>
          <w:tcPr>
            <w:tcW w:w="3389" w:type="dxa"/>
          </w:tcPr>
          <w:p w14:paraId="11A28522" w14:textId="00053D60" w:rsidR="00FE7BA2" w:rsidRPr="004E4ECA" w:rsidRDefault="00420EDD"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{"citationID":"HoBkovrr","properties":{"formattedCitation":"(Gonz\\uc0\\u225{}lez et al., 2020)","plainCitation":"(González et al., 2020)","noteIndex":0},"citationItems":[{"id":297,"uris":["http://zotero.org/users/local/ftZVc0Fk/items/LIRD5UKL"],"uri":["http://zotero.org/users/local/ftZVc0Fk/items/LIRD5UKL"],"itemData":{"id":297,"type":"article-journal","abstract":"Polyphenol Oxidases (PPOs) catalyze the conversion of phenolic substrates to quinones, leading to the formation of dark-colored precipitates in fruits and vegetables. This process, known as enzymatic browning, is the cause of undesirable changes in organoleptic properties and the loss of nutritional quality in plant-derived products. In potato (Solanum tubersoum L.), PPOs are encoded by a multi-gene family with different expression patterns. Here, we have studied the application of the CRISPR/Cas9 system to induce mutations in the StPPO2 gene in the tetraploid cultivar Desiree. We hypothesized that the specific editing of this target gene would result in a lower PPO activity in the tuber with the consequent reduction of the enzymatic browning. Ribonucleoprotein complexes (RNPs), formed by two sgRNAs and Cas9 nuclease, were transfected to potato protoplasts. Up to 68% of regenerated plants contained mutations in at least one allele of the target gene, while 24% of edited lines carried mutations in all four alleles. No off-target mutations were identified in other analyzed StPPO genes. Mutations induced in the four alleles of StPPO2 gene, led to lines with a reduction of up to 69% in tuber PPO activity and a reduction of 73% in enzymatic browning, compared to the control. Our results demonstrate that the CRISPR/Cas9 system can be applied to develop potato varieties with reduced enzymatic browning in tubers, by the specific editing of a single member of the StPPO gene family.","archive":"PubMed","archive_location":"31998338","container-title":"Frontiers in plant science","DOI":"10.3389/fpls.2019.01649","ISSN":"1664-462X","journalAbbreviation":"Front Plant Sci","language":"eng","note":"publisher: Frontiers Media S.A.","page":"1649-1649","title":"Reduced Enzymatic Browning in Potato Tubers by Specific Editing of a Polyphenol Oxidase Gene via Ribonucleoprotein Complexes Delivery of the CRISPR/Cas9 System","volume":"10","author":[{"family":"González","given":"Matías Nicolás"},{"family":"Massa","given":"Gabriela Alejandra"},{"family":"Andersson","given":"Mariette"},{"family":"Turesson","given":"Helle"},{"family":"Olsson","given":"Niklas"},{"family":"Fält","given":"Ann-Sofie"},{"family":"Storani","given":"Leonardo"},{"family":"Décima Oneto","given":"Cecilia Andrea"},{"family":"Hofvander","given":"Per"},{"family":"Feingold","given":"Sergio Enrique"}],"issued":{"date-parts":[["2020",1,9]]}}}],"schema":"https://github.com/citation-style-language/schema/raw/master/csl-citation.json"} </w:instrText>
            </w:r>
            <w:r w:rsidRPr="004E4ECA">
              <w:rPr>
                <w:sz w:val="20"/>
                <w:szCs w:val="20"/>
              </w:rPr>
              <w:fldChar w:fldCharType="separate"/>
            </w:r>
            <w:r w:rsidRPr="004E4ECA">
              <w:rPr>
                <w:rFonts w:ascii="Calibri" w:cs="Calibri"/>
                <w:sz w:val="20"/>
                <w:szCs w:val="20"/>
              </w:rPr>
              <w:t>(González et al., 2020)</w:t>
            </w:r>
            <w:r w:rsidRPr="004E4ECA">
              <w:rPr>
                <w:sz w:val="20"/>
                <w:szCs w:val="20"/>
              </w:rPr>
              <w:fldChar w:fldCharType="end"/>
            </w:r>
          </w:p>
        </w:tc>
      </w:tr>
      <w:tr w:rsidR="00FE7BA2" w:rsidRPr="00832130" w14:paraId="2C1FD528"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50F3D00" w14:textId="77777777" w:rsidR="00FE7BA2" w:rsidRPr="004E4ECA" w:rsidRDefault="00FE7BA2" w:rsidP="00FE7BA2">
            <w:pPr>
              <w:rPr>
                <w:sz w:val="20"/>
                <w:szCs w:val="20"/>
              </w:rPr>
            </w:pPr>
          </w:p>
        </w:tc>
        <w:tc>
          <w:tcPr>
            <w:tcW w:w="2340" w:type="dxa"/>
          </w:tcPr>
          <w:p w14:paraId="54A3E684" w14:textId="4A71E829"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2ECF34AA" w14:textId="6E017EFF"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GBSS1</w:t>
            </w:r>
            <w:r w:rsidRPr="004E4ECA">
              <w:rPr>
                <w:sz w:val="20"/>
                <w:szCs w:val="20"/>
              </w:rPr>
              <w:t>, starch content</w:t>
            </w:r>
          </w:p>
        </w:tc>
        <w:tc>
          <w:tcPr>
            <w:tcW w:w="3389" w:type="dxa"/>
          </w:tcPr>
          <w:p w14:paraId="5E242803" w14:textId="57EAD850" w:rsidR="00FE7BA2" w:rsidRPr="004E4ECA" w:rsidRDefault="00420EDD"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{"citationID":"7x22EqRA","properties":{"formattedCitation":"(Kusano et al., 2018)","plainCitation":"(Kusano et al., 2018)","noteIndex":0},"citationItems":[{"id":68,"uris":["http://zotero.org/users/local/ftZVc0Fk/items/IANGSZSF"],"uri":["http://zotero.org/users/local/ftZVc0Fk/items/IANGSZSF"],"itemData":{"id":68,"type":"article-journal","abstract":"CRISPR/Cas9 is a programmable nuclease composed of the Cas9 protein and a guide RNA (gRNA) molecule. To create a mutant potato, a powerful genome-editing system was required because potato has a tetraploid genome. The translational enhancer dMac3, consisting of a portion of the OsMac3 mRNA 5′-untranslated region, greatly enhanced the production of the protein encoded in the downstream ORF. To enrich the amount of Cas9, we applied the dMac3 translational enhancer to the Cas9 expression system with multiple gRNA genes. CRISPR/Cas9 systems targeting the potato granule-bound starch synthase I (GBSSI) gene examined the frequency of mutant alleles in transgenic potato plants. The efficiency of the targeted mutagenesis strongly increased when the dMac3-installed Cas9 was used. In this case, the ratio of transformants containing four mutant alleles reached approximately 25% when estimated by CAPS analysis. The mutants that exhibited targeted mutagenesis in the GBSSI gene showed characteristics of low amylose starch in their tubers. This result suggests that our system may facilitate genome-editing events in polyploid plants.","container-title":"Scientific Reports","DOI":"10.1038/s41598-018-32049-2","ISSN":"2045-2322","issue":"1","journalAbbreviation":"Scientific Reports","page":"13753","title":"Establishment of a modified CRISPR/Cas9 system with increased mutagenesis frequency using the translational enhancer dMac3 and multiple guide RNAs in potato","volume":"8","author":[{"family":"Kusano","given":"Hiroaki"},{"family":"Ohnuma","given":"Mariko"},{"family":"Mutsuro-Aoki","given":"Hiromi"},{"family":"Asahi","given":"Takahiro"},{"family":"Ichinosawa","given":"Dai"},{"family":"Onodera","given":"Hitomi"},{"family":"Asano","given":"Kenji"},{"family":"Noda","given":"Takahiro"},{"family":"Horie","given":"Takaaki"},{"family":"Fukumoto","given":"Kou"},{"family":"Kihira","given":"Miho"},{"family":"Teramura","given":"Hiroshi"},{"family":"Yazaki","given":"Kazufumi"},{"family":"Umemoto","given":"Naoyuki"},{"family":"Muranaka","given":"Toshiya"},{"family":"Shimada","given":"Hiroaki"}],"issued":{"date-parts":[["2018",9,13]]}}}],"schema":"https://github.com/citation-style-language/schema/raw/master/csl-citation.json"} </w:instrText>
            </w:r>
            <w:r w:rsidRPr="004E4ECA">
              <w:rPr>
                <w:sz w:val="20"/>
                <w:szCs w:val="20"/>
              </w:rPr>
              <w:fldChar w:fldCharType="separate"/>
            </w:r>
            <w:r w:rsidRPr="004E4ECA">
              <w:rPr>
                <w:noProof/>
                <w:sz w:val="20"/>
                <w:szCs w:val="20"/>
              </w:rPr>
              <w:t>(Kusano et al., 2018)</w:t>
            </w:r>
            <w:r w:rsidRPr="004E4ECA">
              <w:rPr>
                <w:sz w:val="20"/>
                <w:szCs w:val="20"/>
              </w:rPr>
              <w:fldChar w:fldCharType="end"/>
            </w:r>
          </w:p>
        </w:tc>
      </w:tr>
      <w:tr w:rsidR="00FE7BA2" w:rsidRPr="00832130" w14:paraId="0BDDD566"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BC87008" w14:textId="77777777" w:rsidR="00FE7BA2" w:rsidRPr="004E4ECA" w:rsidRDefault="00FE7BA2" w:rsidP="00FE7BA2">
            <w:pPr>
              <w:rPr>
                <w:sz w:val="20"/>
                <w:szCs w:val="20"/>
              </w:rPr>
            </w:pPr>
          </w:p>
        </w:tc>
        <w:tc>
          <w:tcPr>
            <w:tcW w:w="2340" w:type="dxa"/>
          </w:tcPr>
          <w:p w14:paraId="237E884C" w14:textId="2F8E273B"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83F9796" w14:textId="6A0727C9"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i/>
                <w:iCs/>
                <w:sz w:val="20"/>
                <w:szCs w:val="20"/>
              </w:rPr>
            </w:pPr>
            <w:r w:rsidRPr="004E4ECA">
              <w:rPr>
                <w:i/>
                <w:iCs/>
                <w:sz w:val="20"/>
                <w:szCs w:val="20"/>
              </w:rPr>
              <w:t>GBSS1</w:t>
            </w:r>
            <w:r w:rsidRPr="004E4ECA">
              <w:rPr>
                <w:sz w:val="20"/>
                <w:szCs w:val="20"/>
              </w:rPr>
              <w:t xml:space="preserve">, </w:t>
            </w:r>
            <w:r w:rsidRPr="004E4ECA">
              <w:rPr>
                <w:i/>
                <w:iCs/>
                <w:sz w:val="20"/>
                <w:szCs w:val="20"/>
              </w:rPr>
              <w:t xml:space="preserve">StDMR6-1, </w:t>
            </w:r>
            <w:r w:rsidRPr="004E4ECA">
              <w:rPr>
                <w:sz w:val="20"/>
                <w:szCs w:val="20"/>
              </w:rPr>
              <w:t xml:space="preserve"> starch content</w:t>
            </w:r>
          </w:p>
        </w:tc>
        <w:tc>
          <w:tcPr>
            <w:tcW w:w="3389" w:type="dxa"/>
          </w:tcPr>
          <w:p w14:paraId="4AA73660" w14:textId="794BBA80" w:rsidR="00FE7BA2" w:rsidRPr="004E4ECA" w:rsidRDefault="0036777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{"citationID":"FA54oipu","properties":{"formattedCitation":"(Veillet et al., 2020a)","plainCitation":"(Veillet et al., 2020a)","noteIndex":0},"citationItems":[{"id":71,"uris":["http://zotero.org/users/local/ftZVc0Fk/items/HTP49L6B"],"uri":["http://zotero.org/users/local/ftZVc0Fk/items/HTP49L6B"],"itemData":{"id":71,"type":"article-journal","abstract":"Genome editing is now widely used in plant science for both basic research and molecular crop breeding. The clustered regularly interspaced short palindromic repeats (CRISPR) technology, through its precision, high efficiency and versatility, allows for editing of many sites in plant genomes. This system has been highly successful to produce knock-out mutants through the introduction of frameshift mutations due to error-prone repair pathways. Nevertheless, recent new CRISPR-based technologies such as base editing and prime editing can generate precise and on demand nucleotide conversion, allowing for fine-tuning of protein function and generating gain-of-function mutants. However, genome editing through CRISPR systems still have some drawbacks and limitations, such as the PAM restriction and the need for more diversity in CRISPR tools to mediate different simultaneous catalytic activities. In this study, we successfully used the CRISPR-Cas9 system from Staphylococcus aureus (SaCas9) for the introduction of frameshift mutations in the tetraploid genome of the cultivated potato (Solanum tuberosum). We also developed a S. aureus-cytosine base editor that mediate nucleotide conversions, allowing for precise modification of specific residues or regulatory elements in potato. Our proof-of-concept in potato expand the plant dicot CRISPR toolbox for biotechnology and precision breeding applications.","container-title":"PLOS ONE","DOI":"10.1371/journal.pone.0235942","issue":"8","journalAbbreviation":"PLOS ONE","note":"publisher: Public Library of Science","page":"e0235942","title":"CRISPR-induced indels and base editing using the Staphylococcus aureus Cas9 in potato","volume":"15","author":[{"family":"Veillet","given":"Florian"},{"family":"Kermarrec","given":"Marie-Paule"},{"family":"Chauvin","given":"Laura"},{"family":"Chauvin","given":"Jean-Eric"},{"family":"Nogué","given":"Fabien"}],"issued":{"date-parts":[["2020",8,17]]}}}],"schema":"https://github.com/citation-style-language/schema/raw/master/csl-citation.json"} </w:instrText>
            </w:r>
            <w:r w:rsidRPr="004E4ECA">
              <w:rPr>
                <w:sz w:val="20"/>
                <w:szCs w:val="20"/>
              </w:rPr>
              <w:fldChar w:fldCharType="separate"/>
            </w:r>
            <w:r w:rsidRPr="004E4ECA">
              <w:rPr>
                <w:noProof/>
                <w:sz w:val="20"/>
                <w:szCs w:val="20"/>
              </w:rPr>
              <w:t>(Veillet et al., 2020a)</w:t>
            </w:r>
            <w:r w:rsidRPr="004E4ECA">
              <w:rPr>
                <w:sz w:val="20"/>
                <w:szCs w:val="20"/>
              </w:rPr>
              <w:fldChar w:fldCharType="end"/>
            </w:r>
          </w:p>
        </w:tc>
      </w:tr>
      <w:tr w:rsidR="00FE7BA2" w:rsidRPr="00832130" w14:paraId="4A2F82C1"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99D9C33" w14:textId="77777777" w:rsidR="00FE7BA2" w:rsidRPr="004E4ECA" w:rsidRDefault="00FE7BA2" w:rsidP="00FE7BA2">
            <w:pPr>
              <w:rPr>
                <w:sz w:val="20"/>
                <w:szCs w:val="20"/>
              </w:rPr>
            </w:pPr>
          </w:p>
        </w:tc>
        <w:tc>
          <w:tcPr>
            <w:tcW w:w="2340" w:type="dxa"/>
          </w:tcPr>
          <w:p w14:paraId="0E7E433F" w14:textId="33701D3D"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1CE67EE3" w14:textId="2B428EE1"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rCML, disease resistance</w:t>
            </w:r>
          </w:p>
        </w:tc>
        <w:tc>
          <w:tcPr>
            <w:tcW w:w="3389" w:type="dxa"/>
          </w:tcPr>
          <w:p w14:paraId="519E8A61" w14:textId="16C53128" w:rsidR="00FE7BA2" w:rsidRPr="004E4ECA" w:rsidRDefault="00367770"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{"citationID":"SM5hNpqJ","properties":{"formattedCitation":"(Osmani et al., 2019)","plainCitation":"(Osmani et al., 2019)","noteIndex":0},"citationItems":[{"id":72,"uris":["http://zotero.org/users/local/ftZVc0Fk/items/24KW4788"],"uri":["http://zotero.org/users/local/ftZVc0Fk/items/24KW4788"],"itemData":{"id":72,"type":"chapter","abstract":"A tobacco calmodulin-like protein, rgs-CaM, has been shown to interact with viruses in a variety of ways; it contributes to geminivirus infections but is also involved in primed immunity to the cucumber mosaic virus. Sequence similarity searches revealed several calmodulin-like proteins similar to rgs-CaM (rCML) in Arabidopsis and other Solanaceae plants, including potato (Solanum tuberosum). To analyze the functions of each rCML, mutations were introduced into potato rCMLs using the CRISPR/Cas9 system. Here, we describe our protocol of the CRISPR/Cas9-mediated targeted mutagenesis in stably transformed potato plants.","container-title":"Antiviral Resistance in Plants: Methods and Protocols","event-place":"New York, NY","ISBN":"978-1-4939-9635-3","note":"DOI: 10.1007/978-1-4939-9635-3_9","page":"153-165","publisher":"Springer New York","publisher-place":"New York, NY","title":"CRISPR/Cas9-Mediated Editing of Genes Encoding rgs-CaM-like Proteins in Transgenic Potato Plants","URL":"https://doi.org/10.1007/978-1-4939-9635-3_9","author":[{"family":"Osmani","given":"Zhila"},{"family":"Jin","given":"Shinnosuke"},{"family":"Mikami","given":"Masafumi"},{"family":"Endo","given":"Masaki"},{"family":"Atarashi","given":"Hiroki"},{"family":"Fujino","given":"Kaien"},{"family":"Yamada","given":"Tetsuya"},{"family":"Nakahara","given":"Kenji S."}],"editor":[{"family":"Kobayashi","given":"Kappei"},{"family":"Nishiguchi","given":"Masamichi"}],"issued":{"date-parts":[["2019"]]}}}],"schema":"https://github.com/citation-style-language/schema/raw/master/csl-citation.json"} </w:instrText>
            </w:r>
            <w:r w:rsidRPr="004E4ECA">
              <w:rPr>
                <w:sz w:val="20"/>
                <w:szCs w:val="20"/>
              </w:rPr>
              <w:fldChar w:fldCharType="separate"/>
            </w:r>
            <w:r w:rsidRPr="004E4ECA">
              <w:rPr>
                <w:noProof/>
                <w:sz w:val="20"/>
                <w:szCs w:val="20"/>
              </w:rPr>
              <w:t>(Osmani et al., 2019)</w:t>
            </w:r>
            <w:r w:rsidRPr="004E4ECA">
              <w:rPr>
                <w:sz w:val="20"/>
                <w:szCs w:val="20"/>
              </w:rPr>
              <w:fldChar w:fldCharType="end"/>
            </w:r>
          </w:p>
        </w:tc>
      </w:tr>
      <w:tr w:rsidR="00FE7BA2" w:rsidRPr="00832130" w14:paraId="712FD500"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0BE6C4E" w14:textId="77777777" w:rsidR="00FE7BA2" w:rsidRPr="004E4ECA" w:rsidRDefault="00FE7BA2" w:rsidP="00FE7BA2">
            <w:pPr>
              <w:rPr>
                <w:sz w:val="20"/>
                <w:szCs w:val="20"/>
              </w:rPr>
            </w:pPr>
          </w:p>
        </w:tc>
        <w:tc>
          <w:tcPr>
            <w:tcW w:w="2340" w:type="dxa"/>
          </w:tcPr>
          <w:p w14:paraId="444DA3A2" w14:textId="6336B523"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718B59A3" w14:textId="5A394C73"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StSSR2</w:t>
            </w:r>
            <w:r w:rsidRPr="004E4ECA">
              <w:rPr>
                <w:sz w:val="20"/>
                <w:szCs w:val="20"/>
              </w:rPr>
              <w:t>, polyphenol biosyn.</w:t>
            </w:r>
          </w:p>
        </w:tc>
        <w:tc>
          <w:tcPr>
            <w:tcW w:w="3389" w:type="dxa"/>
          </w:tcPr>
          <w:p w14:paraId="09FAAF9D" w14:textId="4185056B" w:rsidR="00FE7BA2" w:rsidRPr="004E4ECA" w:rsidRDefault="0036777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{"citationID":"zqRkoubE","properties":{"formattedCitation":"(Yasumoto et al., 2019)","plainCitation":"(Yasumoto et al., 2019)","noteIndex":0},"citationItems":[{"id":74,"uris":["http://zotero.org/users/local/ftZVc0Fk/items/AE8J3QRP"],"uri":["http://zotero.org/users/local/ftZVc0Fk/items/AE8J3QRP"],"itemData":{"id":74,"type":"article-journal","container-title":"Plant Biotechnology","DOI":"10.5511/plantbiotechnology.19.0805a","ISSN":"1342-4580, 1347-6114","issue":"3","journalAbbreviation":"Plant Biotechnology","language":"en","page":"167-173","source":"DOI.org (Crossref)","title":"Efficient genome engineering using Platinum TALEN in potato","volume":"36","author":[{"family":"Yasumoto","given":"Shuhei"},{"family":"Umemoto","given":"Naoyuki"},{"family":"Lee","given":"Hyoung Jae"},{"family":"Nakayasu","given":"Masaru"},{"family":"Sawai","given":"Satoru"},{"family":"Sakuma","given":"Tetsushi"},{"family":"Yamamoto","given":"Takashi"},{"family":"Mizutani","given":"Masaharu"},{"family":"Saito","given":"Kazuki"},{"family":"Muranaka","given":"Toshiya"}],"issued":{"date-parts":[["2019",9,25]]}}}],"schema":"https://github.com/citation-style-language/schema/raw/master/csl-citation.json"} </w:instrText>
            </w:r>
            <w:r w:rsidRPr="004E4ECA">
              <w:rPr>
                <w:sz w:val="20"/>
                <w:szCs w:val="20"/>
              </w:rPr>
              <w:fldChar w:fldCharType="separate"/>
            </w:r>
            <w:r w:rsidRPr="004E4ECA">
              <w:rPr>
                <w:noProof/>
                <w:sz w:val="20"/>
                <w:szCs w:val="20"/>
              </w:rPr>
              <w:t>(Yasumoto et al., 2019)</w:t>
            </w:r>
            <w:r w:rsidRPr="004E4ECA">
              <w:rPr>
                <w:sz w:val="20"/>
                <w:szCs w:val="20"/>
              </w:rPr>
              <w:fldChar w:fldCharType="end"/>
            </w:r>
          </w:p>
        </w:tc>
      </w:tr>
      <w:tr w:rsidR="00FE7BA2" w:rsidRPr="00832130" w14:paraId="16BEAA43"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7711C27" w14:textId="77777777" w:rsidR="00FE7BA2" w:rsidRPr="004E4ECA" w:rsidRDefault="00FE7BA2" w:rsidP="00FE7BA2">
            <w:pPr>
              <w:rPr>
                <w:sz w:val="20"/>
                <w:szCs w:val="20"/>
              </w:rPr>
            </w:pPr>
          </w:p>
        </w:tc>
        <w:tc>
          <w:tcPr>
            <w:tcW w:w="2340" w:type="dxa"/>
          </w:tcPr>
          <w:p w14:paraId="0951E86E" w14:textId="386DA32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264E696D" w14:textId="1ECE4E2C"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 xml:space="preserve">SBE1/2, </w:t>
            </w:r>
            <w:r w:rsidRPr="004E4ECA">
              <w:rPr>
                <w:sz w:val="20"/>
                <w:szCs w:val="20"/>
              </w:rPr>
              <w:t>starch content/branching</w:t>
            </w:r>
          </w:p>
        </w:tc>
        <w:tc>
          <w:tcPr>
            <w:tcW w:w="3389" w:type="dxa"/>
          </w:tcPr>
          <w:p w14:paraId="292F4D8C" w14:textId="6807D9EC" w:rsidR="00FE7BA2" w:rsidRPr="004E4ECA" w:rsidRDefault="00367770"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{"citationID":"jgeHbcvO","properties":{"formattedCitation":"(Tuncel et al., 2019)","plainCitation":"(Tuncel et al., 2019)","noteIndex":0},"citationItems":[{"id":76,"uris":["http://zotero.org/users/local/ftZVc0Fk/items/V24H9QXR"],"uri":["http://zotero.org/users/local/ftZVc0Fk/items/V24H9QXR"],"itemData":{"id":76,"type":"article-journal","abstract":"Summary We investigated whether Cas9-mediated mutagenesis of starch-branching enzymes (SBEs) in tetraploid potatoes could generate tuber starches with a range of distinct properties. Constructs containing the Cas9 gene and sgRNAs targeting SBE1, SBE2 or both genes were introduced by Agrobacterium-mediated transformation or by PEG-mediated delivery into protoplasts. Outcomes included lines with mutations in all or only some of the homoeoalleles of SBE genes and lines in which homoeoalleles carried several different mutations. DNA delivery into protoplasts resulted in mutants with no detectable Cas9 gene, suggesting the absence of foreign DNA. Selected mutants with starch granule abnormalities had reductions in tuber SBE1 and/or SBE2 protein that were broadly in line with expectations from genotype analysis. Strong reduction in both SBE isoforms created an extreme starch phenotype, as reported previously for low-SBE potato tubers. HPLC-SEC and 1H NMR revealed a decrease in short amylopectin chains, an increase in long chains and a large reduction in branching frequency relative to wild-type starch. Mutants with strong reductions in SBE2 protein alone had near-normal amylopectin chain-length distributions and only small reductions in branching frequency. However, starch granule initiation was enormously increased: cells contained many granules of &lt;4 ?m and granules with multiple hila. Thus, large reductions in both SBEs reduce amylopectin branching during granule growth, whereas reduction in SBE2 alone primarily affects numbers of starch granule initiations. Our results demonstrate that Cas9-mediated mutagenesis of SBE genes has the potential to generate new, potentially valuable starch properties without integration of foreign DNA into the genome.","container-title":"Plant Biotechnology Journal","DOI":"10.1111/pbi.13137","ISSN":"1467-7644","issue":"12","journalAbbreviation":"Plant Biotechnology Journal","note":"publisher: John Wiley &amp; Sons, Ltd","page":"2259-2271","title":"Cas9-mediated mutagenesis of potato starch-branching enzymes generates a range of tuber starch phenotypes","volume":"17","author":[{"family":"Tuncel","given":"Aytug"},{"family":"Corbin","given":"Kendall R."},{"family":"Ahn-Jarvis","given":"Jennifer"},{"family":"Harris","given":"Suzanne"},{"family":"Hawkins","given":"Erica"},{"family":"Smedley","given":"Mark A."},{"family":"Harwood","given":"Wendy"},{"family":"Warren","given":"Frederick J."},{"family":"Patron","given":"Nicola J."},{"family":"Smith","given":"Alison M."}],"issued":{"date-parts":[["2019",12,1]]}}}],"schema":"https://github.com/citation-style-language/schema/raw/master/csl-citation.json"} </w:instrText>
            </w:r>
            <w:r w:rsidRPr="004E4ECA">
              <w:rPr>
                <w:sz w:val="20"/>
                <w:szCs w:val="20"/>
              </w:rPr>
              <w:fldChar w:fldCharType="separate"/>
            </w:r>
            <w:r w:rsidRPr="004E4ECA">
              <w:rPr>
                <w:noProof/>
                <w:sz w:val="20"/>
                <w:szCs w:val="20"/>
              </w:rPr>
              <w:t>(Tuncel et al., 2019)</w:t>
            </w:r>
            <w:r w:rsidRPr="004E4ECA">
              <w:rPr>
                <w:sz w:val="20"/>
                <w:szCs w:val="20"/>
              </w:rPr>
              <w:fldChar w:fldCharType="end"/>
            </w:r>
          </w:p>
        </w:tc>
      </w:tr>
      <w:tr w:rsidR="00FE7BA2" w:rsidRPr="00832130" w14:paraId="21DBB681"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4A85E919" w14:textId="77777777" w:rsidR="00FE7BA2" w:rsidRPr="004E4ECA" w:rsidRDefault="00FE7BA2" w:rsidP="00FE7BA2">
            <w:pPr>
              <w:rPr>
                <w:sz w:val="20"/>
                <w:szCs w:val="20"/>
              </w:rPr>
            </w:pPr>
          </w:p>
        </w:tc>
        <w:tc>
          <w:tcPr>
            <w:tcW w:w="2340" w:type="dxa"/>
          </w:tcPr>
          <w:p w14:paraId="0E4C45CB" w14:textId="1AB77C4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 (prime editing)</w:t>
            </w:r>
          </w:p>
        </w:tc>
        <w:tc>
          <w:tcPr>
            <w:tcW w:w="3780" w:type="dxa"/>
          </w:tcPr>
          <w:p w14:paraId="1F1E2AD4" w14:textId="33C8019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StALS1</w:t>
            </w:r>
            <w:r w:rsidRPr="004E4ECA">
              <w:rPr>
                <w:sz w:val="20"/>
                <w:szCs w:val="20"/>
              </w:rPr>
              <w:t>, herbicide resistance</w:t>
            </w:r>
          </w:p>
        </w:tc>
        <w:tc>
          <w:tcPr>
            <w:tcW w:w="3389" w:type="dxa"/>
          </w:tcPr>
          <w:p w14:paraId="635DD5B0" w14:textId="67CCC6FD" w:rsidR="00FE7BA2" w:rsidRPr="004E4ECA" w:rsidRDefault="0036777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{"citationID":"KYmNJ4Nb","properties":{"formattedCitation":"(Veillet et al., 2020b)","plainCitation":"(Veillet et al., 2020b)","noteIndex":0},"citationItems":[{"id":78,"uris":["http://zotero.org/users/local/ftZVc0Fk/items/2KKAJTU6"],"uri":["http://zotero.org/users/local/ftZVc0Fk/items/2KKAJTU6"],"itemData":{"id":78,"type":"article-journal","abstract":"Since its discovery and first applications for genome editing in plants, the clustered regularly interspaced short palindromic repeats (CRISPR)-Cas9 technology has revolutionized plant research and precision crop breeding. Although the classical CRISPR-Cas9 system is highly useful for the introduction of targeted small mutations for knock-out applications, this system is mostly inefficient for the introduction of precise and predictable nucleotide substitutions. Recently, the prime editing (PE) technology has been developed in human cells, allowing the introduction of all kinds of mutations, including the simultaneous generation of nucleotide transitions and transversions. Therefore, this system holds great promises for the production of gain-of-function mutants and for the improvement of precision breeding in crops. In this study, we report on the successful use of prime editing in the tetraploid and highly heterozygous potato (Solanum tuberosum) with the introduction of simultaneous nucleotide transitions and transversions in the StALS1 gene.Competing Interest StatementThe authors have declared no competing interest.","container-title":"bioRxiv","DOI":"10.1101/2020.06.18.159111","page":"2020.06.18.159111","title":"Prime editing is achievable in the tetraploid potato, but needs improvement","author":[{"family":"Veillet","given":"Florian"},{"family":"Kermarrec","given":"Marie-Paule"},{"family":"Chauvin","given":"Laura"},{"family":"Guyon-Debast","given":"Anouchka"},{"family":"Chauvin","given":"Jean-Eric"},{"family":"Gallois","given":"Jean-Luc"},{"family":"Nogué","given":"Fabien"}],"issued":{"date-parts":[["2020",1,1]]}}}],"schema":"https://github.com/citation-style-language/schema/raw/master/csl-citation.json"} </w:instrText>
            </w:r>
            <w:r w:rsidRPr="004E4ECA">
              <w:rPr>
                <w:sz w:val="20"/>
                <w:szCs w:val="20"/>
              </w:rPr>
              <w:fldChar w:fldCharType="separate"/>
            </w:r>
            <w:r w:rsidRPr="004E4ECA">
              <w:rPr>
                <w:noProof/>
                <w:sz w:val="20"/>
                <w:szCs w:val="20"/>
              </w:rPr>
              <w:t>(Veillet et al., 2020b)</w:t>
            </w:r>
            <w:r w:rsidRPr="004E4ECA">
              <w:rPr>
                <w:sz w:val="20"/>
                <w:szCs w:val="20"/>
              </w:rPr>
              <w:fldChar w:fldCharType="end"/>
            </w:r>
          </w:p>
        </w:tc>
      </w:tr>
      <w:tr w:rsidR="00FE7BA2" w:rsidRPr="00832130" w14:paraId="02FF4FBC"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49678ED4" w14:textId="77777777" w:rsidR="00FE7BA2" w:rsidRPr="004E4ECA" w:rsidRDefault="00FE7BA2" w:rsidP="00FE7BA2">
            <w:pPr>
              <w:rPr>
                <w:sz w:val="20"/>
                <w:szCs w:val="20"/>
              </w:rPr>
            </w:pPr>
          </w:p>
        </w:tc>
        <w:tc>
          <w:tcPr>
            <w:tcW w:w="2340" w:type="dxa"/>
          </w:tcPr>
          <w:p w14:paraId="24DF3648" w14:textId="4AB89DB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223224C6" w14:textId="4DCEEEA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StSS6</w:t>
            </w:r>
            <w:r w:rsidRPr="004E4ECA">
              <w:rPr>
                <w:sz w:val="20"/>
                <w:szCs w:val="20"/>
              </w:rPr>
              <w:t>,  starch content/branching</w:t>
            </w:r>
          </w:p>
        </w:tc>
        <w:tc>
          <w:tcPr>
            <w:tcW w:w="3389" w:type="dxa"/>
          </w:tcPr>
          <w:p w14:paraId="78B997BE" w14:textId="358AB264" w:rsidR="00FE7BA2" w:rsidRPr="004E4ECA" w:rsidRDefault="00367770"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{"citationID":"izBHi0fX","properties":{"formattedCitation":"(Sevestre et al., 2020)","plainCitation":"(Sevestre et al., 2020)","noteIndex":0},"citationItems":[{"id":79,"uris":["http://zotero.org/users/local/ftZVc0Fk/items/H4R9BV9B"],"uri":["http://zotero.org/users/local/ftZVc0Fk/items/H4R9BV9B"],"itemData":{"id":79,"type":"article-journal","abstract":"Genome editing is a powerful tool for plant functional genomics allowing for multiallelic targeted mutagenesis. The recent development of Clustered Regularly Interspaced Short Palindromic Repeats (CRISPR)/CRISPR associated protein 9 (Cas9) systems for gene editing in plants allows for simple, cost-effective introduction of site-specific double-stranded DNA breaks. The nuclear genomes of a homozygous doubled-monoploid potato clone (DM) and a heterozygous diploid clone (RH) have been sequenced in 2011. However, common potato cultivars display a highly heterozygous autotetraploid genome thus complicating target design for tetra-allelic gene editing. Here, we report on the SNP physical map of the widely used Solanum tuberosum L. cv. Desiree and on the position of the diverse indels providing an essential tool for target design in genome editing approaches. We used this tool for designing a specific gRNA and successfully knocking-out a newly discovered starch synthase gene (SS6) in potato. Resequencing data are publicly available at the Sequence Read Archive of the NCBI (accession number: PRJNA507597) and will represent a valuable resource for functional genomic studies of various metabolic pathways, cell and plant physiology as well as high-throughput reverse genetics in potato.","container-title":"Scientific Reports","DOI":"10.1038/s41598-020-58985-6","ISSN":"2045-2322","issue":"1","journalAbbreviation":"Scientific Reports","page":"2045","title":"Facilitating gene editing in potato: a Single-Nucleotide Polymorphism (SNP) map of the Solanum tuberosum L. cv. Desiree genome","volume":"10","author":[{"family":"Sevestre","given":"François"},{"family":"Facon","given":"Maud"},{"family":"Wattebled","given":"Fabrice"},{"family":"Szydlowski","given":"Nicolas"}],"issued":{"date-parts":[["2020",2,6]]}}}],"schema":"https://github.com/citation-style-language/schema/raw/master/csl-citation.json"} </w:instrText>
            </w:r>
            <w:r w:rsidRPr="004E4ECA">
              <w:rPr>
                <w:sz w:val="20"/>
                <w:szCs w:val="20"/>
              </w:rPr>
              <w:fldChar w:fldCharType="separate"/>
            </w:r>
            <w:r w:rsidRPr="004E4ECA">
              <w:rPr>
                <w:noProof/>
                <w:sz w:val="20"/>
                <w:szCs w:val="20"/>
              </w:rPr>
              <w:t>(Sevestre et al., 2020)</w:t>
            </w:r>
            <w:r w:rsidRPr="004E4ECA">
              <w:rPr>
                <w:sz w:val="20"/>
                <w:szCs w:val="20"/>
              </w:rPr>
              <w:fldChar w:fldCharType="end"/>
            </w:r>
          </w:p>
        </w:tc>
      </w:tr>
      <w:tr w:rsidR="00FE7BA2" w:rsidRPr="00832130" w14:paraId="67AB8467"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4960C9CC" w14:textId="77777777" w:rsidR="00FE7BA2" w:rsidRPr="004E4ECA" w:rsidRDefault="00FE7BA2" w:rsidP="00FE7BA2">
            <w:pPr>
              <w:rPr>
                <w:sz w:val="20"/>
                <w:szCs w:val="20"/>
              </w:rPr>
            </w:pPr>
          </w:p>
        </w:tc>
        <w:tc>
          <w:tcPr>
            <w:tcW w:w="2340" w:type="dxa"/>
          </w:tcPr>
          <w:p w14:paraId="212A7B4A" w14:textId="640BCB03"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T, (no transgene free)</w:t>
            </w:r>
          </w:p>
        </w:tc>
        <w:tc>
          <w:tcPr>
            <w:tcW w:w="3780" w:type="dxa"/>
          </w:tcPr>
          <w:p w14:paraId="75C89A19" w14:textId="113D14F8"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2BCCB794" w14:textId="46D1D2D7" w:rsidR="00FE7BA2" w:rsidRPr="004E4ECA" w:rsidRDefault="00367770"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{"citationID":"dIoUVXPQ","properties":{"formattedCitation":"(B\\uc0\\u225{}nfalvi et al., 2020)","plainCitation":"(Bánfalvi et al., 2020)","noteIndex":0},"citationItems":[{"id":80,"uris":["http://zotero.org/users/local/ftZVc0Fk/items/P4HEJIPH"],"uri":["http://zotero.org/users/local/ftZVc0Fk/items/P4HEJIPH"],"itemData":{"id":80,"type":"article-journal","abstract":"Gene editing using the CRISPR/Cas9 system has become a routinely applied method in several plant species. The most convenient gene delivery system is Agrobacterium-mediated gene transfer with antibiotic selection and stable genomic integration of transgenes, including Cas9. For elimination of transgenes in the segregating progeny, selfing is applied in many plant species. This approach, however, cannot be widely employed in potato because most of the commercial potato cultivars are self-incompatible.","container-title":"BMC Biotechnology","DOI":"10.1186/s12896-020-00621-2","ISSN":"1472-6750","issue":"1","journalAbbreviation":"BMC Biotechnology","page":"25","title":"Generation of transgene-free PDS mutants in potato by Agrobacterium-mediated transformation","volume":"20","author":[{"family":"Bánfalvi","given":"Zsófia"},{"family":"Csákvári","given":"Edina"},{"family":"Villányi","given":"Vanda"},{"family":"Kondrák","given":"Mihály"}],"issued":{"date-parts":[["2020",5,12]]}}}],"schema":"https://github.com/citation-style-language/schema/raw/master/csl-citation.json"} </w:instrText>
            </w:r>
            <w:r w:rsidRPr="004E4ECA">
              <w:rPr>
                <w:sz w:val="20"/>
                <w:szCs w:val="20"/>
              </w:rPr>
              <w:fldChar w:fldCharType="separate"/>
            </w:r>
            <w:r w:rsidRPr="004E4ECA">
              <w:rPr>
                <w:rFonts w:ascii="Calibri" w:cs="Calibri"/>
                <w:sz w:val="20"/>
                <w:szCs w:val="20"/>
              </w:rPr>
              <w:t>(Bánfalvi et al., 2020)</w:t>
            </w:r>
            <w:r w:rsidRPr="004E4ECA">
              <w:rPr>
                <w:sz w:val="20"/>
                <w:szCs w:val="20"/>
              </w:rPr>
              <w:fldChar w:fldCharType="end"/>
            </w:r>
          </w:p>
        </w:tc>
      </w:tr>
      <w:tr w:rsidR="00FE7BA2" w:rsidRPr="00832130" w14:paraId="3F0C0A78"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FB85174" w14:textId="0F7499F8" w:rsidR="00FE7BA2" w:rsidRPr="004E4ECA" w:rsidRDefault="00FE7BA2" w:rsidP="00FE7BA2">
            <w:pPr>
              <w:rPr>
                <w:sz w:val="20"/>
                <w:szCs w:val="20"/>
              </w:rPr>
            </w:pPr>
            <w:r w:rsidRPr="004E4ECA">
              <w:rPr>
                <w:sz w:val="20"/>
                <w:szCs w:val="20"/>
              </w:rPr>
              <w:t>Sweet potato</w:t>
            </w:r>
            <w:r w:rsidRPr="004E4ECA">
              <w:rPr>
                <w:i/>
                <w:iCs/>
                <w:sz w:val="20"/>
                <w:szCs w:val="20"/>
              </w:rPr>
              <w:t xml:space="preserve"> (Ipomoea batatas)</w:t>
            </w:r>
          </w:p>
        </w:tc>
        <w:tc>
          <w:tcPr>
            <w:tcW w:w="2340" w:type="dxa"/>
          </w:tcPr>
          <w:p w14:paraId="5D19C0A8" w14:textId="07438B26"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000CE10" w14:textId="453DF24B"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GBSS1</w:t>
            </w:r>
            <w:r w:rsidRPr="004E4ECA">
              <w:rPr>
                <w:sz w:val="20"/>
                <w:szCs w:val="20"/>
              </w:rPr>
              <w:t>, starch content</w:t>
            </w:r>
          </w:p>
        </w:tc>
        <w:tc>
          <w:tcPr>
            <w:tcW w:w="3389" w:type="dxa"/>
          </w:tcPr>
          <w:p w14:paraId="79EE1E44" w14:textId="048C26C0" w:rsidR="00FE7BA2" w:rsidRPr="004E4ECA" w:rsidRDefault="003D339A"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{"citationID":"85VMTkdf","properties":{"formattedCitation":"(Wang et al., 2019)","plainCitation":"(Wang et al., 2019)","noteIndex":0},"citationItems":[{"id":69,"uris":["http://zotero.org/users/local/ftZVc0Fk/items/GVZQIE5U"],"uri":["http://zotero.org/users/local/ftZVc0Fk/items/GVZQIE5U"],"itemData":{"id":69,"type":"article-journal","abstract":"CRISPR/Cas9-mediated genome editing is a powerful technology that has been used for the genetic modification of a number of crop species. In order to evaluate the efficacy of CRISPR/Cas9 technology in the root crop, sweet potato (Ipomoea batatas), two starch biosynthetic pathway genes, IbGBSSI (encoding granule-bound starch synthase I), and IbSBEII (encoding starch branching enzyme II), were targeted in the starch-type cultivar Xushu22 and carotenoid-rich cultivar Taizhong6. I. batatas was transformed using a binary vector, in which the Cas9 gene is driven by the Arabidopsis AtUBQ promoter and the guide RNA is controlled by the Arabidopsis AtU6 promoter. A total of 72 Xushu22 and 35 Taizhong6 transgenic lines were generated and analyzed for mutations. The mutation efficiency was 62-92% with multi-allelic mutations in both cultivars. Most of the mutations were nucleotide substitutions that lead to amino acid changes and, less frequently, stop codons. In addition, short nucleotide insertions or deletions were also found in both IbGBSSI and IbSBEII. Furthermore, a 2658 bp deletion was found in one IbSBEII transgenic line. The total starch contents were not significantly changed in IbGBSSI- and IbSBEII-knockout transgenic lines compared to the wild-type control. However, in the allopolyploid sweet potato, the IbGBSSI-knockout reduced, while the IbSBEII-knockout increased, the amylose percentage. Our results demonstrate that CRISPR/Cas9 technology is an effective tool for the improvement of starch qualities in sweet potato and breeding of polyploid root crops.","archive":"PubMed","archive_location":"31547486","container-title":"International journal of molecular sciences","DOI":"10.3390/ijms20194702","ISSN":"1422-0067","issue":"19","journalAbbreviation":"Int J Mol Sci","language":"eng","note":"publisher: MDPI","page":"4702","title":"CRISPR/Cas9-Based Mutagenesis of Starch Biosynthetic Genes in Sweet Potato (Ipomoea Batatas) for the Improvement of Starch Quality","volume":"20","author":[{"family":"Wang","given":"Hongxia"},{"family":"Wu","given":"Yinliang"},{"family":"Zhang","given":"Yandi"},{"family":"Yang","given":"Jun"},{"family":"Fan","given":"Weijuan"},{"family":"Zhang","given":"Hui"},{"family":"Zhao","given":"Shanshan"},{"family":"Yuan","given":"Ling"},{"family":"Zhang","given":"Peng"}],"issued":{"date-parts":[["2019",9,23]]}},"locator":"20"}],"schema":"https://github.com/citation-style-language/schema/raw/master/csl-citation.json"} </w:instrText>
            </w:r>
            <w:r w:rsidRPr="004E4ECA">
              <w:rPr>
                <w:sz w:val="20"/>
                <w:szCs w:val="20"/>
              </w:rPr>
              <w:fldChar w:fldCharType="separate"/>
            </w:r>
            <w:r w:rsidRPr="004E4ECA">
              <w:rPr>
                <w:noProof/>
                <w:sz w:val="20"/>
                <w:szCs w:val="20"/>
              </w:rPr>
              <w:t>(Wang et al., 2019)</w:t>
            </w:r>
            <w:r w:rsidRPr="004E4ECA">
              <w:rPr>
                <w:sz w:val="20"/>
                <w:szCs w:val="20"/>
              </w:rPr>
              <w:fldChar w:fldCharType="end"/>
            </w:r>
          </w:p>
        </w:tc>
      </w:tr>
      <w:tr w:rsidR="00FE7BA2" w:rsidRPr="00832130" w14:paraId="5CA6FD72"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6176E2B" w14:textId="644F2272" w:rsidR="00FE7BA2" w:rsidRPr="004E4ECA" w:rsidRDefault="00FE7BA2" w:rsidP="00FE7BA2">
            <w:pPr>
              <w:rPr>
                <w:sz w:val="20"/>
                <w:szCs w:val="20"/>
              </w:rPr>
            </w:pPr>
            <w:r w:rsidRPr="004E4ECA">
              <w:rPr>
                <w:sz w:val="20"/>
                <w:szCs w:val="20"/>
              </w:rPr>
              <w:t>Blueberry (</w:t>
            </w:r>
            <w:r w:rsidRPr="004E4ECA">
              <w:rPr>
                <w:i/>
                <w:iCs/>
                <w:sz w:val="20"/>
                <w:szCs w:val="20"/>
              </w:rPr>
              <w:t>Vaccinium</w:t>
            </w:r>
            <w:r w:rsidRPr="004E4ECA">
              <w:rPr>
                <w:sz w:val="20"/>
                <w:szCs w:val="20"/>
              </w:rPr>
              <w:t>)</w:t>
            </w:r>
          </w:p>
        </w:tc>
        <w:tc>
          <w:tcPr>
            <w:tcW w:w="2340" w:type="dxa"/>
          </w:tcPr>
          <w:p w14:paraId="2BEA455C" w14:textId="1B4175BE"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 (</w:t>
            </w:r>
            <w:r w:rsidRPr="004E4ECA">
              <w:rPr>
                <w:i/>
                <w:iCs/>
                <w:sz w:val="20"/>
                <w:szCs w:val="20"/>
              </w:rPr>
              <w:t>in planta</w:t>
            </w:r>
            <w:r w:rsidRPr="004E4ECA">
              <w:rPr>
                <w:sz w:val="20"/>
                <w:szCs w:val="20"/>
              </w:rPr>
              <w:t>)</w:t>
            </w:r>
          </w:p>
        </w:tc>
        <w:tc>
          <w:tcPr>
            <w:tcW w:w="3780" w:type="dxa"/>
          </w:tcPr>
          <w:p w14:paraId="557396D0" w14:textId="4F76F35C"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CEN</w:t>
            </w:r>
            <w:r w:rsidRPr="004E4ECA">
              <w:rPr>
                <w:sz w:val="20"/>
                <w:szCs w:val="20"/>
              </w:rPr>
              <w:t xml:space="preserve">, flowering </w:t>
            </w:r>
          </w:p>
        </w:tc>
        <w:tc>
          <w:tcPr>
            <w:tcW w:w="3389" w:type="dxa"/>
          </w:tcPr>
          <w:p w14:paraId="4E6D92D6" w14:textId="32BA9A3F" w:rsidR="00FE7BA2" w:rsidRPr="004E4ECA" w:rsidRDefault="003D339A"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{"citationID":"OI90EaDx","properties":{"formattedCitation":"(Omori et al., 2021)","plainCitation":"(Omori et al., 2021)","noteIndex":0},"citationItems":[{"id":59,"uris":["http://zotero.org/users/local/ftZVc0Fk/items/IFYJ79Q5"],"uri":["http://zotero.org/users/local/ftZVc0Fk/items/IFYJ79Q5"],"itemData":{"id":59,"type":"article-journal","container-title":"The Journal of Horticultural Science and Biotechnology","DOI":"10.1080/14620316.2020.1822760","ISSN":"1462-0316","issue":"2","journalAbbreviation":"null","note":"publisher: Taylor &amp; Francis","page":"153-161","title":"Targeted mutagenesis of CENTRORADIALIS using CRISPR/Cas9 system through the improvement of genetic transformation efficiency of tetraploid highbush blueberry","volume":"96","author":[{"family":"Omori","given":"Masafumi"},{"family":"Yamane","given":"Hisayo"},{"family":"Osakabe","given":"Keishi"},{"family":"Osakabe","given":"Yuriko"},{"family":"Tao","given":"Ryutaro"}],"issued":{"date-parts":[["2021",3,4]]}}}],"schema":"https://github.com/citation-style-language/schema/raw/master/csl-citation.json"} </w:instrText>
            </w:r>
            <w:r w:rsidRPr="004E4ECA">
              <w:rPr>
                <w:sz w:val="20"/>
                <w:szCs w:val="20"/>
              </w:rPr>
              <w:fldChar w:fldCharType="separate"/>
            </w:r>
            <w:r w:rsidRPr="004E4ECA">
              <w:rPr>
                <w:noProof/>
                <w:sz w:val="20"/>
                <w:szCs w:val="20"/>
              </w:rPr>
              <w:t>(Omori et al., 2021)</w:t>
            </w:r>
            <w:r w:rsidRPr="004E4ECA">
              <w:rPr>
                <w:sz w:val="20"/>
                <w:szCs w:val="20"/>
              </w:rPr>
              <w:fldChar w:fldCharType="end"/>
            </w:r>
          </w:p>
        </w:tc>
      </w:tr>
      <w:tr w:rsidR="00FE7BA2" w:rsidRPr="00832130" w14:paraId="3FC1F5AC"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D95E404" w14:textId="038EB04F" w:rsidR="00FE7BA2" w:rsidRPr="004E4ECA" w:rsidRDefault="00FE7BA2" w:rsidP="00FE7BA2">
            <w:pPr>
              <w:rPr>
                <w:sz w:val="20"/>
                <w:szCs w:val="20"/>
              </w:rPr>
            </w:pPr>
            <w:r w:rsidRPr="004E4ECA">
              <w:rPr>
                <w:sz w:val="20"/>
                <w:szCs w:val="20"/>
              </w:rPr>
              <w:t>Strawberry (</w:t>
            </w:r>
            <w:r w:rsidRPr="004E4ECA">
              <w:rPr>
                <w:i/>
                <w:iCs/>
                <w:sz w:val="20"/>
                <w:szCs w:val="20"/>
              </w:rPr>
              <w:t>Fragraria</w:t>
            </w:r>
            <w:r w:rsidRPr="004E4ECA">
              <w:rPr>
                <w:sz w:val="20"/>
                <w:szCs w:val="20"/>
              </w:rPr>
              <w:t>)</w:t>
            </w:r>
          </w:p>
        </w:tc>
        <w:tc>
          <w:tcPr>
            <w:tcW w:w="2340" w:type="dxa"/>
          </w:tcPr>
          <w:p w14:paraId="6A593A8D" w14:textId="1D9C8FEC"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7C282FE6" w14:textId="528092A9"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RAP</w:t>
            </w:r>
            <w:r w:rsidRPr="004E4ECA">
              <w:rPr>
                <w:sz w:val="20"/>
                <w:szCs w:val="20"/>
              </w:rPr>
              <w:t>, anthocyanin</w:t>
            </w:r>
          </w:p>
        </w:tc>
        <w:tc>
          <w:tcPr>
            <w:tcW w:w="3389" w:type="dxa"/>
          </w:tcPr>
          <w:p w14:paraId="2CC29459" w14:textId="6576A60E" w:rsidR="00FE7BA2" w:rsidRPr="004E4ECA" w:rsidRDefault="003D339A"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{"citationID":"Z7OyOeSN","properties":{"formattedCitation":"(Gao et al., 2020)","plainCitation":"(Gao et al., 2020)","noteIndex":0},"citationItems":[{"id":49,"uris":["http://zotero.org/users/local/ftZVc0Fk/items/GXCENV4P"],"uri":["http://zotero.org/users/local/ftZVc0Fk/items/GXCENV4P"],"itemData":{"id":49,"type":"article-journal","abstract":"Summary Fruit colour affects consumer preference and is an important trait for breeding in strawberry. Previously, we isolated the Reduced Anthocyanins in Petioles (RAP) gene encoding a glutathione S-transferase (GST) that binds anthocyanins to facilitate their transport from cytosol to vacuole in the diploid strawberry Fragaria vesca. The parent of rap was the F. vesca variety ?Yellow Wonder? that develops white fruit due to a natural mutation in the FveMYB10 gene. Here, we investigated the application potential of RAP in modulating fruit colours by overexpression of RAP in F. vesca and knockout of RAP in the cultivated strawberry Fragaria ? ananassa. Unexpectedly, the RAP overexpression in Yellow Wonder background caused formation of red fruit. In addition, the red coloration occurs precociously at floral stage 10 and continues in the receptacle during early fruit development. Transcriptome analysis revealed that the anthocyanin biosynthesis genes were not up-regulated in RAP-ox; rap myb10 flowers at anthesis and largely inhibited at the turning stage in fruit, suggesting a coloration mechanism independent of FveMYB10. Moreover, we used CRISPR/Cas9 to knockout RAP in cultivated strawberry which is octoploid. Six copies of RAP were simultaneously knocked out in the T0 generation leading to the green stem and white-fruited phenotype. Several T1 progeny have segregated away the CRISPR/Cas9 transgene but maintain the green stem trait. Our results indicate that enhancing the anthocyanin transport could redirect the metabolic flux from proanthocyanidin to anthocyanin production at early developmental stages of fruit and that RAP is one promising candidate gene in fruit colour breeding of strawberry.","container-title":"Plant Biotechnology Journal","DOI":"10.1111/pbi.13317","ISSN":"1467-7644","issue":"7","journalAbbreviation":"Plant Biotechnology Journal","note":"publisher: John Wiley &amp; Sons, Ltd","page":"1550-1561","title":"Genetic modulation of RAP alters fruit coloration in both wild and cultivated strawberry","volume":"18","author":[{"family":"Gao","given":"Qi"},{"family":"Luo","given":"Huifeng"},{"family":"Li","given":"Yongping"},{"family":"Liu","given":"Zhongchi"},{"family":"Kang","given":"Chunying"}],"issued":{"date-parts":[["2020",7,1]]}}}],"schema":"https://github.com/citation-style-language/schema/raw/master/csl-citation.json"} </w:instrText>
            </w:r>
            <w:r w:rsidRPr="004E4ECA">
              <w:rPr>
                <w:sz w:val="20"/>
                <w:szCs w:val="20"/>
              </w:rPr>
              <w:fldChar w:fldCharType="separate"/>
            </w:r>
            <w:r w:rsidRPr="004E4ECA">
              <w:rPr>
                <w:noProof/>
                <w:sz w:val="20"/>
                <w:szCs w:val="20"/>
              </w:rPr>
              <w:t>(Gao et al., 2020)</w:t>
            </w:r>
            <w:r w:rsidRPr="004E4ECA">
              <w:rPr>
                <w:sz w:val="20"/>
                <w:szCs w:val="20"/>
              </w:rPr>
              <w:fldChar w:fldCharType="end"/>
            </w:r>
          </w:p>
        </w:tc>
      </w:tr>
      <w:tr w:rsidR="00FE7BA2" w:rsidRPr="00832130" w14:paraId="295DB79E"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4A2A3C9" w14:textId="77777777" w:rsidR="00FE7BA2" w:rsidRPr="004E4ECA" w:rsidRDefault="00FE7BA2" w:rsidP="00FE7BA2">
            <w:pPr>
              <w:rPr>
                <w:sz w:val="20"/>
                <w:szCs w:val="20"/>
              </w:rPr>
            </w:pPr>
          </w:p>
        </w:tc>
        <w:tc>
          <w:tcPr>
            <w:tcW w:w="2340" w:type="dxa"/>
          </w:tcPr>
          <w:p w14:paraId="6E720B37" w14:textId="14CDEE34"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28253BD6" w14:textId="23A404CF"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TAA1</w:t>
            </w:r>
            <w:r w:rsidRPr="004E4ECA">
              <w:rPr>
                <w:sz w:val="20"/>
                <w:szCs w:val="20"/>
              </w:rPr>
              <w:t xml:space="preserve">, </w:t>
            </w:r>
            <w:r w:rsidRPr="004E4ECA">
              <w:rPr>
                <w:i/>
                <w:iCs/>
                <w:sz w:val="20"/>
                <w:szCs w:val="20"/>
              </w:rPr>
              <w:t>ARF8</w:t>
            </w:r>
            <w:r w:rsidRPr="004E4ECA">
              <w:rPr>
                <w:sz w:val="20"/>
                <w:szCs w:val="20"/>
              </w:rPr>
              <w:t>, auxin signaling</w:t>
            </w:r>
          </w:p>
        </w:tc>
        <w:tc>
          <w:tcPr>
            <w:tcW w:w="3389" w:type="dxa"/>
          </w:tcPr>
          <w:p w14:paraId="37754826" w14:textId="7A653D2C" w:rsidR="00FE7BA2" w:rsidRPr="004E4ECA" w:rsidRDefault="003D339A"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{"citationID":"CoFyjCu7","properties":{"formattedCitation":"(Zhou et al., 2018)","plainCitation":"(Zhou et al., 2018)","noteIndex":0},"citationItems":[{"id":51,"uris":["http://zotero.org/users/local/ftZVc0Fk/items/RCRYLU96"],"uri":["http://zotero.org/users/local/ftZVc0Fk/items/RCRYLU96"],"itemData":{"id":51,"type":"article-journal","abstract":"Summary The clustered regularly interspaced short palindromic repeats (CRISPR)?Cas9 system is an effective genome editing tool for plant and animal genomes. However, there are still few reports on the successful application of CRISPR?Cas9 to horticultural plants, especially with regard to germ-line transmission of targeted mutations. Here, we report high-efficiency genome editing in the wild strawberry Fragaria vesca and its successful application to mutate the auxin biosynthesis gene TAA1 and auxin response factor 8 (ARF8). In our CRISPR system, the Arabidopsis U6 promoter AtU6-26 and the wild strawberry U6 promoter FveU6-2 were each used to drive the expression of sgRNA, and both promoters were shown to lead to high-efficiency genome editing in strawberry. To test germ-line transmission of the edited mutations and new mutations induced in the next generation, the progeny of the primary (T0) transgenic plants carrying the CRISPR construct was analysed. New mutations were detected in the progeny plants at a high efficiency, including large deletions between the two PAM sites. Further, T1 plants harbouring arf8 homozygous knockout mutations grew considerably faster than wild-type plants. The results indicate that our CRISPR vectors can be used to edit the wild strawberry genome at a high efficiency and that both sgRNA design and appropriate U6 promoters contribute to the success of genomic editing. Our results open up exciting opportunities for engineering strawberry and related horticultural crops to improve traits of economic importance.","container-title":"Plant Biotechnology Journal","DOI":"10.1111/pbi.12922","ISSN":"1467-7644","issue":"11","journalAbbreviation":"Plant Biotechnology Journal","note":"publisher: John Wiley &amp; Sons, Ltd","page":"1868-1877","title":"Efficient genome editing of wild strawberry genes, vector development and validation","volume":"16","author":[{"family":"Zhou","given":"Junhui"},{"family":"Wang","given":"Guoming"},{"family":"Liu","given":"Zhongchi"}],"issued":{"date-parts":[["2018",11,1]]}}}],"schema":"https://github.com/citation-style-language/schema/raw/master/csl-citation.json"} </w:instrText>
            </w:r>
            <w:r w:rsidRPr="004E4ECA">
              <w:rPr>
                <w:sz w:val="20"/>
                <w:szCs w:val="20"/>
              </w:rPr>
              <w:fldChar w:fldCharType="separate"/>
            </w:r>
            <w:r w:rsidRPr="004E4ECA">
              <w:rPr>
                <w:noProof/>
                <w:sz w:val="20"/>
                <w:szCs w:val="20"/>
              </w:rPr>
              <w:t>(Zhou et al., 2018)</w:t>
            </w:r>
            <w:r w:rsidRPr="004E4ECA">
              <w:rPr>
                <w:sz w:val="20"/>
                <w:szCs w:val="20"/>
              </w:rPr>
              <w:fldChar w:fldCharType="end"/>
            </w:r>
          </w:p>
        </w:tc>
      </w:tr>
      <w:tr w:rsidR="00FE7BA2" w:rsidRPr="00832130" w14:paraId="1CA937DE"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FF601F7" w14:textId="77777777" w:rsidR="00FE7BA2" w:rsidRPr="004E4ECA" w:rsidRDefault="00FE7BA2" w:rsidP="00FE7BA2">
            <w:pPr>
              <w:rPr>
                <w:sz w:val="20"/>
                <w:szCs w:val="20"/>
              </w:rPr>
            </w:pPr>
          </w:p>
        </w:tc>
        <w:tc>
          <w:tcPr>
            <w:tcW w:w="2340" w:type="dxa"/>
          </w:tcPr>
          <w:p w14:paraId="5BB6491B" w14:textId="6356DD03"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7B1F6B9E" w14:textId="6F0C462D"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7F70924B" w14:textId="182A13E9" w:rsidR="00FE7BA2" w:rsidRPr="004E4ECA" w:rsidRDefault="003D339A"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{"citationID":"9ySC4faG","properties":{"formattedCitation":"(Wilson et al., 2019)","plainCitation":"(Wilson et al., 2019)","noteIndex":0},"citationItems":[{"id":53,"uris":["http://zotero.org/users/local/ftZVc0Fk/items/8H9VDZ5T"],"uri":["http://zotero.org/users/local/ftZVc0Fk/items/8H9VDZ5T"],"itemData":{"id":53,"type":"article-journal","abstract":"Gene editing using CRISPR/Cas9 is a simple and powerful tool for elucidating genetic controls and for crop improvement and its use has been reported in a growing number of important food crops, including recently Fragaria. In order to inform application of the technology in Fragaria, we targeted the visible endogenous marker gene PDS (phytoene desaturase) in diploid Fragaria vesca ssp. vesca ‘Hawaii 4’ and octoploid F. × ananassa ‘Calypso’.","container-title":"Plant Methods","DOI":"10.1186/s13007-019-0428-6","ISSN":"1746-4811","issue":"1","journalAbbreviation":"Plant Methods","page":"45","title":"CRISPR/Cas9-mediated mutagenesis of phytoene desaturase in diploid and octoploid strawberry","volume":"15","author":[{"family":"Wilson","given":"Fiona M."},{"family":"Harrison","given":"Kate"},{"family":"Armitage","given":"Andrew D."},{"family":"Simkin","given":"Andrew J."},{"family":"Harrison","given":"Richard J."}],"issued":{"date-parts":[["2019",5,2]]}}}],"schema":"https://github.com/citation-style-language/schema/raw/master/csl-citation.json"} </w:instrText>
            </w:r>
            <w:r w:rsidRPr="004E4ECA">
              <w:rPr>
                <w:sz w:val="20"/>
                <w:szCs w:val="20"/>
              </w:rPr>
              <w:fldChar w:fldCharType="separate"/>
            </w:r>
            <w:r w:rsidRPr="004E4ECA">
              <w:rPr>
                <w:noProof/>
                <w:sz w:val="20"/>
                <w:szCs w:val="20"/>
              </w:rPr>
              <w:t>(Wilson et al., 2019)</w:t>
            </w:r>
            <w:r w:rsidRPr="004E4ECA">
              <w:rPr>
                <w:sz w:val="20"/>
                <w:szCs w:val="20"/>
              </w:rPr>
              <w:fldChar w:fldCharType="end"/>
            </w:r>
          </w:p>
        </w:tc>
      </w:tr>
      <w:tr w:rsidR="00FE7BA2" w:rsidRPr="00832130" w14:paraId="384F3D34"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CB19542" w14:textId="77777777" w:rsidR="00FE7BA2" w:rsidRPr="004E4ECA" w:rsidRDefault="00FE7BA2" w:rsidP="00FE7BA2">
            <w:pPr>
              <w:rPr>
                <w:sz w:val="20"/>
                <w:szCs w:val="20"/>
              </w:rPr>
            </w:pPr>
          </w:p>
        </w:tc>
        <w:tc>
          <w:tcPr>
            <w:tcW w:w="2340" w:type="dxa"/>
          </w:tcPr>
          <w:p w14:paraId="13B7C6FE" w14:textId="12ABE5B2"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0C59B2BA" w14:textId="692D8749"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MYB10, CHS,</w:t>
            </w:r>
            <w:r w:rsidRPr="004E4ECA">
              <w:rPr>
                <w:sz w:val="20"/>
                <w:szCs w:val="20"/>
              </w:rPr>
              <w:t xml:space="preserve"> anthocyanins</w:t>
            </w:r>
          </w:p>
        </w:tc>
        <w:tc>
          <w:tcPr>
            <w:tcW w:w="3389" w:type="dxa"/>
          </w:tcPr>
          <w:p w14:paraId="682A42BD" w14:textId="5524EA22" w:rsidR="00FE7BA2" w:rsidRPr="004E4ECA" w:rsidRDefault="003D339A"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{"citationID":"96HwsJLh","properties":{"formattedCitation":"(Xing et al., 2018)","plainCitation":"(Xing et al., 2018)","noteIndex":0},"citationItems":[{"id":54,"uris":["http://zotero.org/users/local/ftZVc0Fk/items/89V9B2QC"],"uri":["http://zotero.org/users/local/ftZVc0Fk/items/89V9B2QC"],"itemData":{"id":54,"type":"article-journal","container-title":"Journal of Genetics and Genomics","DOI":"10.1016/j.jgg.2018.04.006","ISSN":"1673-8527","issue":"12","journalAbbreviation":"Journal of Genetics and Genomics","page":"685-687","title":"CRISPR/Cas9-introduced single and multiple mutagenesis in strawberry","volume":"45","author":[{"family":"Xing","given":"Sinian"},{"family":"Jia","given":"Meiru"},{"family":"Wei","given":"Lingzhi"},{"family":"Mao","given":"Wenwen"},{"family":"Abbasi","given":"Usman Ali"},{"family":"Zhao","given":"Yaoyao"},{"family":"Chen","given":"Yating"},{"family":"Cao","given":"Minglin"},{"family":"Zhang","given":"Kai"},{"family":"Dai","given":"Zhengrong"},{"family":"Dou","given":"Zhechao"},{"family":"Jia","given":"Wensuo"},{"family":"Li","given":"Bingbing"}],"issued":{"date-parts":[["2018",12,20]]}}}],"schema":"https://github.com/citation-style-language/schema/raw/master/csl-citation.json"} </w:instrText>
            </w:r>
            <w:r w:rsidRPr="004E4ECA">
              <w:rPr>
                <w:sz w:val="20"/>
                <w:szCs w:val="20"/>
              </w:rPr>
              <w:fldChar w:fldCharType="separate"/>
            </w:r>
            <w:r w:rsidRPr="004E4ECA">
              <w:rPr>
                <w:noProof/>
                <w:sz w:val="20"/>
                <w:szCs w:val="20"/>
              </w:rPr>
              <w:t>(Xing et al., 2018)</w:t>
            </w:r>
            <w:r w:rsidRPr="004E4ECA">
              <w:rPr>
                <w:sz w:val="20"/>
                <w:szCs w:val="20"/>
              </w:rPr>
              <w:fldChar w:fldCharType="end"/>
            </w:r>
          </w:p>
        </w:tc>
      </w:tr>
      <w:tr w:rsidR="00FE7BA2" w:rsidRPr="00832130" w14:paraId="5871ADF0"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8E5398C" w14:textId="77777777" w:rsidR="00FE7BA2" w:rsidRPr="004E4ECA" w:rsidRDefault="00FE7BA2" w:rsidP="00FE7BA2">
            <w:pPr>
              <w:rPr>
                <w:sz w:val="20"/>
                <w:szCs w:val="20"/>
              </w:rPr>
            </w:pPr>
          </w:p>
        </w:tc>
        <w:tc>
          <w:tcPr>
            <w:tcW w:w="2340" w:type="dxa"/>
          </w:tcPr>
          <w:p w14:paraId="7CDD819A" w14:textId="21531090"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58C1F7AA" w14:textId="415A6B3C"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FH3</w:t>
            </w:r>
            <w:r w:rsidRPr="004E4ECA">
              <w:rPr>
                <w:sz w:val="20"/>
                <w:szCs w:val="20"/>
              </w:rPr>
              <w:t>, anthocyanin</w:t>
            </w:r>
          </w:p>
        </w:tc>
        <w:tc>
          <w:tcPr>
            <w:tcW w:w="3389" w:type="dxa"/>
          </w:tcPr>
          <w:p w14:paraId="24472561" w14:textId="43C07B0A" w:rsidR="00FE7BA2" w:rsidRPr="004E4ECA" w:rsidRDefault="003D339A"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{"citationID":"3l8bRMPo","properties":{"formattedCitation":"(Alvin, 2020)","plainCitation":"(Alvin, 2020)","noteIndex":0},"citationItems":[{"id":299,"uris":["http://zotero.org/users/local/ftZVc0Fk/items/QGPEBS5T"],"uri":["http://zotero.org/users/local/ftZVc0Fk/items/QGPEBS5T"],"itemData":{"id":299,"type":"thesis","event-place":"Ås, NO","publisher":"Norwegian University of Life Sciences","publisher-place":"Ås, NO","title":"Gene Editing of Cultivated and Wild Strawberry (Fragaria x ananassa and Fragaria vesca) with CRISPR/Cas9 Knocking out F3H","author":[{"family":"Alvin","given":"Carl-Henrik L."}],"issued":{"date-parts":[["2020"]]}}}],"schema":"https://github.com/citation-style-language/schema/raw/master/csl-citation.json"} </w:instrText>
            </w:r>
            <w:r w:rsidRPr="004E4ECA">
              <w:rPr>
                <w:sz w:val="20"/>
                <w:szCs w:val="20"/>
              </w:rPr>
              <w:fldChar w:fldCharType="separate"/>
            </w:r>
            <w:r w:rsidRPr="004E4ECA">
              <w:rPr>
                <w:noProof/>
                <w:sz w:val="20"/>
                <w:szCs w:val="20"/>
              </w:rPr>
              <w:t>(Alvin, 2020)</w:t>
            </w:r>
            <w:r w:rsidRPr="004E4ECA">
              <w:rPr>
                <w:sz w:val="20"/>
                <w:szCs w:val="20"/>
              </w:rPr>
              <w:fldChar w:fldCharType="end"/>
            </w:r>
          </w:p>
        </w:tc>
      </w:tr>
      <w:tr w:rsidR="00FE7BA2" w:rsidRPr="00832130" w14:paraId="766A4AE9"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162EF95" w14:textId="77777777" w:rsidR="00FE7BA2" w:rsidRPr="004E4ECA" w:rsidRDefault="00FE7BA2" w:rsidP="00FE7BA2">
            <w:pPr>
              <w:rPr>
                <w:sz w:val="20"/>
                <w:szCs w:val="20"/>
              </w:rPr>
            </w:pPr>
          </w:p>
        </w:tc>
        <w:tc>
          <w:tcPr>
            <w:tcW w:w="2340" w:type="dxa"/>
          </w:tcPr>
          <w:p w14:paraId="3B8DED30" w14:textId="567C8FF4"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ED11DE8" w14:textId="46B630D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AP3</w:t>
            </w:r>
            <w:r w:rsidRPr="004E4ECA">
              <w:rPr>
                <w:sz w:val="20"/>
                <w:szCs w:val="20"/>
              </w:rPr>
              <w:t>, flower development</w:t>
            </w:r>
          </w:p>
        </w:tc>
        <w:tc>
          <w:tcPr>
            <w:tcW w:w="3389" w:type="dxa"/>
          </w:tcPr>
          <w:p w14:paraId="47753475" w14:textId="374054F5" w:rsidR="00FE7BA2" w:rsidRPr="004E4ECA" w:rsidRDefault="003D339A"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{"citationID":"tJyReplq","properties":{"formattedCitation":"(Mart\\uc0\\u237{}n-Pizarro et al., 2019)","plainCitation":"(Martín-Pizarro et al., 2019)","noteIndex":0},"citationItems":[{"id":55,"uris":["http://zotero.org/users/local/ftZVc0Fk/items/XZDWM67Y"],"uri":["http://zotero.org/users/local/ftZVc0Fk/items/XZDWM67Y"],"itemData":{"id":55,"type":"article-journal","abstract":"The B-class of MADS-box transcription factors has been studied in many plant species, but remains functionally uncharacterized in Rosaceae. APETALA3 (AP3), a member of this class, controls petal and stamen identities in Arabidopsis. In this study, we identified two members of the AP3 lineage in cultivated strawberry, Fragaria × ananassa, namely FaAP3 and FaTM6. FaTM6, and not FaAP3, showed an expression pattern equivalent to that of AP3 in Arabidopsis. We used the CRISPR/Cas9 genome editing system for the first time in an octoploid species to characterize the function of TM6 in strawberry flower development. An analysis by high-throughput sequencing of the FaTM6 locus spanning the target sites showed highly efficient genome editing already present in the T0 generation. Phenotypic characterization of the mutant lines indicated that FaTM6 plays a key role in anther development in strawberry. Our results validate the use of the CRISPR/Cas9 system for gene functional analysis in F. × ananassa as an octoploid species, and offer new opportunities for engineering strawberry to improve traits of interest in breeding programs.","container-title":"Journal of Experimental Botany","DOI":"10.1093/jxb/ery400","ISSN":"0022-0957","issue":"3","journalAbbreviation":"Journal of Experimental Botany","page":"885-895","title":"Functional analysis of the TM6 MADS-box gene in the octoploid strawberry by CRISPR/Cas9-directed mutagenesis","volume":"70","author":[{"family":"Martín-Pizarro","given":"Carmen"},{"family":"Triviño","given":"Juan Carlos"},{"family":"Posé","given":"David"}],"issued":{"date-parts":[["2019",2,5]]}}}],"schema":"https://github.com/citation-style-language/schema/raw/master/csl-citation.json"} </w:instrText>
            </w:r>
            <w:r w:rsidRPr="004E4ECA">
              <w:rPr>
                <w:sz w:val="20"/>
                <w:szCs w:val="20"/>
              </w:rPr>
              <w:fldChar w:fldCharType="separate"/>
            </w:r>
            <w:r w:rsidRPr="004E4ECA">
              <w:rPr>
                <w:rFonts w:ascii="Calibri" w:cs="Calibri"/>
                <w:sz w:val="20"/>
                <w:szCs w:val="20"/>
              </w:rPr>
              <w:t>(Martín-Pizarro et al., 2019)</w:t>
            </w:r>
            <w:r w:rsidRPr="004E4ECA">
              <w:rPr>
                <w:sz w:val="20"/>
                <w:szCs w:val="20"/>
              </w:rPr>
              <w:fldChar w:fldCharType="end"/>
            </w:r>
          </w:p>
        </w:tc>
      </w:tr>
      <w:tr w:rsidR="00FE7BA2" w:rsidRPr="00832130" w14:paraId="6E251861"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1BA607A2" w14:textId="77777777" w:rsidR="00FE7BA2" w:rsidRPr="004E4ECA" w:rsidRDefault="00FE7BA2" w:rsidP="00FE7BA2">
            <w:pPr>
              <w:rPr>
                <w:sz w:val="20"/>
                <w:szCs w:val="20"/>
              </w:rPr>
            </w:pPr>
          </w:p>
        </w:tc>
        <w:tc>
          <w:tcPr>
            <w:tcW w:w="2340" w:type="dxa"/>
          </w:tcPr>
          <w:p w14:paraId="4B7F91EA" w14:textId="188BBE33"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780DA375" w14:textId="2FE252B5"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 xml:space="preserve">FvebZIPs1.1, </w:t>
            </w:r>
            <w:r w:rsidRPr="004E4ECA">
              <w:rPr>
                <w:sz w:val="20"/>
                <w:szCs w:val="20"/>
              </w:rPr>
              <w:t>sugar content</w:t>
            </w:r>
          </w:p>
        </w:tc>
        <w:tc>
          <w:tcPr>
            <w:tcW w:w="3389" w:type="dxa"/>
          </w:tcPr>
          <w:p w14:paraId="3E44BD75" w14:textId="46DDD240" w:rsidR="00FE7BA2" w:rsidRPr="004E4ECA" w:rsidRDefault="00D94FF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{"citationID":"qAqWSia6","properties":{"formattedCitation":"(Xing et al., 2020)","plainCitation":"(Xing et al., 2020)","noteIndex":0},"citationItems":[{"id":56,"uris":["http://zotero.org/users/local/ftZVc0Fk/items/L87669AH"],"uri":["http://zotero.org/users/local/ftZVc0Fk/items/L87669AH"],"itemData":{"id":56,"type":"article-journal","abstract":"Fine-tuning quantitative traits for continuous subtle phenotypes is highly advantageous. We engineer the highly conserved upstream open reading frame (uORF) of FvebZIPs1.1 in strawberry (Fragaria vesca), using base editor A3A-PBE. Seven novel alleles are generated. Sugar content of the homozygous T1 mutant lines is 33.9–83.6% higher than that of the wild-type. We also recover a series of transgene-free mutants with 35 novel genotypes containing a continuum of sugar content. All the novel genotypes could be immediately fixed in subsequent generations by asexual reproduction. Genome editing coupled with asexual reproduction offers tremendous opportunities for quantitative trait improvement.","container-title":"Genome Biology","DOI":"10.1186/s13059-020-02146-5","ISSN":"1474-760X","issue":"1","journalAbbreviation":"Genome Biology","page":"230","title":"Fine-tuning sugar content in strawberry","volume":"21","author":[{"family":"Xing","given":"Sinian"},{"family":"Chen","given":"Kunling"},{"family":"Zhu","given":"Haocheng"},{"family":"Zhang","given":"Rui"},{"family":"Zhang","given":"Huawei"},{"family":"Li","given":"Bingbing"},{"family":"Gao","given":"Caixia"}],"issued":{"date-parts":[["2020",9,3]]}}}],"schema":"https://github.com/citation-style-language/schema/raw/master/csl-citation.json"} </w:instrText>
            </w:r>
            <w:r w:rsidRPr="004E4ECA">
              <w:rPr>
                <w:sz w:val="20"/>
                <w:szCs w:val="20"/>
              </w:rPr>
              <w:fldChar w:fldCharType="separate"/>
            </w:r>
            <w:r w:rsidRPr="004E4ECA">
              <w:rPr>
                <w:noProof/>
                <w:sz w:val="20"/>
                <w:szCs w:val="20"/>
              </w:rPr>
              <w:t>(Xing et al., 2020)</w:t>
            </w:r>
            <w:r w:rsidRPr="004E4ECA">
              <w:rPr>
                <w:sz w:val="20"/>
                <w:szCs w:val="20"/>
              </w:rPr>
              <w:fldChar w:fldCharType="end"/>
            </w:r>
          </w:p>
        </w:tc>
      </w:tr>
      <w:tr w:rsidR="00FE7BA2" w:rsidRPr="00832130" w14:paraId="7CBFF8FF"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37B3EB7" w14:textId="77777777" w:rsidR="00FE7BA2" w:rsidRPr="004E4ECA" w:rsidRDefault="00FE7BA2" w:rsidP="00FE7BA2">
            <w:pPr>
              <w:rPr>
                <w:sz w:val="20"/>
                <w:szCs w:val="20"/>
              </w:rPr>
            </w:pPr>
          </w:p>
        </w:tc>
        <w:tc>
          <w:tcPr>
            <w:tcW w:w="2340" w:type="dxa"/>
          </w:tcPr>
          <w:p w14:paraId="1A21CC3F" w14:textId="799B2B0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1DA55798" w14:textId="2228283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YUC10</w:t>
            </w:r>
            <w:r w:rsidRPr="004E4ECA">
              <w:rPr>
                <w:sz w:val="20"/>
                <w:szCs w:val="20"/>
              </w:rPr>
              <w:t>, auxin biosynthesis</w:t>
            </w:r>
          </w:p>
        </w:tc>
        <w:tc>
          <w:tcPr>
            <w:tcW w:w="3389" w:type="dxa"/>
          </w:tcPr>
          <w:p w14:paraId="6B1E195D" w14:textId="70389855"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{"citationID":"GTzZICXo","properties":{"formattedCitation":"(Feng et al., 2019)","plainCitation":"(Feng et al., 2019)","noteIndex":0},"citationItems":[{"id":57,"uris":["http://zotero.org/users/local/ftZVc0Fk/items/J8GGA5I6"],"uri":["http://zotero.org/users/local/ftZVc0Fk/items/J8GGA5I6"],"itemData":{"id":57,"type":"article-journal","abstract":"The critical role of auxin in strawberry fruit set and receptacle enlargement was demonstrated previously. While fertilization is known to trigger auxin biosynthesis, the specific tissue source of fertilization-induced auxin is not well understood. Here, the auxin reporter DR5ver2::GUS was introduced into wild strawberry (Fragaria vesca) to reveal auxin distribution in the seed and fruit receptacle pre- and post-fertilization as well as in the root. In addition, the expression of TAR and YUCCA genes coding for enzymes catalysing the two-step auxin biosynthesis pathway was investigated using their respective promoters fused to the β-glucuronidase (GUS) reporter. Two FveTARs and four FveYUCs were shown to be expressed primarily in the endosperm and embryo inside the achenes as well as in root tips and lateral root primordia. Expression of these reporters in dissected tissues provided more detailed and precise spatial (cell and tissue) and temporal (pre- and post-fertilization) information on where auxin is synthesized and accumulates than previous studies in strawberry. Moreover, we generated CRISPR-mediated knock-out mutants of FveYUC10, the most abundant YUC in seeds; the mutants had a lower free auxin level in young fruit, but displayed no obvious morphological phenotypes. However, overexpression of FveYUC10 resulted in elongated hypocotyls in Arabidopsis caused by elevated auxin level. Overall, the study revealed auxin accumulation in the chalazal seed coat, embryo, receptacle vasculature, root tip, and lateral root primordia and highlighted the endosperm as the main auxin biosynthesis site for fruit set.","container-title":"Journal of Experimental Botany","DOI":"10.1093/jxb/ery384","ISSN":"0022-0957","issue":"2","journalAbbreviation":"Journal of Experimental Botany","page":"563-574","title":"Reporter gene expression reveals precise auxin synthesis sites during fruit and root development in wild strawberry","volume":"70","author":[{"family":"Feng","given":"Jia"},{"family":"Dai","given":"Cheng"},{"family":"Luo","given":"Huifeng"},{"family":"Han","given":"Yafan"},{"family":"Liu","given":"Zhongchi"},{"family":"Kang","given":"Chunying"}],"issued":{"date-parts":[["2019",1,7]]}}}],"schema":"https://github.com/citation-style-language/schema/raw/master/csl-citation.json"} </w:instrText>
            </w:r>
            <w:r w:rsidRPr="004E4ECA">
              <w:rPr>
                <w:sz w:val="20"/>
                <w:szCs w:val="20"/>
              </w:rPr>
              <w:fldChar w:fldCharType="separate"/>
            </w:r>
            <w:r w:rsidRPr="004E4ECA">
              <w:rPr>
                <w:noProof/>
                <w:sz w:val="20"/>
                <w:szCs w:val="20"/>
              </w:rPr>
              <w:t>(Feng et al., 2019)</w:t>
            </w:r>
            <w:r w:rsidRPr="004E4ECA">
              <w:rPr>
                <w:sz w:val="20"/>
                <w:szCs w:val="20"/>
              </w:rPr>
              <w:fldChar w:fldCharType="end"/>
            </w:r>
          </w:p>
        </w:tc>
      </w:tr>
      <w:tr w:rsidR="00FE7BA2" w:rsidRPr="00832130" w14:paraId="12D0A5B7"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776D66B7" w14:textId="77777777" w:rsidR="00FE7BA2" w:rsidRPr="004E4ECA" w:rsidRDefault="00FE7BA2" w:rsidP="00FE7BA2">
            <w:pPr>
              <w:rPr>
                <w:sz w:val="20"/>
                <w:szCs w:val="20"/>
              </w:rPr>
            </w:pPr>
          </w:p>
        </w:tc>
        <w:tc>
          <w:tcPr>
            <w:tcW w:w="2340" w:type="dxa"/>
          </w:tcPr>
          <w:p w14:paraId="3B0A6FE5" w14:textId="1D3368AE"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1A736FF2" w14:textId="0185C552"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i/>
                <w:iCs/>
                <w:sz w:val="20"/>
                <w:szCs w:val="20"/>
              </w:rPr>
            </w:pPr>
            <w:r w:rsidRPr="004E4ECA">
              <w:rPr>
                <w:i/>
                <w:iCs/>
                <w:sz w:val="20"/>
                <w:szCs w:val="20"/>
              </w:rPr>
              <w:t xml:space="preserve">GID1c, </w:t>
            </w:r>
            <w:r w:rsidRPr="004E4ECA">
              <w:rPr>
                <w:sz w:val="20"/>
                <w:szCs w:val="20"/>
              </w:rPr>
              <w:t>GA signalling</w:t>
            </w:r>
          </w:p>
        </w:tc>
        <w:tc>
          <w:tcPr>
            <w:tcW w:w="3389" w:type="dxa"/>
          </w:tcPr>
          <w:p w14:paraId="599A62E4" w14:textId="515E4D9E" w:rsidR="00FE7BA2" w:rsidRPr="004E4ECA" w:rsidRDefault="00D94FF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{"citationID":"cGY2R6QM","properties":{"formattedCitation":"(Zhou et al., 2020b)","plainCitation":"(Zhou et al., 2020b)","noteIndex":0},"citationItems":[{"id":58,"uris":["http://zotero.org/users/local/ftZVc0Fk/items/73J8PKQQ"],"uri":["http://zotero.org/users/local/ftZVc0Fk/items/73J8PKQQ"],"itemData":{"id":58,"type":"article-journal","abstract":"Unlike ovary-derived botanical fruits, strawberry (Fragaria x ananassa) is an accessory fruit derived from the receptacle, the stem tip subtending floral organs. Although both botanical and accessory fruits initiate development in response to auxin and gibberellic acid (GA) released from seeds, the downstream auxin and GA signaling mechanisms underlying accessory fruit development are presently unknown. We characterized GA and auxin signaling mutants in wild strawberry (Fragaria vesca) during early stage fruit development. While mutations in FveRGA1 and FveARF8 both led to the development of larger fruit, only mutations in FveRGA1 caused parthenocarpic fruit formation, suggesting FveRGA1 is a key regulator of fruit set. FveRGA1 mediated fertilization-induced GA signaling during accessory fruit initiation by repressing the expression of cell division and expansion genes and showed direct protein–protein interaction with FveARF8. Further, fvearf8 mutant fruits exhibited an enhanced response to auxin or GA application, and the increased response to GA was due to increased expression of FveGID1c coding for a putative GA receptor. The work reveals a crosstalk mechanism between FveARF8 in auxin signaling and FveGID1c in GA signaling. Together, our work provides functional insights into hormone signaling in an accessory fruit, broadens our understanding of fruit initiation in different fruit types, and lays the groundwork for future improvement of strawberry fruit productivity and quality.","container-title":"Plant Physiology","DOI":"10.1093/plphys/kiaa087","ISSN":"0032-0889","issue":"kiaa087","journalAbbreviation":"Plant Physiology","title":"Gibberellin and auxin signaling genes RGA1 and ARF8 repress accessory fruit initiation in diploid strawberry","URL":"https://doi.org/10.1093/plphys/kiaa087","author":[{"family":"Zhou","given":"Junhui"},{"family":"Sittmann","given":"John"},{"family":"Guo","given":"Lei"},{"family":"Xiao","given":"Yuwei"},{"family":"Huang","given":"Xiaolong"},{"family":"Pulapaka","given":"Anuhya"},{"family":"Liu","given":"Zhongchi"}],"accessed":{"date-parts":[["2021",3,5]]},"issued":{"date-parts":[["2020",12,30]]}}}],"schema":"https://github.com/citation-style-language/schema/raw/master/csl-citation.json"} </w:instrText>
            </w:r>
            <w:r w:rsidRPr="004E4ECA">
              <w:rPr>
                <w:sz w:val="20"/>
                <w:szCs w:val="20"/>
              </w:rPr>
              <w:fldChar w:fldCharType="separate"/>
            </w:r>
            <w:r w:rsidRPr="004E4ECA">
              <w:rPr>
                <w:noProof/>
                <w:sz w:val="20"/>
                <w:szCs w:val="20"/>
              </w:rPr>
              <w:t>(Zhou et al., 2020b)</w:t>
            </w:r>
            <w:r w:rsidRPr="004E4ECA">
              <w:rPr>
                <w:sz w:val="20"/>
                <w:szCs w:val="20"/>
              </w:rPr>
              <w:fldChar w:fldCharType="end"/>
            </w:r>
          </w:p>
        </w:tc>
      </w:tr>
      <w:tr w:rsidR="00FE7BA2" w:rsidRPr="00832130" w14:paraId="196A2218"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4C683FF" w14:textId="0B224CC4" w:rsidR="00FE7BA2" w:rsidRPr="004E4ECA" w:rsidRDefault="00FE7BA2" w:rsidP="00FE7BA2">
            <w:pPr>
              <w:rPr>
                <w:i/>
                <w:iCs/>
                <w:sz w:val="20"/>
                <w:szCs w:val="20"/>
              </w:rPr>
            </w:pPr>
            <w:r w:rsidRPr="004E4ECA">
              <w:rPr>
                <w:i/>
                <w:iCs/>
                <w:sz w:val="20"/>
                <w:szCs w:val="20"/>
              </w:rPr>
              <w:t>Eucalyptus</w:t>
            </w:r>
          </w:p>
        </w:tc>
        <w:tc>
          <w:tcPr>
            <w:tcW w:w="2340" w:type="dxa"/>
          </w:tcPr>
          <w:p w14:paraId="5EC2ADC5" w14:textId="3DE7B1AD"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6D913A20" w14:textId="068B28AC"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i/>
                <w:iCs/>
                <w:sz w:val="20"/>
                <w:szCs w:val="20"/>
              </w:rPr>
            </w:pPr>
            <w:r w:rsidRPr="004E4ECA">
              <w:rPr>
                <w:i/>
                <w:iCs/>
                <w:sz w:val="20"/>
                <w:szCs w:val="20"/>
              </w:rPr>
              <w:t xml:space="preserve">CCR1, IAA9A, </w:t>
            </w:r>
            <w:r w:rsidRPr="004E4ECA">
              <w:rPr>
                <w:sz w:val="20"/>
                <w:szCs w:val="20"/>
              </w:rPr>
              <w:t>lignin and auxin signaling</w:t>
            </w:r>
          </w:p>
        </w:tc>
        <w:tc>
          <w:tcPr>
            <w:tcW w:w="3389" w:type="dxa"/>
          </w:tcPr>
          <w:p w14:paraId="776FDC7A" w14:textId="34EC489E"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{"citationID":"iAGW9rii","properties":{"formattedCitation":"(Dai et al., 2020)","plainCitation":"(Dai et al., 2020)","noteIndex":0},"citationItems":[{"id":26,"uris":["http://zotero.org/users/local/ftZVc0Fk/items/4MLM4WNL"],"uri":["http://zotero.org/users/local/ftZVc0Fk/items/4MLM4WNL"],"itemData":{"id":26,"type":"article-journal","abstract":"Eucalypts are the most planted hardwoods worldwide. The availability of the Eucalyptus grandis genome highlighted many genes awaiting functional characterization, lagging behind because of the lack of efficient genetic transformation protocols. In order to efficiently generate knock-out mutants to study the function of eucalypts genes, we implemented the powerful CRISPR/Cas9 gene editing technology with the hairy roots transformation system. As proofs-of-concept, we targeted two wood-related genes: Cinnamoyl-CoA Reductase1 (CCR1), a key lignin biosynthetic gene and IAA9A an auxin dependent transcription factor of Aux/IAA family. Almost all transgenic hairy roots were edited but the allele-editing rates and spectra varied greatly depending on the gene targeted. Most edition events generated truncated proteins, the prevalent edition types were small deletions but large deletions were also quite frequent. By using a combination of FT-IR spectroscopy and multivariate analysis (partial least square analysis (PLS-DA)), we showed that the CCR1-edited lines, which were clearly separated from the controls. The most discriminant wave-numbers were attributed to lignin. Histochemical analyses further confirmed the decreased lignification and the presence of collapsed vessels in CCR1-edited lines, which are characteristics of CCR1 deficiency. Although the efficiency of editing could be improved, the method described here is already a powerful tool to functionally characterize eucalypts genes for both basic research and industry purposes.","container-title":"International Journal of Molecular Sciences","DOI":"10.3390/ijms21103408","ISSN":"1422-0067","issue":"10","title":"Implementing the CRISPR/Cas9 Technology in Eucalyptus Hairy Roots Using Wood-Related Genes","volume":"21","author":[{"family":"Dai","given":"Ying"},{"family":"Hu","given":"Guojian"},{"family":"Dupas","given":"Annabelle"},{"family":"Medina","given":"Luciano"},{"family":"Blandels","given":"Nils"},{"family":"San Clemente","given":"Hélène"},{"family":"Ladouce","given":"Nathalie"},{"family":"Badawi","given":"Myriam"},{"family":"Hernandez-Raquet","given":"Guillermina"},{"family":"Mounet","given":"Fabien"},{"family":"Grima-Pettenati","given":"Jacqueline"},{"family":"Cassan-Wang","given":"Hua"}],"issued":{"date-parts":[["2020"]]}}}],"schema":"https://github.com/citation-style-language/schema/raw/master/csl-citation.json"} </w:instrText>
            </w:r>
            <w:r w:rsidRPr="004E4ECA">
              <w:rPr>
                <w:sz w:val="20"/>
                <w:szCs w:val="20"/>
              </w:rPr>
              <w:fldChar w:fldCharType="separate"/>
            </w:r>
            <w:r w:rsidRPr="004E4ECA">
              <w:rPr>
                <w:noProof/>
                <w:sz w:val="20"/>
                <w:szCs w:val="20"/>
              </w:rPr>
              <w:t>(Dai et al., 2020)</w:t>
            </w:r>
            <w:r w:rsidRPr="004E4ECA">
              <w:rPr>
                <w:sz w:val="20"/>
                <w:szCs w:val="20"/>
              </w:rPr>
              <w:fldChar w:fldCharType="end"/>
            </w:r>
          </w:p>
        </w:tc>
      </w:tr>
      <w:tr w:rsidR="00FE7BA2" w:rsidRPr="004E4ECA" w14:paraId="72335E8C" w14:textId="77777777" w:rsidTr="00832130">
        <w:trPr>
          <w:gridAfter w:val="1"/>
          <w:cnfStyle w:val="000000100000" w:firstRow="0" w:lastRow="0" w:firstColumn="0" w:lastColumn="0" w:oddVBand="0" w:evenVBand="0" w:oddHBand="1" w:evenHBand="0" w:firstRowFirstColumn="0" w:firstRowLastColumn="0" w:lastRowFirstColumn="0" w:lastRowLastColumn="0"/>
          <w:wAfter w:w="3389" w:type="dxa"/>
          <w:trHeight w:val="229"/>
        </w:trPr>
        <w:tc>
          <w:tcPr>
            <w:cnfStyle w:val="001000000000" w:firstRow="0" w:lastRow="0" w:firstColumn="1" w:lastColumn="0" w:oddVBand="0" w:evenVBand="0" w:oddHBand="0" w:evenHBand="0" w:firstRowFirstColumn="0" w:firstRowLastColumn="0" w:lastRowFirstColumn="0" w:lastRowLastColumn="0"/>
            <w:tcW w:w="3595" w:type="dxa"/>
          </w:tcPr>
          <w:p w14:paraId="67930576" w14:textId="7718552C" w:rsidR="00FE7BA2" w:rsidRPr="004E4ECA" w:rsidRDefault="00FE7BA2" w:rsidP="00FE7BA2">
            <w:pPr>
              <w:rPr>
                <w:sz w:val="20"/>
                <w:szCs w:val="20"/>
              </w:rPr>
            </w:pPr>
            <w:r w:rsidRPr="004E4ECA">
              <w:rPr>
                <w:sz w:val="20"/>
                <w:szCs w:val="20"/>
              </w:rPr>
              <w:t>(MONOCOTS)</w:t>
            </w:r>
          </w:p>
        </w:tc>
        <w:tc>
          <w:tcPr>
            <w:tcW w:w="2340" w:type="dxa"/>
          </w:tcPr>
          <w:p w14:paraId="0E457535" w14:textId="7777777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p>
        </w:tc>
        <w:tc>
          <w:tcPr>
            <w:tcW w:w="3780" w:type="dxa"/>
          </w:tcPr>
          <w:p w14:paraId="19AE36F7" w14:textId="7777777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p>
        </w:tc>
      </w:tr>
      <w:tr w:rsidR="00FE7BA2" w:rsidRPr="00832130" w14:paraId="7F294579"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0C4582B4" w14:textId="0736BCEF" w:rsidR="00FE7BA2" w:rsidRPr="004E4ECA" w:rsidRDefault="00FE7BA2" w:rsidP="00FE7BA2">
            <w:pPr>
              <w:rPr>
                <w:sz w:val="20"/>
                <w:szCs w:val="20"/>
              </w:rPr>
            </w:pPr>
            <w:r w:rsidRPr="004E4ECA">
              <w:rPr>
                <w:sz w:val="20"/>
                <w:szCs w:val="20"/>
              </w:rPr>
              <w:t>Banana (</w:t>
            </w:r>
            <w:r w:rsidRPr="004E4ECA">
              <w:rPr>
                <w:i/>
                <w:iCs/>
                <w:sz w:val="20"/>
                <w:szCs w:val="20"/>
              </w:rPr>
              <w:t>Musa acuminata</w:t>
            </w:r>
            <w:r w:rsidRPr="004E4ECA">
              <w:rPr>
                <w:sz w:val="20"/>
                <w:szCs w:val="20"/>
              </w:rPr>
              <w:t>)</w:t>
            </w:r>
          </w:p>
        </w:tc>
        <w:tc>
          <w:tcPr>
            <w:tcW w:w="2340" w:type="dxa"/>
          </w:tcPr>
          <w:p w14:paraId="61B3F57A" w14:textId="5377EC9E"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FDD2B1A" w14:textId="09BA8473"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eBSOLV, disease resistance</w:t>
            </w:r>
          </w:p>
        </w:tc>
        <w:tc>
          <w:tcPr>
            <w:tcW w:w="3389" w:type="dxa"/>
          </w:tcPr>
          <w:p w14:paraId="72CB5FDB" w14:textId="33A03806"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{"citationID":"ZniQEzQy","properties":{"formattedCitation":"(Tripathi et al., 2019)","plainCitation":"(Tripathi et al., 2019)","noteIndex":0},"citationItems":[{"id":90,"uris":["http://zotero.org/users/local/ftZVc0Fk/items/RQNXMMK5"],"uri":["http://zotero.org/users/local/ftZVc0Fk/items/RQNXMMK5"],"itemData":{"id":90,"type":"article-journal","abstract":"Presence of the integrated endogenous banana streak virus (eBSV) in the B genome of plantain (AAB) is a major challenge for breeding and dissemination of hybrids. As the eBSV activates into infectious viral particles under stress, the progenitor Musa balbisiana and its derivants, having at least one B genome, cannot be used as parents for crop improvement. Here, we report a strategy to inactivate the eBSV by editing the virus sequences. The regenerated genome-edited events of Gonja Manjaya showed mutations in the targeted sites with the potential to prevent proper transcription or/and translational into functional viral proteins. Seventy-five percent of the edited events remained asymptomatic in comparison to the non-edited control plants under water stress conditions, confirming inactivation of eBSV into infectious viral particles. This study paves the way for the improvement of B genome germplasm and its use in breeding programs to produce hybrids that can be globally disseminated.","container-title":"Communications Biology","DOI":"10.1038/s42003-019-0288-7","ISSN":"2399-3642","issue":"1","journalAbbreviation":"Communications Biology","page":"46","title":"CRISPR/Cas9 editing of endogenous banana streak virus in the B genome of Musa spp. overcomes a major challenge in banana breeding","volume":"2","author":[{"family":"Tripathi","given":"Jaindra N."},{"family":"Ntui","given":"Valentine O."},{"family":"Ron","given":"Mily"},{"family":"Muiruri","given":"Samwel K."},{"family":"Britt","given":"Anne"},{"family":"Tripathi","given":"Leena"}],"issued":{"date-parts":[["2019",1,31]]}}}],"schema":"https://github.com/citation-style-language/schema/raw/master/csl-citation.json"} </w:instrText>
            </w:r>
            <w:r w:rsidRPr="004E4ECA">
              <w:rPr>
                <w:sz w:val="20"/>
                <w:szCs w:val="20"/>
              </w:rPr>
              <w:fldChar w:fldCharType="separate"/>
            </w:r>
            <w:r w:rsidRPr="004E4ECA">
              <w:rPr>
                <w:noProof/>
                <w:sz w:val="20"/>
                <w:szCs w:val="20"/>
              </w:rPr>
              <w:t>(Tripathi et al., 2019)</w:t>
            </w:r>
            <w:r w:rsidRPr="004E4ECA">
              <w:rPr>
                <w:sz w:val="20"/>
                <w:szCs w:val="20"/>
              </w:rPr>
              <w:fldChar w:fldCharType="end"/>
            </w:r>
          </w:p>
        </w:tc>
      </w:tr>
      <w:tr w:rsidR="00FE7BA2" w:rsidRPr="00832130" w14:paraId="49D27147"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6D40A55" w14:textId="77777777" w:rsidR="00FE7BA2" w:rsidRPr="004E4ECA" w:rsidRDefault="00FE7BA2" w:rsidP="00FE7BA2">
            <w:pPr>
              <w:rPr>
                <w:sz w:val="20"/>
                <w:szCs w:val="20"/>
              </w:rPr>
            </w:pPr>
          </w:p>
        </w:tc>
        <w:tc>
          <w:tcPr>
            <w:tcW w:w="2340" w:type="dxa"/>
          </w:tcPr>
          <w:p w14:paraId="1F9D3C64" w14:textId="461C122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6E22962D" w14:textId="5B021DE7"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3FE831FC" w14:textId="5E54FA28" w:rsidR="00FE7BA2" w:rsidRPr="004E4ECA" w:rsidRDefault="00D94FF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{"citationID":"JM98RwSg","properties":{"formattedCitation":"(Naim et al., 2018)","plainCitation":"(Naim et al., 2018)","noteIndex":0},"citationItems":[{"id":91,"uris":["http://zotero.org/users/local/ftZVc0Fk/items/X8QEP88L"],"uri":["http://zotero.org/users/local/ftZVc0Fk/items/X8QEP88L"],"itemData":{"id":91,"type":"article-journal","abstract":"Bananas are a staple food source and a major export commodity worldwide. The Cavendish dessert banana is a triploid AAA genome type and accounts for around 47% of global production. Being essentially sterile, genetic modification is perhaps the only pathway available to improve this cultivar. In this study, we used the CRISPR/Cas9 gene editing system to deliver a self-cleaving polycistronic guide RNA (gRNA) designed to target exon 1 of the Phytoene desaturase (PDS) gene in the Cavendish cultivar “Williams”. Genotyping of 19 independent events showed a 100% PDS modification rate primarily in the form of insertions (1–105 nt) or deletions (1–55 nt) (indels) at the predicted cleavage site. Tri-allelic disruptive modifications were observed in 63% of plants and resulted in both albinism and dwarfing. Pale green (16%) and wildtype green (21%) phenotypes generally correlated with in-frame indels in at least one of the three PDS alleles. Editing efficiency was dependent on both target site selection and Cas9 abundance. This is the first report of a highly effective CRISPR/Cas9 modification system using a polycistronic gRNA in Cavendish banana. Such an editing platform will be of considerable utility for the development of disease resistance and novel agro-traits in this commercially important cultivar into the future.","container-title":"Transgenic Research","DOI":"10.1007/s11248-018-0083-0","ISSN":"1573-9368","issue":"5","journalAbbreviation":"Transgenic Research","page":"451-460","title":"Gene editing the phytoene desaturase alleles of Cavendish banana using CRISPR/Cas9","volume":"27","author":[{"family":"Naim","given":"Fatima"},{"family":"Dugdale","given":"Benjamin"},{"family":"Kleidon","given":"Jennifer"},{"family":"Brinin","given":"Anthony"},{"family":"Shand","given":"Kylie"},{"family":"Waterhouse","given":"Peter"},{"family":"Dale","given":"James"}],"issued":{"date-parts":[["2018",10,1]]}}}],"schema":"https://github.com/citation-style-language/schema/raw/master/csl-citation.json"} </w:instrText>
            </w:r>
            <w:r w:rsidRPr="004E4ECA">
              <w:rPr>
                <w:sz w:val="20"/>
                <w:szCs w:val="20"/>
              </w:rPr>
              <w:fldChar w:fldCharType="separate"/>
            </w:r>
            <w:r w:rsidRPr="004E4ECA">
              <w:rPr>
                <w:noProof/>
                <w:sz w:val="20"/>
                <w:szCs w:val="20"/>
              </w:rPr>
              <w:t>(Naim et al., 2018)</w:t>
            </w:r>
            <w:r w:rsidRPr="004E4ECA">
              <w:rPr>
                <w:sz w:val="20"/>
                <w:szCs w:val="20"/>
              </w:rPr>
              <w:fldChar w:fldCharType="end"/>
            </w:r>
          </w:p>
        </w:tc>
      </w:tr>
      <w:tr w:rsidR="00FE7BA2" w:rsidRPr="00832130" w14:paraId="6528E301"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CB3EA20" w14:textId="77777777" w:rsidR="00FE7BA2" w:rsidRPr="004E4ECA" w:rsidRDefault="00FE7BA2" w:rsidP="00FE7BA2">
            <w:pPr>
              <w:rPr>
                <w:sz w:val="20"/>
                <w:szCs w:val="20"/>
              </w:rPr>
            </w:pPr>
          </w:p>
        </w:tc>
        <w:tc>
          <w:tcPr>
            <w:tcW w:w="2340" w:type="dxa"/>
          </w:tcPr>
          <w:p w14:paraId="5D299973" w14:textId="5C9AD77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1FF0CA17" w14:textId="3B48D635"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73858AC0" w14:textId="5608E288"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{"citationID":"tU7jxf2Q","properties":{"formattedCitation":"(Kaur et al., 2018)","plainCitation":"(Kaur et al., 2018)","noteIndex":0},"citationItems":[{"id":92,"uris":["http://zotero.org/users/local/ftZVc0Fk/items/EG4JR6SH"],"uri":["http://zotero.org/users/local/ftZVc0Fk/items/EG4JR6SH"],"itemData":{"id":92,"type":"article-journal","abstract":"The clustered regularly interspaced short palindromic repeats (CRISPR)/CRISPR-associated protein 9 (Cas9) has been reported for precise genome modification in many plants. In the current study, we demonstrate a successful mutation in phytoene desaturase (RAS-PDS) of banana cv. Rasthali using the CRISPR/Cas9 system. Two PDS genes were isolated from Rasthali (RAS-PDS1 and RAS-PDS2), and their protein sequence analysis confirmed that both PDS comprises conserved motifs for enzyme activity. Phylogenetic analysis of RAS-PDS1 and RAS-PDS2 revealed a close evolutionary relationship with other monocot species. The tissue-specific expression profile of RAS-PDS1 and RAS-PDS2 in Rasthali suggested differential regulation of the genes. A single 19-bp guide RNA (gRNA) was designed to target the conserved region of these two RAS-PDS and transformed with Cas9 in embryogenic cell suspension (ECS) cultures of cv. Rasthali. Complete albino and variegated phenotype were observed among regenerated plantlets. DNA sequencing of 13 plants confirmed the indels with 59% mutation frequency in RAS-PDS, suggesting activation of the non-homologous end-joining (NHEJ) pathway. The majority of mutations were either insertion (1–5) or deletion (1–4) of nucleotides near to protospacer adjacent motif (PAM). These mutations have created stop codons in RAS-PDS sequences which suggest premature termination of RAS-PDS protein synthesis. The decreased chlorophyll and total carotenoid contents were detected in mutant lines that revealed the functional disruption of both RAS-PDS genes. Our results demonstrate that genome editing through CRISPR/Cas9 can be applied as an efficient tool for banana genome modification.","container-title":"Functional &amp; Integrative Genomics","DOI":"10.1007/s10142-017-0577-5","ISSN":"1438-7948","issue":"1","journalAbbreviation":"Functional &amp; Integrative Genomics","page":"89-99","title":"CRISPR/Cas9-mediated efficient editing in phytoene desaturase (PDS) demonstrates precise manipulation in banana cv. Rasthali genome","volume":"18","author":[{"family":"Kaur","given":"Navneet"},{"family":"Alok","given":"Anshu"},{"literal":"Shivani"},{"family":"Kaur","given":"Navjot"},{"family":"Pandey","given":"Pankaj"},{"family":"Awasthi","given":"Praveen"},{"family":"Tiwari","given":"Siddharth"}],"issued":{"date-parts":[["2018",1,1]]}}}],"schema":"https://github.com/citation-style-language/schema/raw/master/csl-citation.json"} </w:instrText>
            </w:r>
            <w:r w:rsidRPr="004E4ECA">
              <w:rPr>
                <w:sz w:val="20"/>
                <w:szCs w:val="20"/>
              </w:rPr>
              <w:fldChar w:fldCharType="separate"/>
            </w:r>
            <w:r w:rsidRPr="004E4ECA">
              <w:rPr>
                <w:noProof/>
                <w:sz w:val="20"/>
                <w:szCs w:val="20"/>
              </w:rPr>
              <w:t>(Kaur et al., 2018)</w:t>
            </w:r>
            <w:r w:rsidRPr="004E4ECA">
              <w:rPr>
                <w:sz w:val="20"/>
                <w:szCs w:val="20"/>
              </w:rPr>
              <w:fldChar w:fldCharType="end"/>
            </w:r>
          </w:p>
        </w:tc>
      </w:tr>
      <w:tr w:rsidR="00FE7BA2" w:rsidRPr="00832130" w14:paraId="6CE269CC"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481E6787" w14:textId="77777777" w:rsidR="00FE7BA2" w:rsidRPr="004E4ECA" w:rsidRDefault="00FE7BA2" w:rsidP="00FE7BA2">
            <w:pPr>
              <w:rPr>
                <w:sz w:val="20"/>
                <w:szCs w:val="20"/>
              </w:rPr>
            </w:pPr>
          </w:p>
        </w:tc>
        <w:tc>
          <w:tcPr>
            <w:tcW w:w="2340" w:type="dxa"/>
          </w:tcPr>
          <w:p w14:paraId="51767F6F" w14:textId="3311E26D"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A03938D" w14:textId="1B33F38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LCYε, beta-carotene</w:t>
            </w:r>
          </w:p>
        </w:tc>
        <w:tc>
          <w:tcPr>
            <w:tcW w:w="3389" w:type="dxa"/>
          </w:tcPr>
          <w:p w14:paraId="064053FB" w14:textId="2552BEAF" w:rsidR="00FE7BA2" w:rsidRPr="004E4ECA" w:rsidRDefault="00D94FF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{"citationID":"Ti4jCSad","properties":{"formattedCitation":"(Kaur et al., 2020)","plainCitation":"(Kaur et al., 2020)","noteIndex":0},"citationItems":[{"id":93,"uris":["http://zotero.org/users/local/ftZVc0Fk/items/3TID74AR"],"uri":["http://zotero.org/users/local/ftZVc0Fk/items/3TID74AR"],"itemData":{"id":93,"type":"article-journal","abstract":"Banana is one of the most economically important fruit crops worldwide. Genetic improvement in banana is a challenging task due to its parthenocarpic nature and triploid genome. Genetic modification of crops via the CRISPR/Cas9 module has emerged as a promising tool to develop important traits. In the present work, a CRISPR/Cas9-based approach was used to develop the β-carotene-enriched Cavendish banana cultivar (cv.) Grand Naine (AAA genome). The fifth exon of the lycopene epsilon-cyclase (LCYε) gene was targeted. The targeting specificity of the designed guide-RNA was also tested by its ability to create indels in the LCYε gene at the A genome of cv. Rasthali (AAB genome). Sequence analysis revealed multiple types of indels in the genomic region of Grand Naine LCYε (GN-LCYε). Metabolic profiling of the fruit pulp of selected edited lines showed enhanced accumulation of β-carotene content up to 6-fold (~24 μg/g) compared with the unedited plants. These lines also showed either an absence or a drastic reduction in the levels of lutein and α-carotene, suggesting metabolic reprogramming, without any significant effect on the agro-morphological parameters. In addition, differential expression of carotenoid pathway genes was observed in the edited lines in comparison to unedited plants. Overall, this is the first report in banana to improve nutritional trait by using a precise genome editing approach.","container-title":"Metabolic Engineering","DOI":"10.1016/j.ymben.2020.01.008","ISSN":"1096-7176","journalAbbreviation":"Metabolic Engineering","page":"76-86","title":"CRISPR/Cas9 directed editing of lycopene epsilon-cyclase modulates metabolic flux for β-carotene biosynthesis in banana fruit","volume":"59","author":[{"family":"Kaur","given":"Navneet"},{"family":"Alok","given":"Anshu"},{"literal":"Shivani"},{"family":"Kumar","given":"Pankaj"},{"family":"Kaur","given":"Navjot"},{"family":"Awasthi","given":"Praveen"},{"family":"Chaturvedi","given":"Siddhant"},{"family":"Pandey","given":"Pankaj"},{"family":"Pandey","given":"Ashutosh"},{"family":"Pandey","given":"Ajay K."},{"family":"Tiwari","given":"Siddharth"}],"issued":{"date-parts":[["2020",5,1]]}}}],"schema":"https://github.com/citation-style-language/schema/raw/master/csl-citation.json"} </w:instrText>
            </w:r>
            <w:r w:rsidRPr="004E4ECA">
              <w:rPr>
                <w:sz w:val="20"/>
                <w:szCs w:val="20"/>
              </w:rPr>
              <w:fldChar w:fldCharType="separate"/>
            </w:r>
            <w:r w:rsidRPr="004E4ECA">
              <w:rPr>
                <w:noProof/>
                <w:sz w:val="20"/>
                <w:szCs w:val="20"/>
              </w:rPr>
              <w:t>(Kaur et al., 2020)</w:t>
            </w:r>
            <w:r w:rsidRPr="004E4ECA">
              <w:rPr>
                <w:sz w:val="20"/>
                <w:szCs w:val="20"/>
              </w:rPr>
              <w:fldChar w:fldCharType="end"/>
            </w:r>
          </w:p>
        </w:tc>
      </w:tr>
      <w:tr w:rsidR="00FE7BA2" w:rsidRPr="00832130" w14:paraId="3346CCB5"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5792815" w14:textId="77777777" w:rsidR="00FE7BA2" w:rsidRPr="004E4ECA" w:rsidRDefault="00FE7BA2" w:rsidP="00FE7BA2">
            <w:pPr>
              <w:rPr>
                <w:sz w:val="20"/>
                <w:szCs w:val="20"/>
              </w:rPr>
            </w:pPr>
          </w:p>
        </w:tc>
        <w:tc>
          <w:tcPr>
            <w:tcW w:w="2340" w:type="dxa"/>
          </w:tcPr>
          <w:p w14:paraId="04038BD1" w14:textId="10D95262"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171790C4" w14:textId="186FB757"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GA20ox, semi-dwarfism</w:t>
            </w:r>
          </w:p>
        </w:tc>
        <w:tc>
          <w:tcPr>
            <w:tcW w:w="3389" w:type="dxa"/>
          </w:tcPr>
          <w:p w14:paraId="7E197FBF" w14:textId="44548387"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{"citationID":"9SrNgHq0","properties":{"formattedCitation":"(Shao et al., 2020)","plainCitation":"(Shao et al., 2020)","noteIndex":0},"citationItems":[{"id":94,"uris":["http://zotero.org/users/local/ftZVc0Fk/items/QWAB584U"],"uri":["http://zotero.org/users/local/ftZVc0Fk/items/QWAB584U"],"itemData":{"id":94,"type":"article-journal","container-title":"Plant Biotechnology Journal","DOI":"10.1111/pbi.13216","ISSN":"1467-7644","issue":"1","journalAbbreviation":"Plant Biotechnology Journal","note":"publisher: John Wiley &amp; Sons, Ltd","page":"17-19","title":"Using CRISPR/Cas9 genome editing system to create MaGA20ox2 gene-modified semi-dwarf banana","volume":"18","author":[{"family":"Shao","given":"Xiuhong"},{"family":"Wu","given":"Shaoping"},{"family":"Dou","given":"Tongxin"},{"family":"Zhu","given":"Haocheng"},{"family":"Hu","given":"Chunhua"},{"family":"Huo","given":"Heqiang"},{"family":"He","given":"Weidi"},{"family":"Deng","given":"Guiming"},{"family":"Sheng","given":"Ou"},{"family":"Bi","given":"Fangcheng"},{"family":"Gao","given":"Huijun"},{"family":"Dong","given":"Tao"},{"family":"Li","given":"Chunyu"},{"family":"Yang","given":"Qiaosong"},{"family":"Yi","given":"Ganjun"}],"issued":{"date-parts":[["2020",1,1]]}}}],"schema":"https://github.com/citation-style-language/schema/raw/master/csl-citation.json"} </w:instrText>
            </w:r>
            <w:r w:rsidRPr="004E4ECA">
              <w:rPr>
                <w:sz w:val="20"/>
                <w:szCs w:val="20"/>
              </w:rPr>
              <w:fldChar w:fldCharType="separate"/>
            </w:r>
            <w:r w:rsidRPr="004E4ECA">
              <w:rPr>
                <w:noProof/>
                <w:sz w:val="20"/>
                <w:szCs w:val="20"/>
              </w:rPr>
              <w:t>(Shao et al., 2020)</w:t>
            </w:r>
            <w:r w:rsidRPr="004E4ECA">
              <w:rPr>
                <w:sz w:val="20"/>
                <w:szCs w:val="20"/>
              </w:rPr>
              <w:fldChar w:fldCharType="end"/>
            </w:r>
          </w:p>
        </w:tc>
      </w:tr>
      <w:tr w:rsidR="00FE7BA2" w:rsidRPr="00832130" w14:paraId="7DD1F88C"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110793A9" w14:textId="77777777" w:rsidR="00FE7BA2" w:rsidRPr="004E4ECA" w:rsidRDefault="00FE7BA2" w:rsidP="00FE7BA2">
            <w:pPr>
              <w:rPr>
                <w:sz w:val="20"/>
                <w:szCs w:val="20"/>
              </w:rPr>
            </w:pPr>
          </w:p>
        </w:tc>
        <w:tc>
          <w:tcPr>
            <w:tcW w:w="2340" w:type="dxa"/>
          </w:tcPr>
          <w:p w14:paraId="6AB86DB8" w14:textId="3FA4D4BF"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405615F1" w14:textId="160E5A24"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4194A02F" w14:textId="5E4A992C" w:rsidR="00FE7BA2" w:rsidRPr="004E4ECA" w:rsidRDefault="00D94FF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{"citationID":"MbhaArun","properties":{"formattedCitation":"(Ntui et al., 2020)","plainCitation":"(Ntui et al., 2020)","noteIndex":0},"citationItems":[{"id":96,"uris":["http://zotero.org/users/local/ftZVc0Fk/items/WA85QCW8"],"uri":["http://zotero.org/users/local/ftZVc0Fk/items/WA85QCW8"],"itemData":{"id":96,"type":"article-journal","abstract":"The clustered regularly interspaced short palindromic repeats (CRISPR)/CRISPR-associated protein 9 (Cas9) system enables precision editing of the genome of many plant species. Developing robust gene editing tools in banana and plantain would pave the way for the improvement of these crops. Here, we developed efficient CRISPR/Cas9 genome editing protocol for banana and plantain using multiple gRNAs targeting phytoene desaturase (PDS) gene. CRISPR/Cas9 construct containing two gRNAs was delivered into embryogenic cell suspension cultures of banana cultivar ‘Sukali Ndiizi’ and plantain cultivar ‘Gonja Manjaya’ by Agrobacterium-mediated transformation. The regenerated genome-edited events of ‘Sukali Ndiizi’ and ‘Gonja Manjaya’ showed albino and variegated phenotypes indicating mutations at the targeted sites disrupting the function of PDS gene. The majority of events (52/77 for ‘Sukali Ndiizi’ and 16/17 for ‘Gonja Manjaya’) were albino. Sequencing of the target sites confirmed presence of indels in all the 18 events sequenced demonstrating mutation efficiency of 100 % in both cultivars. The majority of events (6/8) of ‘Gonja Manjaya’ showed indels at both the target sites of PDS gene, however only 2/10 events of ‘Sukali Ndiizi’ showed indels at both sites, with one event (S24) having a knockout of large fragment (723 bp) indicating that both gRNAs were effective. Several of the albino events of both ‘Sukali Ndiizi’ and ‘Gonja Manjaya’ showed homozygous mutations. Further sequencing of four potential off-target sites in five events showed no mutations indicating CRISPR/Cas9 based editing in banana and plantain is targeted and precise with a very low probability of off-target sites. This study could provide a methodological framework for single or multiple knockouts in banana and plantain.","container-title":"Special issue on: Plant Genomics and Bioinformatics 2020","DOI":"10.1016/j.cpb.2019.100128","ISSN":"2214-6628","journalAbbreviation":"Current Plant Biology","page":"100128","title":"Robust CRISPR/Cas9 mediated genome editing tool for banana and plantain (Musa spp.)","volume":"21","author":[{"family":"Ntui","given":"Valentine Otang"},{"family":"Tripathi","given":"Jaindra Nath"},{"family":"Tripathi","given":"Leena"}],"issued":{"date-parts":[["2020",1,1]]}}}],"schema":"https://github.com/citation-style-language/schema/raw/master/csl-citation.json"} </w:instrText>
            </w:r>
            <w:r w:rsidRPr="004E4ECA">
              <w:rPr>
                <w:sz w:val="20"/>
                <w:szCs w:val="20"/>
              </w:rPr>
              <w:fldChar w:fldCharType="separate"/>
            </w:r>
            <w:r w:rsidRPr="004E4ECA">
              <w:rPr>
                <w:noProof/>
                <w:sz w:val="20"/>
                <w:szCs w:val="20"/>
              </w:rPr>
              <w:t>(Ntui et al., 2020)</w:t>
            </w:r>
            <w:r w:rsidRPr="004E4ECA">
              <w:rPr>
                <w:sz w:val="20"/>
                <w:szCs w:val="20"/>
              </w:rPr>
              <w:fldChar w:fldCharType="end"/>
            </w:r>
          </w:p>
        </w:tc>
      </w:tr>
      <w:tr w:rsidR="00FE7BA2" w:rsidRPr="00832130" w14:paraId="22B5A186"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5472F12F" w14:textId="77777777" w:rsidR="00FE7BA2" w:rsidRPr="004E4ECA" w:rsidRDefault="00FE7BA2" w:rsidP="00FE7BA2">
            <w:pPr>
              <w:rPr>
                <w:sz w:val="20"/>
                <w:szCs w:val="20"/>
              </w:rPr>
            </w:pPr>
          </w:p>
        </w:tc>
        <w:tc>
          <w:tcPr>
            <w:tcW w:w="2340" w:type="dxa"/>
          </w:tcPr>
          <w:p w14:paraId="589B7090" w14:textId="425D758F"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T (Cas9-RNPs)</w:t>
            </w:r>
          </w:p>
        </w:tc>
        <w:tc>
          <w:tcPr>
            <w:tcW w:w="3780" w:type="dxa"/>
          </w:tcPr>
          <w:p w14:paraId="5E3A3202" w14:textId="08A84261"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PDS</w:t>
            </w:r>
            <w:r w:rsidRPr="004E4ECA">
              <w:rPr>
                <w:sz w:val="20"/>
                <w:szCs w:val="20"/>
              </w:rPr>
              <w:t>, chlorosis</w:t>
            </w:r>
          </w:p>
        </w:tc>
        <w:tc>
          <w:tcPr>
            <w:tcW w:w="3389" w:type="dxa"/>
          </w:tcPr>
          <w:p w14:paraId="799D4D91" w14:textId="0F4385C7"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{"citationID":"baMRQO4j","properties":{"formattedCitation":"(Wu et al., 2020)","plainCitation":"(Wu et al., 2020)","noteIndex":0},"citationItems":[{"id":205,"uris":["http://zotero.org/users/local/ftZVc0Fk/items/AZX7WHZE"],"uri":["http://zotero.org/users/local/ftZVc0Fk/items/AZX7WHZE"],"itemData":{"id":205,"type":"article-journal","abstract":"To date, CRISPR/Cas9 RNP editing tools have not been applied to the genetic modification of banana. Here, the establishment of a PEG-mediated banana protoplast transformation system makes it possible to build an efficient DNA-free method for a site-directed mutagenesis system.","container-title":"BMC Plant Biology","DOI":"10.1186/s12870-020-02609-8","ISSN":"1471-2229","issue":"1","journalAbbreviation":"BMC Plant Biology","page":"425","title":"Establishment of a PEG-mediated protoplast transformation system based on DNA and CRISPR/Cas9 ribonucleoprotein complexes for banana","volume":"20","author":[{"family":"Wu","given":"Shaoping"},{"family":"Zhu","given":"Haocheng"},{"family":"Liu","given":"Jinxing"},{"family":"Yang","given":"Qiaosong"},{"family":"Shao","given":"Xiuhong"},{"family":"Bi","given":"Fangcheng"},{"family":"Hu","given":"Chunhua"},{"family":"Huo","given":"Heqiang"},{"family":"Chen","given":"Kunling"},{"family":"Yi","given":"Ganjun"}],"issued":{"date-parts":[["2020",9,15]]}}}],"schema":"https://github.com/citation-style-language/schema/raw/master/csl-citation.json"} </w:instrText>
            </w:r>
            <w:r w:rsidRPr="004E4ECA">
              <w:rPr>
                <w:sz w:val="20"/>
                <w:szCs w:val="20"/>
              </w:rPr>
              <w:fldChar w:fldCharType="separate"/>
            </w:r>
            <w:r w:rsidRPr="004E4ECA">
              <w:rPr>
                <w:noProof/>
                <w:sz w:val="20"/>
                <w:szCs w:val="20"/>
              </w:rPr>
              <w:t>(Wu et al., 2020)</w:t>
            </w:r>
            <w:r w:rsidRPr="004E4ECA">
              <w:rPr>
                <w:sz w:val="20"/>
                <w:szCs w:val="20"/>
              </w:rPr>
              <w:fldChar w:fldCharType="end"/>
            </w:r>
          </w:p>
        </w:tc>
      </w:tr>
      <w:tr w:rsidR="00FE7BA2" w:rsidRPr="00832130" w14:paraId="7B140F91"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378E0931" w14:textId="77777777" w:rsidR="00FE7BA2" w:rsidRPr="004E4ECA" w:rsidRDefault="00FE7BA2" w:rsidP="00FE7BA2">
            <w:pPr>
              <w:rPr>
                <w:sz w:val="20"/>
                <w:szCs w:val="20"/>
              </w:rPr>
            </w:pPr>
          </w:p>
        </w:tc>
        <w:tc>
          <w:tcPr>
            <w:tcW w:w="2340" w:type="dxa"/>
          </w:tcPr>
          <w:p w14:paraId="5F036003" w14:textId="538BA45A"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1F872A4F" w14:textId="2D7A9AA6"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ACO1</w:t>
            </w:r>
            <w:r w:rsidRPr="004E4ECA">
              <w:rPr>
                <w:sz w:val="20"/>
                <w:szCs w:val="20"/>
              </w:rPr>
              <w:t>, fruit shelf-life</w:t>
            </w:r>
          </w:p>
        </w:tc>
        <w:tc>
          <w:tcPr>
            <w:tcW w:w="3389" w:type="dxa"/>
          </w:tcPr>
          <w:p w14:paraId="1F6EDCA9" w14:textId="118F2C1F" w:rsidR="00FE7BA2" w:rsidRPr="004E4ECA" w:rsidRDefault="00D94FF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{"citationID":"dVoeHw7j","properties":{"formattedCitation":"(Hu et al., 2020)","plainCitation":"(Hu et al., 2020)","noteIndex":0},"citationItems":[{"id":98,"uris":["http://zotero.org/users/local/ftZVc0Fk/items/W4LBUZNG"],"uri":["http://zotero.org/users/local/ftZVc0Fk/items/W4LBUZNG"],"itemData":{"id":98,"type":"article-journal","container-title":"Plant Biotechnology Journal","DOI":"10.1111/pbi.13534","ISSN":"1467-7644","issue":"n/a","journalAbbreviation":"Plant Biotechnology Journal","note":"publisher: John Wiley &amp; Sons, Ltd","title":"CRISPR/Cas9-mediated genome editing of MaACO1 (aminocyclopropane-1-carboxylate oxidase 1) promotes the shelf life of banana fruit","URL":"https://doi.org/10.1111/pbi.13534","volume":"n/a","author":[{"family":"Hu","given":"Chunhua"},{"family":"Sheng","given":"Ou"},{"family":"Deng","given":"Guiming"},{"family":"He","given":"Weidi"},{"family":"Dong","given":"Tao"},{"family":"Yang","given":"Qiaosong"},{"family":"Dou","given":"Tongxin"},{"family":"Li","given":"Chunyu"},{"family":"Gao","given":"Huijun"},{"family":"Liu","given":"Siwen"},{"family":"Yi","given":"Ganjun"},{"family":"Bi","given":"Fangcheng"}],"accessed":{"date-parts":[["2021",3,5]]},"issued":{"date-parts":[["2020",12,28]]}}}],"schema":"https://github.com/citation-style-language/schema/raw/master/csl-citation.json"} </w:instrText>
            </w:r>
            <w:r w:rsidRPr="004E4ECA">
              <w:rPr>
                <w:sz w:val="20"/>
                <w:szCs w:val="20"/>
              </w:rPr>
              <w:fldChar w:fldCharType="separate"/>
            </w:r>
            <w:r w:rsidRPr="004E4ECA">
              <w:rPr>
                <w:noProof/>
                <w:sz w:val="20"/>
                <w:szCs w:val="20"/>
              </w:rPr>
              <w:t>(Hu et al., 2020)</w:t>
            </w:r>
            <w:r w:rsidRPr="004E4ECA">
              <w:rPr>
                <w:sz w:val="20"/>
                <w:szCs w:val="20"/>
              </w:rPr>
              <w:fldChar w:fldCharType="end"/>
            </w:r>
          </w:p>
        </w:tc>
      </w:tr>
      <w:tr w:rsidR="00FE7BA2" w:rsidRPr="00832130" w14:paraId="3BB22A02" w14:textId="77777777" w:rsidTr="00832130">
        <w:trPr>
          <w:trHeight w:val="229"/>
        </w:trPr>
        <w:tc>
          <w:tcPr>
            <w:cnfStyle w:val="001000000000" w:firstRow="0" w:lastRow="0" w:firstColumn="1" w:lastColumn="0" w:oddVBand="0" w:evenVBand="0" w:oddHBand="0" w:evenHBand="0" w:firstRowFirstColumn="0" w:firstRowLastColumn="0" w:lastRowFirstColumn="0" w:lastRowLastColumn="0"/>
            <w:tcW w:w="3595" w:type="dxa"/>
          </w:tcPr>
          <w:p w14:paraId="2E183874" w14:textId="7085FCCB" w:rsidR="00FE7BA2" w:rsidRPr="004E4ECA" w:rsidRDefault="00FE7BA2" w:rsidP="00FE7BA2">
            <w:pPr>
              <w:rPr>
                <w:sz w:val="20"/>
                <w:szCs w:val="20"/>
              </w:rPr>
            </w:pPr>
            <w:r w:rsidRPr="004E4ECA">
              <w:rPr>
                <w:sz w:val="20"/>
                <w:szCs w:val="20"/>
              </w:rPr>
              <w:t>Sugarcane (</w:t>
            </w:r>
            <w:r w:rsidRPr="004E4ECA">
              <w:rPr>
                <w:i/>
                <w:iCs/>
                <w:sz w:val="20"/>
                <w:szCs w:val="20"/>
              </w:rPr>
              <w:t>Saccharum</w:t>
            </w:r>
            <w:r w:rsidRPr="004E4ECA">
              <w:rPr>
                <w:sz w:val="20"/>
                <w:szCs w:val="20"/>
              </w:rPr>
              <w:t>)</w:t>
            </w:r>
          </w:p>
        </w:tc>
        <w:tc>
          <w:tcPr>
            <w:tcW w:w="2340" w:type="dxa"/>
          </w:tcPr>
          <w:p w14:paraId="723A94F3" w14:textId="39A62708"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t>S</w:t>
            </w:r>
          </w:p>
        </w:tc>
        <w:tc>
          <w:tcPr>
            <w:tcW w:w="3780" w:type="dxa"/>
          </w:tcPr>
          <w:p w14:paraId="4C71342C" w14:textId="7B0D9F78" w:rsidR="00FE7BA2" w:rsidRPr="004E4ECA" w:rsidRDefault="00FE7BA2"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i/>
                <w:iCs/>
                <w:sz w:val="20"/>
                <w:szCs w:val="20"/>
              </w:rPr>
              <w:t>ALS1</w:t>
            </w:r>
            <w:r w:rsidRPr="004E4ECA">
              <w:rPr>
                <w:sz w:val="20"/>
                <w:szCs w:val="20"/>
              </w:rPr>
              <w:t>, herbicide resistance</w:t>
            </w:r>
          </w:p>
        </w:tc>
        <w:tc>
          <w:tcPr>
            <w:tcW w:w="3389" w:type="dxa"/>
          </w:tcPr>
          <w:p w14:paraId="2DEB6C9A" w14:textId="25D592FA" w:rsidR="00FE7BA2" w:rsidRPr="004E4ECA" w:rsidRDefault="00D94FF7" w:rsidP="00FE7BA2">
            <w:pPr>
              <w:cnfStyle w:val="000000000000" w:firstRow="0" w:lastRow="0" w:firstColumn="0" w:lastColumn="0" w:oddVBand="0" w:evenVBand="0" w:oddHBand="0"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{"citationID":"WZb5X50S","properties":{"formattedCitation":"(Oz et al., 2017)","plainCitation":"(Oz et al., 2017)","noteIndex":0},"citationItems":[{"id":122,"uris":["http://zotero.org/users/local/ftZVc0Fk/items/ILCW3HEN"],"uri":["http://zotero.org/users/local/ftZVc0Fk/items/ILCW3HEN"],"itemData":{"id":122,"type":"paper-conference","abstract":"Genome editing tools such as CRISPR/Cas9 have been employed in several crop genomes. They enable precise targeting and introduction of double stranded DNA breaks in vivo. Subsequent cellular repair mechanisms, predominantly non-homologous end joining (NHEJ), act as critical steps to endogenous gene editing or correction. However, there is very limited control over these mechanisms, which generate an abundance of random insertions and deletions (indels). Frameshift mutations associated with these indels of unspecified size and sequence might result in loss of function phenotypes of agronomic importance. Gain of function mutations, on the other hand, generally requires precise nucleotide substitutions in the target locus. This can be accomplished with the aid of a homologous repair template and involves the cellular homology directed repair (HDR) mechanism. We are presenting an efficient HDR mediated genome editing approach conferring herbicide resistance in the highly polyploid sugarcane. We will also discuss the impact of alternative guide RNAs.","event":"MANAGING GLOBAL RESOURCES FOR A SECURE FUTURE","event-place":"Tampa, FL, USA","publisher-place":"Tampa, FL, USA","title":"Precision Nucleotide Substitutions in Sugarcane Following CRISPR/Cas9 and Template Mediated Genome Editing.","author":[{"family":"Oz","given":"Tufan M"},{"family":"Karan","given":"Ratna"},{"family":"Merotto","given":"Aldo"},{"family":"Altpeter","given":"Fredy"}],"issued":{"date-parts":[["2017",10,23]]}}}],"schema":"https://github.com/citation-style-language/schema/raw/master/csl-citation.json"} </w:instrText>
            </w:r>
            <w:r w:rsidRPr="004E4ECA">
              <w:rPr>
                <w:sz w:val="20"/>
                <w:szCs w:val="20"/>
              </w:rPr>
              <w:fldChar w:fldCharType="separate"/>
            </w:r>
            <w:r w:rsidRPr="004E4ECA">
              <w:rPr>
                <w:noProof/>
                <w:sz w:val="20"/>
                <w:szCs w:val="20"/>
              </w:rPr>
              <w:t>(Oz et al., 2017)</w:t>
            </w:r>
            <w:r w:rsidRPr="004E4ECA">
              <w:rPr>
                <w:sz w:val="20"/>
                <w:szCs w:val="20"/>
              </w:rPr>
              <w:fldChar w:fldCharType="end"/>
            </w:r>
          </w:p>
        </w:tc>
      </w:tr>
      <w:tr w:rsidR="00FE7BA2" w:rsidRPr="00832130" w14:paraId="6A52445E" w14:textId="77777777" w:rsidTr="008321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595" w:type="dxa"/>
          </w:tcPr>
          <w:p w14:paraId="14D7AD57" w14:textId="77777777" w:rsidR="00FE7BA2" w:rsidRPr="004E4ECA" w:rsidRDefault="00FE7BA2" w:rsidP="00FE7BA2">
            <w:pPr>
              <w:rPr>
                <w:sz w:val="20"/>
                <w:szCs w:val="20"/>
              </w:rPr>
            </w:pPr>
          </w:p>
        </w:tc>
        <w:tc>
          <w:tcPr>
            <w:tcW w:w="2340" w:type="dxa"/>
          </w:tcPr>
          <w:p w14:paraId="3121A8AA" w14:textId="5F3FDF4C"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t>S</w:t>
            </w:r>
          </w:p>
        </w:tc>
        <w:tc>
          <w:tcPr>
            <w:tcW w:w="3780" w:type="dxa"/>
          </w:tcPr>
          <w:p w14:paraId="7350553A" w14:textId="50A824A6" w:rsidR="00FE7BA2" w:rsidRPr="004E4ECA" w:rsidRDefault="00FE7BA2"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i/>
                <w:iCs/>
                <w:sz w:val="20"/>
                <w:szCs w:val="20"/>
              </w:rPr>
              <w:t>COMT</w:t>
            </w:r>
            <w:r w:rsidRPr="004E4ECA">
              <w:rPr>
                <w:sz w:val="20"/>
                <w:szCs w:val="20"/>
              </w:rPr>
              <w:t>, lignin biosyn.</w:t>
            </w:r>
          </w:p>
        </w:tc>
        <w:tc>
          <w:tcPr>
            <w:tcW w:w="3389" w:type="dxa"/>
          </w:tcPr>
          <w:p w14:paraId="6BE2793F" w14:textId="1C22E201" w:rsidR="00FE7BA2" w:rsidRPr="004E4ECA" w:rsidRDefault="006A44D7" w:rsidP="00FE7BA2">
            <w:pPr>
              <w:cnfStyle w:val="000000100000" w:firstRow="0" w:lastRow="0" w:firstColumn="0" w:lastColumn="0" w:oddVBand="0" w:evenVBand="0" w:oddHBand="1" w:evenHBand="0" w:firstRowFirstColumn="0" w:firstRowLastColumn="0" w:lastRowFirstColumn="0" w:lastRowLastColumn="0"/>
              <w:rPr>
                <w:sz w:val="20"/>
                <w:szCs w:val="20"/>
              </w:rPr>
            </w:pPr>
            <w:r w:rsidRPr="004E4ECA">
              <w:rPr>
                <w:sz w:val="20"/>
                <w:szCs w:val="20"/>
              </w:rPr>
              <w:fldChar w:fldCharType="begin"/>
            </w:r>
            <w:r w:rsidRPr="004E4ECA">
              <w:rPr>
                <w:sz w:val="20"/>
                <w:szCs w:val="20"/>
              </w:rPr>
              <w:instrText xml:space="preserve"> ADDIN ZOTERO_ITEM CSL_CITATION {"citationID":"zBwEthWS","properties":{"formattedCitation":"(Kannan et al., 2018)","plainCitation":"(Kannan et al., 2018)","noteIndex":0},"citationItems":[{"id":123,"uris":["http://zotero.org/users/local/ftZVc0Fk/items/9HUJBIIY"],"uri":["http://zotero.org/users/local/ftZVc0Fk/items/9HUJBIIY"],"itemData":{"id":123,"type":"article-journal","abstract":"Summary Sugarcane is the world's most efficient feedstock for commercial production of bioethanol due to its superior biomass production and accumulation of sucrose in stems. Integrating first- and second-generation ethanol conversion processes will enhance the biofuel yield per unit area by utilizing both sucrose and cell wall-bound sugars for fermentation. RNAi suppression of the lignin biosynthetic gene caffeic acid O-methyltransferase (COMT) has been demonstrated to improve bioethanol production from lignocellulosic biomass. Genome editing has been used in a number of crops for creation of loss of function phenotypes but is very challenging in sugarcane due to its highly polyploid genome. In this study, a conserved region of COMT was targeted with a single-transcription activator-like effector nuclease (TALEN) pair for multi-allelic mutagenesis to modify lignin biosynthesis in sugarcane. Field-grown TALEN-mediated COMT mutants showed up to 19.7% lignin reduction and significantly decreased syringyl to guaiacyl (S/G) ratio resulting in an up to 43.8% improved saccharification efficiency. Biomass production of COMT mutant lines with superior saccharification efficiency did not differ significantly from the original cultivar under replicated field conditions. Sanger sequencing of cloned COMT amplicons (1351?1657 bp) revealed co-editing of 107 of the 109 unique COMT copies/alleles in vegetative progeny of line CB6 using a single TALEN pair. Line CB6 combined altered cell wall composition and drastically improved saccharification efficiency with good agronomic performance. These findings confirm the feasibility of co-mutagenesis of a very large number of target alleles/copies for improvement in crops with complex genomes.","container-title":"Plant Biotechnology Journal","DOI":"10.1111/pbi.12833","ISSN":"1467-7644","issue":"4","journalAbbreviation":"Plant Biotechnology Journal","note":"publisher: John Wiley &amp; Sons, Ltd","page":"856-866","title":"TALEN-mediated targeted mutagenesis of more than 100 COMT copies/alleles in highly polyploid sugarcane improves saccharification efficiency without compromising biomass yield","volume":"16","author":[{"family":"Kannan","given":"Baskaran"},{"family":"Jung","given":"Je Hyeong"},{"family":"Moxley","given":"Geoffrey W."},{"family":"Lee","given":"Sun-Mi"},{"family":"Altpeter","given":"Fredy"}],"issued":{"date-parts":[["2018",4,1]]}}}],"schema":"https://github.com/citation-style-language/schema/raw/master/csl-citation.json"} </w:instrText>
            </w:r>
            <w:r w:rsidRPr="004E4ECA">
              <w:rPr>
                <w:sz w:val="20"/>
                <w:szCs w:val="20"/>
              </w:rPr>
              <w:fldChar w:fldCharType="separate"/>
            </w:r>
            <w:r w:rsidRPr="004E4ECA">
              <w:rPr>
                <w:noProof/>
                <w:sz w:val="20"/>
                <w:szCs w:val="20"/>
              </w:rPr>
              <w:t>(Kannan et al., 2018)</w:t>
            </w:r>
            <w:r w:rsidRPr="004E4ECA">
              <w:rPr>
                <w:sz w:val="20"/>
                <w:szCs w:val="20"/>
              </w:rPr>
              <w:fldChar w:fldCharType="end"/>
            </w:r>
          </w:p>
        </w:tc>
      </w:tr>
    </w:tbl>
    <w:p w14:paraId="4650E3B7" w14:textId="0E7DA113" w:rsidR="00B40136" w:rsidRDefault="00B40136"/>
    <w:p w14:paraId="261AD0E9" w14:textId="77777777" w:rsidR="004E4ECA" w:rsidRDefault="004E4ECA">
      <w:pPr>
        <w:rPr>
          <w:b/>
          <w:bCs/>
        </w:rPr>
      </w:pPr>
    </w:p>
    <w:p w14:paraId="74DF1C61" w14:textId="77777777" w:rsidR="004E4ECA" w:rsidRDefault="004E4ECA">
      <w:pPr>
        <w:rPr>
          <w:b/>
          <w:bCs/>
        </w:rPr>
      </w:pPr>
    </w:p>
    <w:p w14:paraId="64F233F9" w14:textId="77777777" w:rsidR="004E4ECA" w:rsidRDefault="004E4ECA">
      <w:pPr>
        <w:rPr>
          <w:b/>
          <w:bCs/>
        </w:rPr>
      </w:pPr>
    </w:p>
    <w:p w14:paraId="04990317" w14:textId="2E50985F" w:rsidR="00B40136" w:rsidRDefault="00B40136">
      <w:pPr>
        <w:rPr>
          <w:b/>
          <w:bCs/>
        </w:rPr>
      </w:pPr>
      <w:r w:rsidRPr="00B40136">
        <w:rPr>
          <w:b/>
          <w:bCs/>
        </w:rPr>
        <w:lastRenderedPageBreak/>
        <w:t>Supp. Table 1 References:</w:t>
      </w:r>
    </w:p>
    <w:p w14:paraId="4F06ED96" w14:textId="57D577D2" w:rsidR="00B40136" w:rsidRDefault="00B40136">
      <w:pPr>
        <w:rPr>
          <w:b/>
          <w:bCs/>
        </w:rPr>
      </w:pPr>
    </w:p>
    <w:p w14:paraId="14CA6314" w14:textId="77777777" w:rsidR="00FC22B1" w:rsidRPr="00FC22B1" w:rsidRDefault="00FC22B1" w:rsidP="00FC22B1">
      <w:pPr>
        <w:pStyle w:val="Bibliography"/>
        <w:rPr>
          <w:rFonts w:ascii="Calibri" w:cs="Calibri"/>
          <w:sz w:val="24"/>
        </w:rPr>
      </w:pPr>
      <w:r>
        <w:fldChar w:fldCharType="begin"/>
      </w:r>
      <w:r>
        <w:instrText xml:space="preserve"> ADDIN ZOTERO_BIBL {"uncited":[],"omitted":[],"custom":[]} CSL_BIBLIOGRAPHY </w:instrText>
      </w:r>
      <w:r>
        <w:fldChar w:fldCharType="separate"/>
      </w:r>
      <w:r w:rsidRPr="00FC22B1">
        <w:rPr>
          <w:rFonts w:ascii="Calibri" w:cs="Calibri"/>
          <w:sz w:val="24"/>
        </w:rPr>
        <w:t>Akagi T, Pilkington SM, Varkonyi-Gasic E, Henry IM, Sugano SS, Sonoda M, Firl A, McNeilage MA, Douglas MJ, Wang T, et al (2019) Two Y-chromosome-encoded genes determine sex in kiwifruit. Nat Plants 5: 801–809</w:t>
      </w:r>
    </w:p>
    <w:p w14:paraId="3347C1DF" w14:textId="77777777" w:rsidR="00FC22B1" w:rsidRPr="00FC22B1" w:rsidRDefault="00FC22B1" w:rsidP="00FC22B1">
      <w:pPr>
        <w:pStyle w:val="Bibliography"/>
        <w:rPr>
          <w:rFonts w:ascii="Calibri" w:cs="Calibri"/>
          <w:sz w:val="24"/>
        </w:rPr>
      </w:pPr>
      <w:r w:rsidRPr="00FC22B1">
        <w:rPr>
          <w:rFonts w:ascii="Calibri" w:cs="Calibri"/>
          <w:sz w:val="24"/>
        </w:rPr>
        <w:t>Alvin C-HL (2020) Gene Editing of Cultivated and Wild Strawberry (</w:t>
      </w:r>
      <w:r w:rsidRPr="009B4819">
        <w:rPr>
          <w:rFonts w:ascii="Calibri" w:cs="Calibri"/>
          <w:i/>
          <w:iCs/>
          <w:sz w:val="24"/>
        </w:rPr>
        <w:t>Fragaria x ananassa and Fragaria vesca</w:t>
      </w:r>
      <w:r w:rsidRPr="00FC22B1">
        <w:rPr>
          <w:rFonts w:ascii="Calibri" w:cs="Calibri"/>
          <w:sz w:val="24"/>
        </w:rPr>
        <w:t>) with CRISPR/Cas9 Knocking out F3H. Norwegian University of Life Sciences, Ås, NO</w:t>
      </w:r>
    </w:p>
    <w:p w14:paraId="62E5460D" w14:textId="77777777" w:rsidR="00FC22B1" w:rsidRPr="00FC22B1" w:rsidRDefault="00FC22B1" w:rsidP="00FC22B1">
      <w:pPr>
        <w:pStyle w:val="Bibliography"/>
        <w:rPr>
          <w:rFonts w:ascii="Calibri" w:cs="Calibri"/>
          <w:sz w:val="24"/>
        </w:rPr>
      </w:pPr>
      <w:r w:rsidRPr="00FC22B1">
        <w:rPr>
          <w:rFonts w:ascii="Calibri" w:cs="Calibri"/>
          <w:sz w:val="24"/>
        </w:rPr>
        <w:t xml:space="preserve">An Y, Geng Y, Yao J, Fu C, Lu M, Wang C, Du J (2020) Efficient Genome Editing in </w:t>
      </w:r>
      <w:r w:rsidRPr="009B4819">
        <w:rPr>
          <w:rFonts w:ascii="Calibri" w:cs="Calibri"/>
          <w:i/>
          <w:iCs/>
          <w:sz w:val="24"/>
        </w:rPr>
        <w:t>Populus</w:t>
      </w:r>
      <w:r w:rsidRPr="00FC22B1">
        <w:rPr>
          <w:rFonts w:ascii="Calibri" w:cs="Calibri"/>
          <w:sz w:val="24"/>
        </w:rPr>
        <w:t xml:space="preserve"> Using CRISPR/Cas12a. Front Plant Sci 11: 1776</w:t>
      </w:r>
    </w:p>
    <w:p w14:paraId="10BD49DA" w14:textId="77777777" w:rsidR="00FC22B1" w:rsidRPr="00FC22B1" w:rsidRDefault="00FC22B1" w:rsidP="00FC22B1">
      <w:pPr>
        <w:pStyle w:val="Bibliography"/>
        <w:rPr>
          <w:rFonts w:ascii="Calibri" w:cs="Calibri"/>
          <w:sz w:val="24"/>
        </w:rPr>
      </w:pPr>
      <w:r w:rsidRPr="00FC22B1">
        <w:rPr>
          <w:rFonts w:ascii="Calibri" w:cs="Calibri"/>
          <w:sz w:val="24"/>
        </w:rPr>
        <w:t>Andersson M, Turesson H, Olsson N, Fält A-S, Ohlsson P, Gonzalez MN, Samuelsson M, Hofvander P (2018) Genome editing in potato via CRISPR-Cas9 ribonucleoprotein delivery. Physiol Plant 164: 378–384</w:t>
      </w:r>
    </w:p>
    <w:p w14:paraId="48C6DD9A" w14:textId="77777777" w:rsidR="00FC22B1" w:rsidRPr="00FC22B1" w:rsidRDefault="00FC22B1" w:rsidP="00FC22B1">
      <w:pPr>
        <w:pStyle w:val="Bibliography"/>
        <w:rPr>
          <w:rFonts w:ascii="Calibri" w:cs="Calibri"/>
          <w:sz w:val="24"/>
        </w:rPr>
      </w:pPr>
      <w:r w:rsidRPr="00FC22B1">
        <w:rPr>
          <w:rFonts w:ascii="Calibri" w:cs="Calibri"/>
          <w:sz w:val="24"/>
        </w:rPr>
        <w:t>Awasthi P, Kocábek T, Mishra AK, Nath VS, Shrestha A, Matoušek J (2021) Establishment of CRISPR/Cas9 mediated targeted mutagenesis in hop (</w:t>
      </w:r>
      <w:r w:rsidRPr="009B4819">
        <w:rPr>
          <w:rFonts w:ascii="Calibri" w:cs="Calibri"/>
          <w:i/>
          <w:iCs/>
          <w:sz w:val="24"/>
        </w:rPr>
        <w:t>Humulus lupulus</w:t>
      </w:r>
      <w:r w:rsidRPr="00FC22B1">
        <w:rPr>
          <w:rFonts w:ascii="Calibri" w:cs="Calibri"/>
          <w:sz w:val="24"/>
        </w:rPr>
        <w:t>). Plant Physiol Biochem 160: 1–7</w:t>
      </w:r>
    </w:p>
    <w:p w14:paraId="103039A3" w14:textId="77777777" w:rsidR="00FC22B1" w:rsidRPr="00FC22B1" w:rsidRDefault="00FC22B1" w:rsidP="00FC22B1">
      <w:pPr>
        <w:pStyle w:val="Bibliography"/>
        <w:rPr>
          <w:rFonts w:ascii="Calibri" w:cs="Calibri"/>
          <w:sz w:val="24"/>
        </w:rPr>
      </w:pPr>
      <w:r w:rsidRPr="00FC22B1">
        <w:rPr>
          <w:rFonts w:ascii="Calibri" w:cs="Calibri"/>
          <w:sz w:val="24"/>
        </w:rPr>
        <w:t xml:space="preserve">Azeez A, Busov V (2021) CRISPR/Cas9-mediated single and biallelic knockout of poplar </w:t>
      </w:r>
      <w:r w:rsidRPr="009B4819">
        <w:rPr>
          <w:rFonts w:ascii="Calibri" w:cs="Calibri"/>
          <w:i/>
          <w:iCs/>
          <w:sz w:val="24"/>
        </w:rPr>
        <w:t>STERILE APETALA (PopSAP)</w:t>
      </w:r>
      <w:r w:rsidRPr="00FC22B1">
        <w:rPr>
          <w:rFonts w:ascii="Calibri" w:cs="Calibri"/>
          <w:sz w:val="24"/>
        </w:rPr>
        <w:t xml:space="preserve"> leads to complete reproductive sterility. Plant Biotechnol J 19: 23–25</w:t>
      </w:r>
    </w:p>
    <w:p w14:paraId="251FC9C7" w14:textId="77777777" w:rsidR="00FC22B1" w:rsidRPr="00FC22B1" w:rsidRDefault="00FC22B1" w:rsidP="00FC22B1">
      <w:pPr>
        <w:pStyle w:val="Bibliography"/>
        <w:rPr>
          <w:rFonts w:ascii="Calibri" w:cs="Calibri"/>
          <w:sz w:val="24"/>
        </w:rPr>
      </w:pPr>
      <w:r w:rsidRPr="00FC22B1">
        <w:rPr>
          <w:rFonts w:ascii="Calibri" w:cs="Calibri"/>
          <w:sz w:val="24"/>
        </w:rPr>
        <w:t xml:space="preserve">Bánfalvi Z, Csákvári E, Villányi V, Kondrák M (2020) Generation of transgene-free </w:t>
      </w:r>
      <w:r w:rsidRPr="009B4819">
        <w:rPr>
          <w:rFonts w:ascii="Calibri" w:cs="Calibri"/>
          <w:i/>
          <w:iCs/>
          <w:sz w:val="24"/>
        </w:rPr>
        <w:t>PDS</w:t>
      </w:r>
      <w:r w:rsidRPr="00FC22B1">
        <w:rPr>
          <w:rFonts w:ascii="Calibri" w:cs="Calibri"/>
          <w:sz w:val="24"/>
        </w:rPr>
        <w:t xml:space="preserve"> mutants in potato by </w:t>
      </w:r>
      <w:r w:rsidRPr="009B4819">
        <w:rPr>
          <w:rFonts w:ascii="Calibri" w:cs="Calibri"/>
          <w:i/>
          <w:iCs/>
          <w:sz w:val="24"/>
        </w:rPr>
        <w:t>Agrobacterium</w:t>
      </w:r>
      <w:r w:rsidRPr="00FC22B1">
        <w:rPr>
          <w:rFonts w:ascii="Calibri" w:cs="Calibri"/>
          <w:sz w:val="24"/>
        </w:rPr>
        <w:t>-mediated transformation. BMC Biotechnol 20: 25</w:t>
      </w:r>
    </w:p>
    <w:p w14:paraId="4F8CAD89" w14:textId="77777777" w:rsidR="00FC22B1" w:rsidRPr="00FC22B1" w:rsidRDefault="00FC22B1" w:rsidP="00FC22B1">
      <w:pPr>
        <w:pStyle w:val="Bibliography"/>
        <w:rPr>
          <w:rFonts w:ascii="Calibri" w:cs="Calibri"/>
          <w:sz w:val="24"/>
        </w:rPr>
      </w:pPr>
      <w:r w:rsidRPr="00FC22B1">
        <w:rPr>
          <w:rFonts w:ascii="Calibri" w:cs="Calibri"/>
          <w:sz w:val="24"/>
        </w:rPr>
        <w:t xml:space="preserve">Breitler J-C, Dechamp E, Campa C, Zebral Rodrigues LA, Guyot R, Marraccini P, Etienne H (2018) CRISPR/Cas9-mediated efficient targeted mutagenesis has the potential to accelerate the domestication of </w:t>
      </w:r>
      <w:r w:rsidRPr="009B4819">
        <w:rPr>
          <w:rFonts w:ascii="Calibri" w:cs="Calibri"/>
          <w:i/>
          <w:iCs/>
          <w:sz w:val="24"/>
        </w:rPr>
        <w:t>Coffea canephora</w:t>
      </w:r>
      <w:r w:rsidRPr="00FC22B1">
        <w:rPr>
          <w:rFonts w:ascii="Calibri" w:cs="Calibri"/>
          <w:sz w:val="24"/>
        </w:rPr>
        <w:t>. Plant Cell Tissue Organ Cult PCTOC 134: 383–394</w:t>
      </w:r>
    </w:p>
    <w:p w14:paraId="62EA3D3B" w14:textId="47FD48A3" w:rsidR="00FC22B1" w:rsidRPr="00FC22B1" w:rsidRDefault="00FC22B1" w:rsidP="00FC22B1">
      <w:pPr>
        <w:pStyle w:val="Bibliography"/>
        <w:rPr>
          <w:rFonts w:ascii="Calibri" w:cs="Calibri"/>
          <w:sz w:val="24"/>
        </w:rPr>
      </w:pPr>
      <w:r w:rsidRPr="00FC22B1">
        <w:rPr>
          <w:rFonts w:ascii="Calibri" w:cs="Calibri"/>
          <w:sz w:val="24"/>
        </w:rPr>
        <w:t>Charrier A, Vergne E, Dousset N, Richer A, Petiteau A, Chevreau E (2019) Efficient Targeted Mutagenesis in Apple and Pear Using the CRISPR-Cas9 System. Front Plant Sci 10: 40</w:t>
      </w:r>
    </w:p>
    <w:p w14:paraId="4F3BDFD1" w14:textId="77777777" w:rsidR="00FC22B1" w:rsidRPr="00FC22B1" w:rsidRDefault="00FC22B1" w:rsidP="00FC22B1">
      <w:pPr>
        <w:pStyle w:val="Bibliography"/>
        <w:rPr>
          <w:rFonts w:ascii="Calibri" w:cs="Calibri"/>
          <w:sz w:val="24"/>
        </w:rPr>
      </w:pPr>
      <w:r w:rsidRPr="00FC22B1">
        <w:rPr>
          <w:rFonts w:ascii="Calibri" w:cs="Calibri"/>
          <w:sz w:val="24"/>
        </w:rPr>
        <w:t>Chatukuta P, Rey MEC (2020) A cassava protoplast system for screening genes associated with the response to South African cassava mosaic virus. Virol J 17: 184</w:t>
      </w:r>
    </w:p>
    <w:p w14:paraId="47063788" w14:textId="77777777" w:rsidR="00FC22B1" w:rsidRPr="00FC22B1" w:rsidRDefault="00FC22B1" w:rsidP="00FC22B1">
      <w:pPr>
        <w:pStyle w:val="Bibliography"/>
        <w:rPr>
          <w:rFonts w:ascii="Calibri" w:cs="Calibri"/>
          <w:sz w:val="24"/>
        </w:rPr>
      </w:pPr>
      <w:r w:rsidRPr="00FC22B1">
        <w:rPr>
          <w:rFonts w:ascii="Calibri" w:cs="Calibri"/>
          <w:sz w:val="24"/>
        </w:rPr>
        <w:lastRenderedPageBreak/>
        <w:t xml:space="preserve">Dai Y, Hu G, Dupas A, Medina L, Blandels N, San Clemente H, Ladouce N, Badawi M, Hernandez-Raquet G, Mounet F, et al (2020) Implementing the CRISPR/Cas9 Technology in </w:t>
      </w:r>
      <w:r w:rsidRPr="00416E00">
        <w:rPr>
          <w:rFonts w:ascii="Calibri" w:cs="Calibri"/>
          <w:i/>
          <w:iCs/>
          <w:sz w:val="24"/>
        </w:rPr>
        <w:t>Eucalyptus</w:t>
      </w:r>
      <w:r w:rsidRPr="00FC22B1">
        <w:rPr>
          <w:rFonts w:ascii="Calibri" w:cs="Calibri"/>
          <w:sz w:val="24"/>
        </w:rPr>
        <w:t xml:space="preserve"> Hairy Roots Using Wood-Related Genes. Int J Mol Sci. doi: 10.3390/ijms21103408</w:t>
      </w:r>
    </w:p>
    <w:p w14:paraId="548D37BE" w14:textId="77777777" w:rsidR="00FC22B1" w:rsidRPr="00FC22B1" w:rsidRDefault="00FC22B1" w:rsidP="00FC22B1">
      <w:pPr>
        <w:pStyle w:val="Bibliography"/>
        <w:rPr>
          <w:rFonts w:ascii="Calibri" w:cs="Calibri"/>
          <w:sz w:val="24"/>
        </w:rPr>
      </w:pPr>
      <w:r w:rsidRPr="00FC22B1">
        <w:rPr>
          <w:rFonts w:ascii="Calibri" w:cs="Calibri"/>
          <w:sz w:val="24"/>
        </w:rPr>
        <w:t xml:space="preserve">Dalla Costa L, Piazza S, Pompili V, Salvagnin U, Cestaro A, Moffa L, Vittani L, Moser C, Malnoy M (2020) Strategies to produce T-DNA free CRISPRed fruit trees via </w:t>
      </w:r>
      <w:r w:rsidRPr="00416E00">
        <w:rPr>
          <w:rFonts w:ascii="Calibri" w:cs="Calibri"/>
          <w:i/>
          <w:iCs/>
          <w:sz w:val="24"/>
        </w:rPr>
        <w:t xml:space="preserve">Agrobacterium tumefaciens </w:t>
      </w:r>
      <w:r w:rsidRPr="00FC22B1">
        <w:rPr>
          <w:rFonts w:ascii="Calibri" w:cs="Calibri"/>
          <w:sz w:val="24"/>
        </w:rPr>
        <w:t>stable gene transfer. Sci Rep 10: 20155</w:t>
      </w:r>
    </w:p>
    <w:p w14:paraId="48A05DF9" w14:textId="77777777" w:rsidR="00FC22B1" w:rsidRPr="00FC22B1" w:rsidRDefault="00FC22B1" w:rsidP="00FC22B1">
      <w:pPr>
        <w:pStyle w:val="Bibliography"/>
        <w:rPr>
          <w:rFonts w:ascii="Calibri" w:cs="Calibri"/>
          <w:sz w:val="24"/>
        </w:rPr>
      </w:pPr>
      <w:r w:rsidRPr="00FC22B1">
        <w:rPr>
          <w:rFonts w:ascii="Calibri" w:cs="Calibri"/>
          <w:sz w:val="24"/>
        </w:rPr>
        <w:t>De Meester B, Madariaga Calderón B, de Vries L, Pollier J, Goeminne G, Van Doorsselaere J, Chen M, Ralph J, Vanholme R, Boerjan W (2020) Tailoring poplar lignin without yield penalty by combining a null and haploinsufficient CINNAMOYL-CoA REDUCTASE2 allele. Nat Commun 11: 5020</w:t>
      </w:r>
    </w:p>
    <w:p w14:paraId="4B41ED27" w14:textId="77777777" w:rsidR="00FC22B1" w:rsidRPr="00FC22B1" w:rsidRDefault="00FC22B1" w:rsidP="00FC22B1">
      <w:pPr>
        <w:pStyle w:val="Bibliography"/>
        <w:rPr>
          <w:rFonts w:ascii="Calibri" w:cs="Calibri"/>
          <w:sz w:val="24"/>
        </w:rPr>
      </w:pPr>
      <w:r w:rsidRPr="00FC22B1">
        <w:rPr>
          <w:rFonts w:ascii="Calibri" w:cs="Calibri"/>
          <w:sz w:val="24"/>
        </w:rPr>
        <w:t>Ding L, Chen Y, Ma Y, Wang H, Wei J (2020) Effective reduction in chimeric mutants of poplar trees produced by CRISPR/Cas9 through a second round of shoot regeneration. Plant Biotechnol Rep 14: 549–558</w:t>
      </w:r>
    </w:p>
    <w:p w14:paraId="3B33C6E3" w14:textId="77777777" w:rsidR="00FC22B1" w:rsidRPr="00FC22B1" w:rsidRDefault="00FC22B1" w:rsidP="00FC22B1">
      <w:pPr>
        <w:pStyle w:val="Bibliography"/>
        <w:rPr>
          <w:rFonts w:ascii="Calibri" w:cs="Calibri"/>
          <w:sz w:val="24"/>
        </w:rPr>
      </w:pPr>
      <w:r w:rsidRPr="00FC22B1">
        <w:rPr>
          <w:rFonts w:ascii="Calibri" w:cs="Calibri"/>
          <w:sz w:val="24"/>
        </w:rPr>
        <w:t>Dutt M, Mou Z, Zhang X, Tanwir SE, Grosser JW (2020) Efficient CRISPR/Cas9 genome editing with Citrus embryogenic cell cultures. BMC Biotechnol 20: 58</w:t>
      </w:r>
    </w:p>
    <w:p w14:paraId="4C61C483" w14:textId="77777777" w:rsidR="00FC22B1" w:rsidRPr="00FC22B1" w:rsidRDefault="00FC22B1" w:rsidP="00FC22B1">
      <w:pPr>
        <w:pStyle w:val="Bibliography"/>
        <w:rPr>
          <w:rFonts w:ascii="Calibri" w:cs="Calibri"/>
          <w:sz w:val="24"/>
        </w:rPr>
      </w:pPr>
      <w:r w:rsidRPr="00FC22B1">
        <w:rPr>
          <w:rFonts w:ascii="Calibri" w:cs="Calibri"/>
          <w:sz w:val="24"/>
        </w:rPr>
        <w:t>Elorriaga E, Klocko AL, Ma C, Strauss SH (2018) Variation in Mutation Spectra Among CRISPR/Cas9 Mutagenized Poplars. Front Plant Sci 9: 594</w:t>
      </w:r>
    </w:p>
    <w:p w14:paraId="5DBCAB75" w14:textId="77777777" w:rsidR="00FC22B1" w:rsidRPr="00FC22B1" w:rsidRDefault="00FC22B1" w:rsidP="00FC22B1">
      <w:pPr>
        <w:pStyle w:val="Bibliography"/>
        <w:rPr>
          <w:rFonts w:ascii="Calibri" w:cs="Calibri"/>
          <w:sz w:val="24"/>
        </w:rPr>
      </w:pPr>
      <w:r w:rsidRPr="00FC22B1">
        <w:rPr>
          <w:rFonts w:ascii="Calibri" w:cs="Calibri"/>
          <w:sz w:val="24"/>
        </w:rPr>
        <w:t>Enciso-Rodriguez F, Manrique-Carpintero NC, Nadakuduti SS, Buell CR, Zarka D, Douches D (2019) Overcoming Self-Incompatibility in Diploid Potato Using CRISPR-Cas9. Front Plant Sci 10: 376</w:t>
      </w:r>
    </w:p>
    <w:p w14:paraId="2A0A877D" w14:textId="77777777" w:rsidR="00FC22B1" w:rsidRPr="00FC22B1" w:rsidRDefault="00FC22B1" w:rsidP="00FC22B1">
      <w:pPr>
        <w:pStyle w:val="Bibliography"/>
        <w:rPr>
          <w:rFonts w:ascii="Calibri" w:cs="Calibri"/>
          <w:sz w:val="24"/>
        </w:rPr>
      </w:pPr>
      <w:r w:rsidRPr="00FC22B1">
        <w:rPr>
          <w:rFonts w:ascii="Calibri" w:cs="Calibri"/>
          <w:sz w:val="24"/>
        </w:rPr>
        <w:t>Fan D, Wang X, Tang X, Ye X, Ren S, Wang D, Luo K (2018) Histone H3K9 demethylase JMJ25 epigenetically modulates anthocyanin biosynthesis in poplar. Plant J 96: 1121–1136</w:t>
      </w:r>
    </w:p>
    <w:p w14:paraId="70FC9409" w14:textId="3DC16B65" w:rsidR="00FC22B1" w:rsidRPr="00FC22B1" w:rsidRDefault="00FC22B1" w:rsidP="00FC22B1">
      <w:pPr>
        <w:pStyle w:val="Bibliography"/>
        <w:rPr>
          <w:rFonts w:ascii="Calibri" w:cs="Calibri"/>
          <w:sz w:val="24"/>
        </w:rPr>
      </w:pPr>
      <w:r w:rsidRPr="00FC22B1">
        <w:rPr>
          <w:rFonts w:ascii="Calibri" w:cs="Calibri"/>
          <w:sz w:val="24"/>
        </w:rPr>
        <w:t>Fan Y, Xin S, Dai X, Yang X, Huang H, Hua Y (2020) Efficient genome editing of rubber tree (</w:t>
      </w:r>
      <w:r w:rsidR="00416E00" w:rsidRPr="00416E00">
        <w:rPr>
          <w:rFonts w:ascii="Calibri" w:cs="Calibri"/>
          <w:i/>
          <w:iCs/>
          <w:sz w:val="24"/>
        </w:rPr>
        <w:t>H</w:t>
      </w:r>
      <w:r w:rsidRPr="00416E00">
        <w:rPr>
          <w:rFonts w:ascii="Calibri" w:cs="Calibri"/>
          <w:i/>
          <w:iCs/>
          <w:sz w:val="24"/>
        </w:rPr>
        <w:t>evea brasiliensis</w:t>
      </w:r>
      <w:r w:rsidRPr="00FC22B1">
        <w:rPr>
          <w:rFonts w:ascii="Calibri" w:cs="Calibri"/>
          <w:sz w:val="24"/>
        </w:rPr>
        <w:t>) protoplasts using CRISPR/Cas9 ribonucleoproteins. Ind Crops Prod 146: 112146</w:t>
      </w:r>
    </w:p>
    <w:p w14:paraId="24C7FE01" w14:textId="77777777" w:rsidR="00FC22B1" w:rsidRPr="00FC22B1" w:rsidRDefault="00FC22B1" w:rsidP="00FC22B1">
      <w:pPr>
        <w:pStyle w:val="Bibliography"/>
        <w:rPr>
          <w:rFonts w:ascii="Calibri" w:cs="Calibri"/>
          <w:sz w:val="24"/>
        </w:rPr>
      </w:pPr>
      <w:r w:rsidRPr="00FC22B1">
        <w:rPr>
          <w:rFonts w:ascii="Calibri" w:cs="Calibri"/>
          <w:sz w:val="24"/>
        </w:rPr>
        <w:t>Fellenberg C, Corea O, Yan L-H, Archinuk F, Piirtola E-M, Gordon H, Reichelt M, Brandt W, Wulff J, Ehlting J, et al (2020) Discovery of salicyl benzoate UDP-glycosyltransferase, a central enzyme in poplar salicinoid phenolic glycoside biosynthesis. Plant J 102: 99–115</w:t>
      </w:r>
    </w:p>
    <w:p w14:paraId="27683306" w14:textId="77777777" w:rsidR="00FC22B1" w:rsidRPr="00FC22B1" w:rsidRDefault="00FC22B1" w:rsidP="00FC22B1">
      <w:pPr>
        <w:pStyle w:val="Bibliography"/>
        <w:rPr>
          <w:rFonts w:ascii="Calibri" w:cs="Calibri"/>
          <w:sz w:val="24"/>
        </w:rPr>
      </w:pPr>
      <w:r w:rsidRPr="00FC22B1">
        <w:rPr>
          <w:rFonts w:ascii="Calibri" w:cs="Calibri"/>
          <w:sz w:val="24"/>
        </w:rPr>
        <w:lastRenderedPageBreak/>
        <w:t>Feng J, Dai C, Luo H, Han Y, Liu Z, Kang C (2019) Reporter gene expression reveals precise auxin synthesis sites during fruit and root development in wild strawberry. J Exp Bot 70: 563–574</w:t>
      </w:r>
    </w:p>
    <w:p w14:paraId="637A2BAB" w14:textId="77777777" w:rsidR="00FC22B1" w:rsidRPr="00FC22B1" w:rsidRDefault="00FC22B1" w:rsidP="00FC22B1">
      <w:pPr>
        <w:pStyle w:val="Bibliography"/>
        <w:rPr>
          <w:rFonts w:ascii="Calibri" w:cs="Calibri"/>
          <w:sz w:val="24"/>
        </w:rPr>
      </w:pPr>
      <w:r w:rsidRPr="00FC22B1">
        <w:rPr>
          <w:rFonts w:ascii="Calibri" w:cs="Calibri"/>
          <w:sz w:val="24"/>
        </w:rPr>
        <w:t xml:space="preserve">Fister AS, Landherr L, Maximova SN, Guiltinan MJ (2018) Transient Expression of CRISPR/Cas9 Machinery Targeting TcNPR3 Enhances Defense Response in </w:t>
      </w:r>
      <w:r w:rsidRPr="00416E00">
        <w:rPr>
          <w:rFonts w:ascii="Calibri" w:cs="Calibri"/>
          <w:i/>
          <w:iCs/>
          <w:sz w:val="24"/>
        </w:rPr>
        <w:t>Theobroma cacao</w:t>
      </w:r>
      <w:r w:rsidRPr="00FC22B1">
        <w:rPr>
          <w:rFonts w:ascii="Calibri" w:cs="Calibri"/>
          <w:sz w:val="24"/>
        </w:rPr>
        <w:t>. Front Plant Sci 9: 268</w:t>
      </w:r>
    </w:p>
    <w:p w14:paraId="60EA2BB1" w14:textId="77777777" w:rsidR="00FC22B1" w:rsidRPr="00FC22B1" w:rsidRDefault="00FC22B1" w:rsidP="00FC22B1">
      <w:pPr>
        <w:pStyle w:val="Bibliography"/>
        <w:rPr>
          <w:rFonts w:ascii="Calibri" w:cs="Calibri"/>
          <w:sz w:val="24"/>
        </w:rPr>
      </w:pPr>
      <w:r w:rsidRPr="00FC22B1">
        <w:rPr>
          <w:rFonts w:ascii="Calibri" w:cs="Calibri"/>
          <w:sz w:val="24"/>
        </w:rPr>
        <w:t>Gao Q, Luo H, Li Y, Liu Z, Kang C (2020) Genetic modulation of RAP alters fruit coloration in both wild and cultivated strawberry. Plant Biotechnol J 18: 1550–1561</w:t>
      </w:r>
    </w:p>
    <w:p w14:paraId="129B06B6" w14:textId="77777777" w:rsidR="00FC22B1" w:rsidRPr="00FC22B1" w:rsidRDefault="00FC22B1" w:rsidP="00FC22B1">
      <w:pPr>
        <w:pStyle w:val="Bibliography"/>
        <w:rPr>
          <w:rFonts w:ascii="Calibri" w:cs="Calibri"/>
          <w:sz w:val="24"/>
        </w:rPr>
      </w:pPr>
      <w:r w:rsidRPr="00FC22B1">
        <w:rPr>
          <w:rFonts w:ascii="Calibri" w:cs="Calibri"/>
          <w:sz w:val="24"/>
        </w:rPr>
        <w:t>Gomez MA, Lin ZD, Moll T, Chauhan RD, Hayden L, Renninger K, Beyene G, Taylor NJ, Carrington JC, Staskawicz BJ, et al (2019) Simultaneous CRISPR/Cas9-mediated editing of cassava eIF4E isoforms nCBP-1 and nCBP-2 reduces cassava brown streak disease symptom severity and incidence. Plant Biotechnol J 17: 421–434</w:t>
      </w:r>
    </w:p>
    <w:p w14:paraId="605D2CB0" w14:textId="77777777" w:rsidR="00FC22B1" w:rsidRPr="00FC22B1" w:rsidRDefault="00FC22B1" w:rsidP="00FC22B1">
      <w:pPr>
        <w:pStyle w:val="Bibliography"/>
        <w:rPr>
          <w:rFonts w:ascii="Calibri" w:cs="Calibri"/>
          <w:sz w:val="24"/>
        </w:rPr>
      </w:pPr>
      <w:r w:rsidRPr="00FC22B1">
        <w:rPr>
          <w:rFonts w:ascii="Calibri" w:cs="Calibri"/>
          <w:sz w:val="24"/>
        </w:rPr>
        <w:t>González MN, Massa GA, Andersson M, Turesson H, Olsson N, Fält A-S, Storani L, Décima Oneto CA, Hofvander P, Feingold SE (2020) Reduced Enzymatic Browning in Potato Tubers by Specific Editing of a Polyphenol Oxidase Gene via Ribonucleoprotein Complexes Delivery of the CRISPR/Cas9 System. Front Plant Sci 10: 1649–1649</w:t>
      </w:r>
    </w:p>
    <w:p w14:paraId="71883B18" w14:textId="77777777" w:rsidR="00FC22B1" w:rsidRPr="00FC22B1" w:rsidRDefault="00FC22B1" w:rsidP="00FC22B1">
      <w:pPr>
        <w:pStyle w:val="Bibliography"/>
        <w:rPr>
          <w:rFonts w:ascii="Calibri" w:cs="Calibri"/>
          <w:sz w:val="24"/>
        </w:rPr>
      </w:pPr>
      <w:r w:rsidRPr="00FC22B1">
        <w:rPr>
          <w:rFonts w:ascii="Calibri" w:cs="Calibri"/>
          <w:sz w:val="24"/>
        </w:rPr>
        <w:t>Hu C, Sheng O, Deng G, He W, Dong T, Yang Q, Dou T, Li C, Gao H, Liu S, et al (2020) CRISPR/Cas9-mediated genome editing of MaACO1 (aminocyclopropane-1-carboxylate oxidase 1) promotes the shelf life of banana fruit. Plant Biotechnol J. doi: 10.1111/pbi.13534</w:t>
      </w:r>
    </w:p>
    <w:p w14:paraId="124FFBC9" w14:textId="77777777" w:rsidR="00FC22B1" w:rsidRPr="00FC22B1" w:rsidRDefault="00FC22B1" w:rsidP="00FC22B1">
      <w:pPr>
        <w:pStyle w:val="Bibliography"/>
        <w:rPr>
          <w:rFonts w:ascii="Calibri" w:cs="Calibri"/>
          <w:sz w:val="24"/>
        </w:rPr>
      </w:pPr>
      <w:r w:rsidRPr="00FC22B1">
        <w:rPr>
          <w:rFonts w:ascii="Calibri" w:cs="Calibri"/>
          <w:sz w:val="24"/>
        </w:rPr>
        <w:t>Huang X, Wang Y, Xu J, Wang N (2020) Development of multiplex genome editing toolkits for citrus with high efficacy in biallelic and homozygous mutations. Plant Mol Biol 104: 297–307</w:t>
      </w:r>
    </w:p>
    <w:p w14:paraId="217B0F6F" w14:textId="77777777" w:rsidR="00FC22B1" w:rsidRPr="00FC22B1" w:rsidRDefault="00FC22B1" w:rsidP="00FC22B1">
      <w:pPr>
        <w:pStyle w:val="Bibliography"/>
        <w:rPr>
          <w:rFonts w:ascii="Calibri" w:cs="Calibri"/>
          <w:sz w:val="24"/>
        </w:rPr>
      </w:pPr>
      <w:r w:rsidRPr="00FC22B1">
        <w:rPr>
          <w:rFonts w:ascii="Calibri" w:cs="Calibri"/>
          <w:sz w:val="24"/>
        </w:rPr>
        <w:t>Hummel AW, Chauhan RD, Cermak T, Mutka AM, Vijayaraghavan A, Boyher A, Starker CG, Bart R, Voytas DF, Taylor NJ (2018) Allele exchange at the EPSPS locus confers glyphosate tolerance in cassava. Plant Biotechnol J 16: 1275–1282</w:t>
      </w:r>
    </w:p>
    <w:p w14:paraId="090BDEC2" w14:textId="77777777" w:rsidR="00FC22B1" w:rsidRPr="00FC22B1" w:rsidRDefault="00FC22B1" w:rsidP="00FC22B1">
      <w:pPr>
        <w:pStyle w:val="Bibliography"/>
        <w:rPr>
          <w:rFonts w:ascii="Calibri" w:cs="Calibri"/>
          <w:sz w:val="24"/>
        </w:rPr>
      </w:pPr>
      <w:r w:rsidRPr="00FC22B1">
        <w:rPr>
          <w:rFonts w:ascii="Calibri" w:cs="Calibri"/>
          <w:sz w:val="24"/>
        </w:rPr>
        <w:t>Jia H, Orbović V, Wang N (2019) CRISPR-LbCas12a-mediated modification of citrus. Plant Biotechnol J 17: 1928–1937</w:t>
      </w:r>
    </w:p>
    <w:p w14:paraId="276D6C41" w14:textId="77777777" w:rsidR="00FC22B1" w:rsidRPr="00FC22B1" w:rsidRDefault="00FC22B1" w:rsidP="00FC22B1">
      <w:pPr>
        <w:pStyle w:val="Bibliography"/>
        <w:rPr>
          <w:rFonts w:ascii="Calibri" w:cs="Calibri"/>
          <w:sz w:val="24"/>
        </w:rPr>
      </w:pPr>
      <w:r w:rsidRPr="00FC22B1">
        <w:rPr>
          <w:rFonts w:ascii="Calibri" w:cs="Calibri"/>
          <w:sz w:val="24"/>
        </w:rPr>
        <w:t>Jia H, Wang N (2020) Generation of homozygous canker-resistant citrus in the T0 generation using CRISPR-SpCas9p. Plant Biotechnol J 18: 1990–1992</w:t>
      </w:r>
    </w:p>
    <w:p w14:paraId="2BDEC0CC" w14:textId="77777777" w:rsidR="00FC22B1" w:rsidRPr="00FC22B1" w:rsidRDefault="00FC22B1" w:rsidP="00FC22B1">
      <w:pPr>
        <w:pStyle w:val="Bibliography"/>
        <w:rPr>
          <w:rFonts w:ascii="Calibri" w:cs="Calibri"/>
          <w:sz w:val="24"/>
        </w:rPr>
      </w:pPr>
      <w:r w:rsidRPr="00FC22B1">
        <w:rPr>
          <w:rFonts w:ascii="Calibri" w:cs="Calibri"/>
          <w:sz w:val="24"/>
        </w:rPr>
        <w:lastRenderedPageBreak/>
        <w:t xml:space="preserve">Jia H, Zhang Y, Orbović V, Xu J, White FF, Jones JB, Wang N (2017) Genome editing of the disease susceptibility gene </w:t>
      </w:r>
      <w:r w:rsidRPr="00416E00">
        <w:rPr>
          <w:rFonts w:ascii="Calibri" w:cs="Calibri"/>
          <w:i/>
          <w:iCs/>
          <w:sz w:val="24"/>
        </w:rPr>
        <w:t>CsLOB1</w:t>
      </w:r>
      <w:r w:rsidRPr="00FC22B1">
        <w:rPr>
          <w:rFonts w:ascii="Calibri" w:cs="Calibri"/>
          <w:sz w:val="24"/>
        </w:rPr>
        <w:t xml:space="preserve"> in citrus confers resistance to citrus canker. Plant Biotechnol J 15: 817–823</w:t>
      </w:r>
    </w:p>
    <w:p w14:paraId="1B971B04" w14:textId="77777777" w:rsidR="00FC22B1" w:rsidRPr="00FC22B1" w:rsidRDefault="00FC22B1" w:rsidP="00FC22B1">
      <w:pPr>
        <w:pStyle w:val="Bibliography"/>
        <w:rPr>
          <w:rFonts w:ascii="Calibri" w:cs="Calibri"/>
          <w:sz w:val="24"/>
        </w:rPr>
      </w:pPr>
      <w:r w:rsidRPr="00FC22B1">
        <w:rPr>
          <w:rFonts w:ascii="Calibri" w:cs="Calibri"/>
          <w:sz w:val="24"/>
        </w:rPr>
        <w:t>Johansen IE, Liu Y, Jørgensen B, Bennett EP, Andreasson E, Nielsen KL, Blennow A, Petersen BL (2019) High efficacy full allelic CRISPR/Cas9 gene editing in tetraploid potato. Sci Rep 9: 17715</w:t>
      </w:r>
    </w:p>
    <w:p w14:paraId="0EF4382E" w14:textId="77777777" w:rsidR="00FC22B1" w:rsidRPr="00FC22B1" w:rsidRDefault="00FC22B1" w:rsidP="00FC22B1">
      <w:pPr>
        <w:pStyle w:val="Bibliography"/>
        <w:rPr>
          <w:rFonts w:ascii="Calibri" w:cs="Calibri"/>
          <w:sz w:val="24"/>
        </w:rPr>
      </w:pPr>
      <w:r w:rsidRPr="00FC22B1">
        <w:rPr>
          <w:rFonts w:ascii="Calibri" w:cs="Calibri"/>
          <w:sz w:val="24"/>
        </w:rPr>
        <w:t>Kannan B, Jung JH, Moxley GW, Lee S-M, Altpeter F (2018) TALEN-mediated targeted mutagenesis of more than 100 COMT copies/alleles in highly polyploid sugarcane improves saccharification efficiency without compromising biomass yield. Plant Biotechnol J 16: 856–866</w:t>
      </w:r>
    </w:p>
    <w:p w14:paraId="4A1BFA60" w14:textId="77777777" w:rsidR="00FC22B1" w:rsidRPr="00FC22B1" w:rsidRDefault="00FC22B1" w:rsidP="00FC22B1">
      <w:pPr>
        <w:pStyle w:val="Bibliography"/>
        <w:rPr>
          <w:rFonts w:ascii="Calibri" w:cs="Calibri"/>
          <w:sz w:val="24"/>
        </w:rPr>
      </w:pPr>
      <w:r w:rsidRPr="00FC22B1">
        <w:rPr>
          <w:rFonts w:ascii="Calibri" w:cs="Calibri"/>
          <w:sz w:val="24"/>
        </w:rPr>
        <w:t xml:space="preserve">Kaur N, Alok A, Shivani, Kaur N, Pandey P, Awasthi P, Tiwari S (2018) CRISPR/Cas9-mediated efficient editing in </w:t>
      </w:r>
      <w:r w:rsidRPr="00416E00">
        <w:rPr>
          <w:rFonts w:ascii="Calibri" w:cs="Calibri"/>
          <w:i/>
          <w:iCs/>
          <w:sz w:val="24"/>
        </w:rPr>
        <w:t xml:space="preserve">phytoene desaturase (PDS) </w:t>
      </w:r>
      <w:r w:rsidRPr="00FC22B1">
        <w:rPr>
          <w:rFonts w:ascii="Calibri" w:cs="Calibri"/>
          <w:sz w:val="24"/>
        </w:rPr>
        <w:t>demonstrates precise manipulation in banana cv. Rasthali genome. Funct Integr Genomics 18: 89–99</w:t>
      </w:r>
    </w:p>
    <w:p w14:paraId="2E612186" w14:textId="77777777" w:rsidR="00FC22B1" w:rsidRPr="00FC22B1" w:rsidRDefault="00FC22B1" w:rsidP="00FC22B1">
      <w:pPr>
        <w:pStyle w:val="Bibliography"/>
        <w:rPr>
          <w:rFonts w:ascii="Calibri" w:cs="Calibri"/>
          <w:sz w:val="24"/>
        </w:rPr>
      </w:pPr>
      <w:r w:rsidRPr="00FC22B1">
        <w:rPr>
          <w:rFonts w:ascii="Calibri" w:cs="Calibri"/>
          <w:sz w:val="24"/>
        </w:rPr>
        <w:t>Kaur N, Alok A, Shivani, Kumar P, Kaur N, Awasthi P, Chaturvedi S, Pandey P, Pandey A, Pandey AK, et al (2020) CRISPR/Cas9 directed editing of lycopene epsilon-cyclase modulates metabolic flux for β-carotene biosynthesis in banana fruit. Metab Eng 59: 76–86</w:t>
      </w:r>
    </w:p>
    <w:p w14:paraId="5F4FD3B1" w14:textId="77777777" w:rsidR="00FC22B1" w:rsidRPr="00FC22B1" w:rsidRDefault="00FC22B1" w:rsidP="00FC22B1">
      <w:pPr>
        <w:pStyle w:val="Bibliography"/>
        <w:rPr>
          <w:rFonts w:ascii="Calibri" w:cs="Calibri"/>
          <w:sz w:val="24"/>
        </w:rPr>
      </w:pPr>
      <w:r w:rsidRPr="00FC22B1">
        <w:rPr>
          <w:rFonts w:ascii="Calibri" w:cs="Calibri"/>
          <w:sz w:val="24"/>
        </w:rPr>
        <w:t>Kusano H, Ohnuma M, Mutsuro-Aoki H, Asahi T, Ichinosawa D, Onodera H, Asano K, Noda T, Horie T, Fukumoto K, et al (2018) Establishment of a modified CRISPR/Cas9 system with increased mutagenesis frequency using the translational enhancer dMac3 and multiple guide RNAs in potato. Sci Rep 8: 13753</w:t>
      </w:r>
    </w:p>
    <w:p w14:paraId="1479081E" w14:textId="77777777" w:rsidR="00FC22B1" w:rsidRPr="00FC22B1" w:rsidRDefault="00FC22B1" w:rsidP="00FC22B1">
      <w:pPr>
        <w:pStyle w:val="Bibliography"/>
        <w:rPr>
          <w:rFonts w:ascii="Calibri" w:cs="Calibri"/>
          <w:sz w:val="24"/>
        </w:rPr>
      </w:pPr>
      <w:r w:rsidRPr="00FC22B1">
        <w:rPr>
          <w:rFonts w:ascii="Calibri" w:cs="Calibri"/>
          <w:sz w:val="24"/>
        </w:rPr>
        <w:t>Li M-Y, Jiao Y-T, Wang Y-T, Zhang N, Wang B-B, Liu R-Q, Yin X, Xu Y, Liu G-T (2020a) CRISPR/Cas9-mediated VvPR4b editing decreases downy mildew resistance in grapevine (</w:t>
      </w:r>
      <w:r w:rsidRPr="00416E00">
        <w:rPr>
          <w:rFonts w:ascii="Calibri" w:cs="Calibri"/>
          <w:i/>
          <w:iCs/>
          <w:sz w:val="24"/>
        </w:rPr>
        <w:t>Vitis vinifera L.</w:t>
      </w:r>
      <w:r w:rsidRPr="00FC22B1">
        <w:rPr>
          <w:rFonts w:ascii="Calibri" w:cs="Calibri"/>
          <w:sz w:val="24"/>
        </w:rPr>
        <w:t>). Hortic Res 7: 149</w:t>
      </w:r>
    </w:p>
    <w:p w14:paraId="02392013" w14:textId="77777777" w:rsidR="00FC22B1" w:rsidRPr="00FC22B1" w:rsidRDefault="00FC22B1" w:rsidP="00FC22B1">
      <w:pPr>
        <w:pStyle w:val="Bibliography"/>
        <w:rPr>
          <w:rFonts w:ascii="Calibri" w:cs="Calibri"/>
          <w:sz w:val="24"/>
        </w:rPr>
      </w:pPr>
      <w:r w:rsidRPr="00FC22B1">
        <w:rPr>
          <w:rFonts w:ascii="Calibri" w:cs="Calibri"/>
          <w:sz w:val="24"/>
        </w:rPr>
        <w:t xml:space="preserve">Li Z, Wang Y, Lu X, Li R, Liu J, Fu S, Hu X, Guo J, Yao Y (2020b) Construction and Verification of CRISPR/Cas9 Gene Editing Vector for Cassava </w:t>
      </w:r>
      <w:r w:rsidRPr="00FC22B1">
        <w:rPr>
          <w:rFonts w:ascii="Calibri" w:cs="Calibri"/>
          <w:i/>
          <w:iCs/>
          <w:sz w:val="24"/>
        </w:rPr>
        <w:t>MeSSIII</w:t>
      </w:r>
      <w:r w:rsidRPr="00FC22B1">
        <w:rPr>
          <w:rFonts w:ascii="Calibri" w:cs="Calibri"/>
          <w:sz w:val="24"/>
        </w:rPr>
        <w:t xml:space="preserve"> Gene. Mol Plant Breed. doi: 10.5376/mpb.2020.11.0017</w:t>
      </w:r>
    </w:p>
    <w:p w14:paraId="64901CB7" w14:textId="77777777" w:rsidR="00FC22B1" w:rsidRPr="00FC22B1" w:rsidRDefault="00FC22B1" w:rsidP="00FC22B1">
      <w:pPr>
        <w:pStyle w:val="Bibliography"/>
        <w:rPr>
          <w:rFonts w:ascii="Calibri" w:cs="Calibri"/>
          <w:sz w:val="24"/>
        </w:rPr>
      </w:pPr>
      <w:r w:rsidRPr="00FC22B1">
        <w:rPr>
          <w:rFonts w:ascii="Calibri" w:cs="Calibri"/>
          <w:sz w:val="24"/>
        </w:rPr>
        <w:t xml:space="preserve">Ma W, Kang X, Liu P, Zhang Y, Lin X, Li B, Chen Z (2021) The analysis of transcription factor </w:t>
      </w:r>
      <w:r w:rsidRPr="00416E00">
        <w:rPr>
          <w:rFonts w:ascii="Calibri" w:cs="Calibri"/>
          <w:i/>
          <w:iCs/>
          <w:sz w:val="24"/>
        </w:rPr>
        <w:t>CsHB1</w:t>
      </w:r>
      <w:r w:rsidRPr="00FC22B1">
        <w:rPr>
          <w:rFonts w:ascii="Calibri" w:cs="Calibri"/>
          <w:sz w:val="24"/>
        </w:rPr>
        <w:t xml:space="preserve"> effects on caffeine accumulation in tea callus through CRISPR/Cas9 mediated gene editing. Process Biochem 101: 304–311</w:t>
      </w:r>
    </w:p>
    <w:p w14:paraId="07AA91F2" w14:textId="77777777" w:rsidR="00FC22B1" w:rsidRPr="00FC22B1" w:rsidRDefault="00FC22B1" w:rsidP="00FC22B1">
      <w:pPr>
        <w:pStyle w:val="Bibliography"/>
        <w:rPr>
          <w:rFonts w:ascii="Calibri" w:cs="Calibri"/>
          <w:sz w:val="24"/>
        </w:rPr>
      </w:pPr>
      <w:r w:rsidRPr="00FC22B1">
        <w:rPr>
          <w:rFonts w:ascii="Calibri" w:cs="Calibri"/>
          <w:sz w:val="24"/>
        </w:rPr>
        <w:t>Martín-Pizarro C, Triviño JC, Posé D (2019) Functional analysis of the TM6 MADS-box gene in the octoploid strawberry by CRISPR/Cas9-directed mutagenesis. J Exp Bot 70: 885–895</w:t>
      </w:r>
    </w:p>
    <w:p w14:paraId="35ADA5E4" w14:textId="77777777" w:rsidR="00FC22B1" w:rsidRPr="00FC22B1" w:rsidRDefault="00FC22B1" w:rsidP="00FC22B1">
      <w:pPr>
        <w:pStyle w:val="Bibliography"/>
        <w:rPr>
          <w:rFonts w:ascii="Calibri" w:cs="Calibri"/>
          <w:sz w:val="24"/>
        </w:rPr>
      </w:pPr>
      <w:r w:rsidRPr="00FC22B1">
        <w:rPr>
          <w:rFonts w:ascii="Calibri" w:cs="Calibri"/>
          <w:sz w:val="24"/>
        </w:rPr>
        <w:lastRenderedPageBreak/>
        <w:t>Movahedi A, Wei H, Chen Z-H, Sun W, Zhang J, Li D, Yang L, Zhuge Q (2020) NHEJ deficiency develops homologous recombination in poplar meaningfully further than the overexpression of HDR factors. bioRxiv 2020.07.04.188219</w:t>
      </w:r>
    </w:p>
    <w:p w14:paraId="61C1DF69" w14:textId="77777777" w:rsidR="00FC22B1" w:rsidRPr="00FC22B1" w:rsidRDefault="00FC22B1" w:rsidP="00FC22B1">
      <w:pPr>
        <w:pStyle w:val="Bibliography"/>
        <w:rPr>
          <w:rFonts w:ascii="Calibri" w:cs="Calibri"/>
          <w:sz w:val="24"/>
        </w:rPr>
      </w:pPr>
      <w:r w:rsidRPr="00FC22B1">
        <w:rPr>
          <w:rFonts w:ascii="Calibri" w:cs="Calibri"/>
          <w:sz w:val="24"/>
        </w:rPr>
        <w:t xml:space="preserve">Muhr M, Paulat M, Awwanah M, Brinkkötter M, Teichmann T (2018) CRISPR/Cas9-mediated knockout of </w:t>
      </w:r>
      <w:r w:rsidRPr="00416E00">
        <w:rPr>
          <w:rFonts w:ascii="Calibri" w:cs="Calibri"/>
          <w:i/>
          <w:iCs/>
          <w:sz w:val="24"/>
        </w:rPr>
        <w:t xml:space="preserve">Populus BRANCHED1 </w:t>
      </w:r>
      <w:r w:rsidRPr="00FC22B1">
        <w:rPr>
          <w:rFonts w:ascii="Calibri" w:cs="Calibri"/>
          <w:sz w:val="24"/>
        </w:rPr>
        <w:t xml:space="preserve">and </w:t>
      </w:r>
      <w:r w:rsidRPr="00416E00">
        <w:rPr>
          <w:rFonts w:ascii="Calibri" w:cs="Calibri"/>
          <w:i/>
          <w:iCs/>
          <w:sz w:val="24"/>
        </w:rPr>
        <w:t xml:space="preserve">BRANCHED2 </w:t>
      </w:r>
      <w:r w:rsidRPr="00FC22B1">
        <w:rPr>
          <w:rFonts w:ascii="Calibri" w:cs="Calibri"/>
          <w:sz w:val="24"/>
        </w:rPr>
        <w:t>orthologs reveals a major function in bud outgrowth control. Tree Physiol 38: 1588–1597</w:t>
      </w:r>
    </w:p>
    <w:p w14:paraId="65A4B933" w14:textId="77777777" w:rsidR="00FC22B1" w:rsidRPr="00FC22B1" w:rsidRDefault="00FC22B1" w:rsidP="00FC22B1">
      <w:pPr>
        <w:pStyle w:val="Bibliography"/>
        <w:rPr>
          <w:rFonts w:ascii="Calibri" w:cs="Calibri"/>
          <w:sz w:val="24"/>
        </w:rPr>
      </w:pPr>
      <w:r w:rsidRPr="00FC22B1">
        <w:rPr>
          <w:rFonts w:ascii="Calibri" w:cs="Calibri"/>
          <w:sz w:val="24"/>
        </w:rPr>
        <w:t>Müller NA, Kersten B, Leite Montalvão AP, Mähler N, Bernhardsson C, Bräutigam K, Carracedo Lorenzo Z, Hoenicka H, Kumar V, Mader M, et al (2020) A single gene underlies the dynamic evolution of poplar sex determination. Nat Plants 6: 630–637</w:t>
      </w:r>
    </w:p>
    <w:p w14:paraId="7B61D59B" w14:textId="77777777" w:rsidR="00FC22B1" w:rsidRPr="00FC22B1" w:rsidRDefault="00FC22B1" w:rsidP="00FC22B1">
      <w:pPr>
        <w:pStyle w:val="Bibliography"/>
        <w:rPr>
          <w:rFonts w:ascii="Calibri" w:cs="Calibri"/>
          <w:sz w:val="24"/>
        </w:rPr>
      </w:pPr>
      <w:r w:rsidRPr="00FC22B1">
        <w:rPr>
          <w:rFonts w:ascii="Calibri" w:cs="Calibri"/>
          <w:sz w:val="24"/>
        </w:rPr>
        <w:t xml:space="preserve">Naim F, Dugdale B, Kleidon J, Brinin A, Shand K, Waterhouse P, Dale J (2018) Gene editing the </w:t>
      </w:r>
      <w:r w:rsidRPr="00416E00">
        <w:rPr>
          <w:rFonts w:ascii="Calibri" w:cs="Calibri"/>
          <w:i/>
          <w:iCs/>
          <w:sz w:val="24"/>
        </w:rPr>
        <w:t>phytoene desaturase</w:t>
      </w:r>
      <w:r w:rsidRPr="00FC22B1">
        <w:rPr>
          <w:rFonts w:ascii="Calibri" w:cs="Calibri"/>
          <w:sz w:val="24"/>
        </w:rPr>
        <w:t xml:space="preserve"> alleles of Cavendish banana using CRISPR/Cas9. Transgenic Res 27: 451–460</w:t>
      </w:r>
    </w:p>
    <w:p w14:paraId="734C93B7" w14:textId="77777777" w:rsidR="00FC22B1" w:rsidRPr="00FC22B1" w:rsidRDefault="00FC22B1" w:rsidP="00FC22B1">
      <w:pPr>
        <w:pStyle w:val="Bibliography"/>
        <w:rPr>
          <w:rFonts w:ascii="Calibri" w:cs="Calibri"/>
          <w:sz w:val="24"/>
        </w:rPr>
      </w:pPr>
      <w:r w:rsidRPr="00FC22B1">
        <w:rPr>
          <w:rFonts w:ascii="Calibri" w:cs="Calibri"/>
          <w:sz w:val="24"/>
        </w:rPr>
        <w:t>Nakajima I, Ban Y, Azuma A, Onoue N, Moriguchi T, Yamamoto T, Toki S, Endo M (2017) CRISPR/Cas9-mediated targeted mutagenesis in grape. PLOS ONE 12: e0177966</w:t>
      </w:r>
    </w:p>
    <w:p w14:paraId="5BCBCFC9" w14:textId="77777777" w:rsidR="00FC22B1" w:rsidRPr="00FC22B1" w:rsidRDefault="00FC22B1" w:rsidP="00FC22B1">
      <w:pPr>
        <w:pStyle w:val="Bibliography"/>
        <w:rPr>
          <w:rFonts w:ascii="Calibri" w:cs="Calibri"/>
          <w:sz w:val="24"/>
        </w:rPr>
      </w:pPr>
      <w:r w:rsidRPr="00FC22B1">
        <w:rPr>
          <w:rFonts w:ascii="Calibri" w:cs="Calibri"/>
          <w:sz w:val="24"/>
        </w:rPr>
        <w:t>Nakayasu M, Akiyama R, Lee HJ, Osakabe K, Osakabe Y, Watanabe B, Sugimoto Y, Umemoto N, Saito K, Muranaka T, et al (2018) Generation of α-solanine-free hairy roots of potato by CRISPR/Cas9 mediated genome editing of the St16DOX gene. Genome Ed Technol Plant Physiol 131: 70–77</w:t>
      </w:r>
    </w:p>
    <w:p w14:paraId="34EF390C" w14:textId="45AD1186" w:rsidR="00FC22B1" w:rsidRPr="00FC22B1" w:rsidRDefault="00FC22B1" w:rsidP="00FC22B1">
      <w:pPr>
        <w:pStyle w:val="Bibliography"/>
        <w:rPr>
          <w:rFonts w:ascii="Calibri" w:cs="Calibri"/>
          <w:sz w:val="24"/>
        </w:rPr>
      </w:pPr>
      <w:r w:rsidRPr="00FC22B1">
        <w:rPr>
          <w:rFonts w:ascii="Calibri" w:cs="Calibri"/>
          <w:sz w:val="24"/>
        </w:rPr>
        <w:t>Ntui VO, Tripathi JN, Tripathi L (2020) Robust CRISPR/Cas9 mediated genome editing tool for banana and plantain (</w:t>
      </w:r>
      <w:r w:rsidRPr="00416E00">
        <w:rPr>
          <w:rFonts w:ascii="Calibri" w:cs="Calibri"/>
          <w:i/>
          <w:iCs/>
          <w:sz w:val="24"/>
        </w:rPr>
        <w:t>Musa spp.</w:t>
      </w:r>
      <w:r w:rsidRPr="00FC22B1">
        <w:rPr>
          <w:rFonts w:ascii="Calibri" w:cs="Calibri"/>
          <w:sz w:val="24"/>
        </w:rPr>
        <w:t>). Spec Issue Plant Genom</w:t>
      </w:r>
      <w:r w:rsidR="00416E00">
        <w:rPr>
          <w:rFonts w:ascii="Calibri" w:cs="Calibri"/>
          <w:sz w:val="24"/>
        </w:rPr>
        <w:t xml:space="preserve"> </w:t>
      </w:r>
      <w:r w:rsidRPr="00FC22B1">
        <w:rPr>
          <w:rFonts w:ascii="Calibri" w:cs="Calibri"/>
          <w:sz w:val="24"/>
        </w:rPr>
        <w:t>Bioinform 2020 21: 100128</w:t>
      </w:r>
    </w:p>
    <w:p w14:paraId="586C51D5" w14:textId="77777777" w:rsidR="00FC22B1" w:rsidRPr="00FC22B1" w:rsidRDefault="00FC22B1" w:rsidP="00FC22B1">
      <w:pPr>
        <w:pStyle w:val="Bibliography"/>
        <w:rPr>
          <w:rFonts w:ascii="Calibri" w:cs="Calibri"/>
          <w:sz w:val="24"/>
        </w:rPr>
      </w:pPr>
      <w:r w:rsidRPr="00FC22B1">
        <w:rPr>
          <w:rFonts w:ascii="Calibri" w:cs="Calibri"/>
          <w:sz w:val="24"/>
        </w:rPr>
        <w:t xml:space="preserve">Odipio J, Alicai T, Ingelbrecht I, Nusinow DA, Bart R, Taylor NJ (2017) Efficient CRISPR/Cas9 Genome Editing of </w:t>
      </w:r>
      <w:r w:rsidRPr="00416E00">
        <w:rPr>
          <w:rFonts w:ascii="Calibri" w:cs="Calibri"/>
          <w:i/>
          <w:iCs/>
          <w:sz w:val="24"/>
        </w:rPr>
        <w:t xml:space="preserve">Phytoene desaturase </w:t>
      </w:r>
      <w:r w:rsidRPr="00FC22B1">
        <w:rPr>
          <w:rFonts w:ascii="Calibri" w:cs="Calibri"/>
          <w:sz w:val="24"/>
        </w:rPr>
        <w:t>in Cassava. Front Plant Sci 8: 1780</w:t>
      </w:r>
    </w:p>
    <w:p w14:paraId="4E8C355D" w14:textId="77777777" w:rsidR="00FC22B1" w:rsidRPr="00FC22B1" w:rsidRDefault="00FC22B1" w:rsidP="00FC22B1">
      <w:pPr>
        <w:pStyle w:val="Bibliography"/>
        <w:rPr>
          <w:rFonts w:ascii="Calibri" w:cs="Calibri"/>
          <w:sz w:val="24"/>
        </w:rPr>
      </w:pPr>
      <w:r w:rsidRPr="00FC22B1">
        <w:rPr>
          <w:rFonts w:ascii="Calibri" w:cs="Calibri"/>
          <w:sz w:val="24"/>
        </w:rPr>
        <w:t xml:space="preserve">Omori M, Yamane H, Osakabe K, Osakabe Y, Tao R (2021) Targeted mutagenesis of </w:t>
      </w:r>
      <w:r w:rsidRPr="00416E00">
        <w:rPr>
          <w:rFonts w:ascii="Calibri" w:cs="Calibri"/>
          <w:i/>
          <w:iCs/>
          <w:sz w:val="24"/>
        </w:rPr>
        <w:t>CENTRORADIALIS</w:t>
      </w:r>
      <w:r w:rsidRPr="00FC22B1">
        <w:rPr>
          <w:rFonts w:ascii="Calibri" w:cs="Calibri"/>
          <w:sz w:val="24"/>
        </w:rPr>
        <w:t xml:space="preserve"> using CRISPR/Cas9 system through the improvement of genetic transformation efficiency of tetraploid highbush blueberry. J Hortic Sci Biotechnol 96: 153–161</w:t>
      </w:r>
    </w:p>
    <w:p w14:paraId="73E81A95" w14:textId="77777777" w:rsidR="00FC22B1" w:rsidRPr="00FC22B1" w:rsidRDefault="00FC22B1" w:rsidP="00FC22B1">
      <w:pPr>
        <w:pStyle w:val="Bibliography"/>
        <w:rPr>
          <w:rFonts w:ascii="Calibri" w:cs="Calibri"/>
          <w:sz w:val="24"/>
        </w:rPr>
      </w:pPr>
      <w:r w:rsidRPr="00FC22B1">
        <w:rPr>
          <w:rFonts w:ascii="Calibri" w:cs="Calibri"/>
          <w:sz w:val="24"/>
        </w:rPr>
        <w:t>Osakabe Y, Liang Z, Ren C, Nishitani C, Osakabe K, Wada M, Komori S, Malnoy M, Velasco R, Poli M, et al (2018) CRISPR–Cas9-mediated genome editing in apple and grapevine. Nat Protoc 13: 2844–2863</w:t>
      </w:r>
    </w:p>
    <w:p w14:paraId="2A50B241" w14:textId="77777777" w:rsidR="00FC22B1" w:rsidRPr="00FC22B1" w:rsidRDefault="00FC22B1" w:rsidP="00FC22B1">
      <w:pPr>
        <w:pStyle w:val="Bibliography"/>
        <w:rPr>
          <w:rFonts w:ascii="Calibri" w:cs="Calibri"/>
          <w:sz w:val="24"/>
        </w:rPr>
      </w:pPr>
      <w:r w:rsidRPr="00FC22B1">
        <w:rPr>
          <w:rFonts w:ascii="Calibri" w:cs="Calibri"/>
          <w:sz w:val="24"/>
        </w:rPr>
        <w:lastRenderedPageBreak/>
        <w:t xml:space="preserve">Osmani Z, Jin S, Mikami M, Endo M, Atarashi H, Fujino K, Yamada T, Nakahara KS (2019) CRISPR/Cas9-Mediated Editing of Genes Encoding rgs-CaM-like Proteins in Transgenic Potato Plants. </w:t>
      </w:r>
      <w:r w:rsidRPr="00FC22B1">
        <w:rPr>
          <w:rFonts w:ascii="Calibri" w:cs="Calibri"/>
          <w:i/>
          <w:iCs/>
          <w:sz w:val="24"/>
        </w:rPr>
        <w:t>In</w:t>
      </w:r>
      <w:r w:rsidRPr="00FC22B1">
        <w:rPr>
          <w:rFonts w:ascii="Calibri" w:cs="Calibri"/>
          <w:sz w:val="24"/>
        </w:rPr>
        <w:t xml:space="preserve"> K Kobayashi, M Nishiguchi, eds, Antivir. Resist. Plants Methods Protoc. Springer New York, New York, NY, pp 153–165</w:t>
      </w:r>
    </w:p>
    <w:p w14:paraId="74D31F48" w14:textId="77777777" w:rsidR="00FC22B1" w:rsidRPr="00FC22B1" w:rsidRDefault="00FC22B1" w:rsidP="00FC22B1">
      <w:pPr>
        <w:pStyle w:val="Bibliography"/>
        <w:rPr>
          <w:rFonts w:ascii="Calibri" w:cs="Calibri"/>
          <w:sz w:val="24"/>
        </w:rPr>
      </w:pPr>
      <w:r w:rsidRPr="00FC22B1">
        <w:rPr>
          <w:rFonts w:ascii="Calibri" w:cs="Calibri"/>
          <w:sz w:val="24"/>
        </w:rPr>
        <w:t xml:space="preserve">Oz TM, Karan R, Merotto A, Altpeter F (2017) Precision Nucleotide Substitutions in Sugarcane Following CRISPR/Cas9 and Template Mediated Genome Editing. </w:t>
      </w:r>
    </w:p>
    <w:p w14:paraId="62640BC9" w14:textId="77777777" w:rsidR="00FC22B1" w:rsidRPr="00FC22B1" w:rsidRDefault="00FC22B1" w:rsidP="00FC22B1">
      <w:pPr>
        <w:pStyle w:val="Bibliography"/>
        <w:rPr>
          <w:rFonts w:ascii="Calibri" w:cs="Calibri"/>
          <w:sz w:val="24"/>
        </w:rPr>
      </w:pPr>
      <w:r w:rsidRPr="00FC22B1">
        <w:rPr>
          <w:rFonts w:ascii="Calibri" w:cs="Calibri"/>
          <w:sz w:val="24"/>
        </w:rPr>
        <w:t xml:space="preserve">Peng A, Chen S, Lei T, Xu L, He Y, Wu L, Yao L, Zou X (2017) Engineering canker-resistant plants through CRISPR/Cas9-targeted editing of the susceptibility gene </w:t>
      </w:r>
      <w:r w:rsidRPr="00416E00">
        <w:rPr>
          <w:rFonts w:ascii="Calibri" w:cs="Calibri"/>
          <w:i/>
          <w:iCs/>
          <w:sz w:val="24"/>
        </w:rPr>
        <w:t>CsLOB1</w:t>
      </w:r>
      <w:r w:rsidRPr="00FC22B1">
        <w:rPr>
          <w:rFonts w:ascii="Calibri" w:cs="Calibri"/>
          <w:sz w:val="24"/>
        </w:rPr>
        <w:t xml:space="preserve"> promoter in citrus. Plant Biotechnol J 15: 1509–1519</w:t>
      </w:r>
    </w:p>
    <w:p w14:paraId="3324F6F6" w14:textId="77777777" w:rsidR="00FC22B1" w:rsidRPr="00FC22B1" w:rsidRDefault="00FC22B1" w:rsidP="00FC22B1">
      <w:pPr>
        <w:pStyle w:val="Bibliography"/>
        <w:rPr>
          <w:rFonts w:ascii="Calibri" w:cs="Calibri"/>
          <w:sz w:val="24"/>
        </w:rPr>
      </w:pPr>
      <w:r w:rsidRPr="00FC22B1">
        <w:rPr>
          <w:rFonts w:ascii="Calibri" w:cs="Calibri"/>
          <w:sz w:val="24"/>
        </w:rPr>
        <w:t>Pompili V, Dalla Costa L, Piazza S, Pindo M, Malnoy M (2020) Reduced fire blight susceptibility in apple cultivars using a high-efficiency CRISPR/Cas9-FLP/FRT-based gene editing system. Plant Biotechnol J 18: 845–858</w:t>
      </w:r>
    </w:p>
    <w:p w14:paraId="2C230626" w14:textId="77777777" w:rsidR="00FC22B1" w:rsidRPr="00FC22B1" w:rsidRDefault="00FC22B1" w:rsidP="00FC22B1">
      <w:pPr>
        <w:pStyle w:val="Bibliography"/>
        <w:rPr>
          <w:rFonts w:ascii="Calibri" w:cs="Calibri"/>
          <w:sz w:val="24"/>
        </w:rPr>
      </w:pPr>
      <w:r w:rsidRPr="00FC22B1">
        <w:rPr>
          <w:rFonts w:ascii="Calibri" w:cs="Calibri"/>
          <w:sz w:val="24"/>
        </w:rPr>
        <w:t xml:space="preserve">Poovaiah C, Phillips L, Geddes B, Reeves C, Sorieul M, Thorlby G (2020) Genome Editing With CRISPR/Cas9&amp;nbsp;in </w:t>
      </w:r>
      <w:r w:rsidRPr="00416E00">
        <w:rPr>
          <w:rFonts w:ascii="Calibri" w:cs="Calibri"/>
          <w:i/>
          <w:iCs/>
          <w:sz w:val="24"/>
        </w:rPr>
        <w:t>Pinus Radiata</w:t>
      </w:r>
      <w:r w:rsidRPr="00FC22B1">
        <w:rPr>
          <w:rFonts w:ascii="Calibri" w:cs="Calibri"/>
          <w:sz w:val="24"/>
        </w:rPr>
        <w:t xml:space="preserve"> (D. Don). doi: 10.21203/rs.3.rs-117877/v1</w:t>
      </w:r>
    </w:p>
    <w:p w14:paraId="56AF9DEB" w14:textId="77777777" w:rsidR="00FC22B1" w:rsidRPr="00FC22B1" w:rsidRDefault="00FC22B1" w:rsidP="00FC22B1">
      <w:pPr>
        <w:pStyle w:val="Bibliography"/>
        <w:rPr>
          <w:rFonts w:ascii="Calibri" w:cs="Calibri"/>
          <w:sz w:val="24"/>
        </w:rPr>
      </w:pPr>
      <w:r w:rsidRPr="00FC22B1">
        <w:rPr>
          <w:rFonts w:ascii="Calibri" w:cs="Calibri"/>
          <w:sz w:val="24"/>
        </w:rPr>
        <w:t>Qin S, Fan C, Li X, Li Y, Hu J, Li C, Luo K (2020) LACCASE14 is required for the deposition of guaiacyl lignin and affects cell wall digestibility in poplar. Biotechnol Biofuels 13: 197</w:t>
      </w:r>
    </w:p>
    <w:p w14:paraId="2A4A3077" w14:textId="77777777" w:rsidR="00FC22B1" w:rsidRPr="00FC22B1" w:rsidRDefault="00FC22B1" w:rsidP="00FC22B1">
      <w:pPr>
        <w:pStyle w:val="Bibliography"/>
        <w:rPr>
          <w:rFonts w:ascii="Calibri" w:cs="Calibri"/>
          <w:sz w:val="24"/>
        </w:rPr>
      </w:pPr>
      <w:r w:rsidRPr="00FC22B1">
        <w:rPr>
          <w:rFonts w:ascii="Calibri" w:cs="Calibri"/>
          <w:sz w:val="24"/>
        </w:rPr>
        <w:t>Ramos-Sánchez JM, Triozzi PM, Alique D, Geng F, Gao M, Jaeger KE, Wigge PA, Allona I, Perales M (2019) LHY2 Integrates Night-Length Information to Determine Timing of Poplar Photoperiodic Growth. Curr Biol 29: 2402-2406.e4</w:t>
      </w:r>
    </w:p>
    <w:p w14:paraId="7B3214E0" w14:textId="77777777" w:rsidR="00FC22B1" w:rsidRPr="00FC22B1" w:rsidRDefault="00FC22B1" w:rsidP="00FC22B1">
      <w:pPr>
        <w:pStyle w:val="Bibliography"/>
        <w:rPr>
          <w:rFonts w:ascii="Calibri" w:cs="Calibri"/>
          <w:sz w:val="24"/>
        </w:rPr>
      </w:pPr>
      <w:r w:rsidRPr="00FC22B1">
        <w:rPr>
          <w:rFonts w:ascii="Calibri" w:cs="Calibri"/>
          <w:sz w:val="24"/>
        </w:rPr>
        <w:t>Ren F, Ren C, Zhang Z, Duan W, Lecourieux D, Li S, Liang Z (2019) Efficiency Optimization of CRISPR/Cas9-Mediated Targeted Mutagenesis in Grape. Front Plant Sci 10: 612</w:t>
      </w:r>
    </w:p>
    <w:p w14:paraId="4B57D8CD" w14:textId="77777777" w:rsidR="00FC22B1" w:rsidRPr="00FC22B1" w:rsidRDefault="00FC22B1" w:rsidP="00FC22B1">
      <w:pPr>
        <w:pStyle w:val="Bibliography"/>
        <w:rPr>
          <w:rFonts w:ascii="Calibri" w:cs="Calibri"/>
          <w:sz w:val="24"/>
        </w:rPr>
      </w:pPr>
      <w:r w:rsidRPr="00FC22B1">
        <w:rPr>
          <w:rFonts w:ascii="Calibri" w:cs="Calibri"/>
          <w:sz w:val="24"/>
        </w:rPr>
        <w:t xml:space="preserve">Sevestre F, Facon M, Wattebled F, Szydlowski N (2020) Facilitating gene editing in potato: a Single-Nucleotide Polymorphism (SNP) map of the </w:t>
      </w:r>
      <w:r w:rsidRPr="00416E00">
        <w:rPr>
          <w:rFonts w:ascii="Calibri" w:cs="Calibri"/>
          <w:i/>
          <w:iCs/>
          <w:sz w:val="24"/>
        </w:rPr>
        <w:t>Solanum tuberosum L.</w:t>
      </w:r>
      <w:r w:rsidRPr="00FC22B1">
        <w:rPr>
          <w:rFonts w:ascii="Calibri" w:cs="Calibri"/>
          <w:sz w:val="24"/>
        </w:rPr>
        <w:t xml:space="preserve"> cv. Desiree genome. Sci Rep 10: 2045</w:t>
      </w:r>
    </w:p>
    <w:p w14:paraId="0424FB08" w14:textId="77777777" w:rsidR="00FC22B1" w:rsidRPr="00FC22B1" w:rsidRDefault="00FC22B1" w:rsidP="00FC22B1">
      <w:pPr>
        <w:pStyle w:val="Bibliography"/>
        <w:rPr>
          <w:rFonts w:ascii="Calibri" w:cs="Calibri"/>
          <w:sz w:val="24"/>
        </w:rPr>
      </w:pPr>
      <w:r w:rsidRPr="00FC22B1">
        <w:rPr>
          <w:rFonts w:ascii="Calibri" w:cs="Calibri"/>
          <w:sz w:val="24"/>
        </w:rPr>
        <w:t>Shao X, Wu S, Dou T, Zhu H, Hu C, Huo H, He W, Deng G, Sheng O, Bi F, et al (2020) Using CRISPR/Cas9 genome editing system to create MaGA20ox2 gene-modified semi-dwarf banana. Plant Biotechnol J 18: 17–19</w:t>
      </w:r>
    </w:p>
    <w:p w14:paraId="19BF0B1F" w14:textId="77777777" w:rsidR="00FC22B1" w:rsidRPr="00FC22B1" w:rsidRDefault="00FC22B1" w:rsidP="00FC22B1">
      <w:pPr>
        <w:pStyle w:val="Bibliography"/>
        <w:rPr>
          <w:rFonts w:ascii="Calibri" w:cs="Calibri"/>
          <w:sz w:val="24"/>
        </w:rPr>
      </w:pPr>
      <w:r w:rsidRPr="00FC22B1">
        <w:rPr>
          <w:rFonts w:ascii="Calibri" w:cs="Calibri"/>
          <w:sz w:val="24"/>
        </w:rPr>
        <w:t xml:space="preserve">Sunitha S, Rock CD (2020) CRISPR/Cas9-mediated targeted mutagenesis of </w:t>
      </w:r>
      <w:r w:rsidRPr="00416E00">
        <w:rPr>
          <w:rFonts w:ascii="Calibri" w:cs="Calibri"/>
          <w:i/>
          <w:iCs/>
          <w:sz w:val="24"/>
        </w:rPr>
        <w:t>TAS4</w:t>
      </w:r>
      <w:r w:rsidRPr="00FC22B1">
        <w:rPr>
          <w:rFonts w:ascii="Calibri" w:cs="Calibri"/>
          <w:sz w:val="24"/>
        </w:rPr>
        <w:t xml:space="preserve"> and </w:t>
      </w:r>
      <w:r w:rsidRPr="00416E00">
        <w:rPr>
          <w:rFonts w:ascii="Calibri" w:cs="Calibri"/>
          <w:i/>
          <w:iCs/>
          <w:sz w:val="24"/>
        </w:rPr>
        <w:t>MYBA7</w:t>
      </w:r>
      <w:r w:rsidRPr="00FC22B1">
        <w:rPr>
          <w:rFonts w:ascii="Calibri" w:cs="Calibri"/>
          <w:sz w:val="24"/>
        </w:rPr>
        <w:t xml:space="preserve"> loci in grapevine rootstock 101-14. Transgenic Res 29: 355–367</w:t>
      </w:r>
    </w:p>
    <w:p w14:paraId="511A53FE" w14:textId="77777777" w:rsidR="00FC22B1" w:rsidRPr="00FC22B1" w:rsidRDefault="00FC22B1" w:rsidP="00FC22B1">
      <w:pPr>
        <w:pStyle w:val="Bibliography"/>
        <w:rPr>
          <w:rFonts w:ascii="Calibri" w:cs="Calibri"/>
          <w:sz w:val="24"/>
        </w:rPr>
      </w:pPr>
      <w:r w:rsidRPr="00FC22B1">
        <w:rPr>
          <w:rFonts w:ascii="Calibri" w:cs="Calibri"/>
          <w:sz w:val="24"/>
        </w:rPr>
        <w:lastRenderedPageBreak/>
        <w:t>Tripathi JN, Ntui VO, Ron M, Muiruri SK, Britt A, Tripathi L (2019) CRISPR/Cas9 editing of endogenous banana streak virus in the B genome of Musa spp. overcomes a major challenge in banana breeding. Commun Biol 2: 46</w:t>
      </w:r>
    </w:p>
    <w:p w14:paraId="7A1505CC" w14:textId="175A1A6F" w:rsidR="00FC22B1" w:rsidRPr="00FC22B1" w:rsidRDefault="00FC22B1" w:rsidP="00FC22B1">
      <w:pPr>
        <w:pStyle w:val="Bibliography"/>
        <w:rPr>
          <w:rFonts w:ascii="Calibri" w:cs="Calibri"/>
          <w:sz w:val="24"/>
        </w:rPr>
      </w:pPr>
      <w:r w:rsidRPr="00FC22B1">
        <w:rPr>
          <w:rFonts w:ascii="Calibri" w:cs="Calibri"/>
          <w:sz w:val="24"/>
        </w:rPr>
        <w:t xml:space="preserve">Tsai C-J, Xu P, Xue L-J, Hu H, Nyamdari B, Naran R, Zhou X, Goeminne G, Gao R, Gjersing E, et al (2020) Compensatory Guaiacyl Lignin Biosynthesis at the Expense of Syringyl Lignin in </w:t>
      </w:r>
      <w:r w:rsidRPr="00416E00">
        <w:rPr>
          <w:rFonts w:ascii="Calibri" w:cs="Calibri"/>
          <w:i/>
          <w:iCs/>
          <w:sz w:val="24"/>
        </w:rPr>
        <w:t>4CL1</w:t>
      </w:r>
      <w:r w:rsidRPr="00FC22B1">
        <w:rPr>
          <w:rFonts w:ascii="Calibri" w:cs="Calibri"/>
          <w:sz w:val="24"/>
        </w:rPr>
        <w:t>-Knockout Poplar. Plant Physiol 183: 123</w:t>
      </w:r>
    </w:p>
    <w:p w14:paraId="138C4ABD" w14:textId="77777777" w:rsidR="00FC22B1" w:rsidRPr="00FC22B1" w:rsidRDefault="00FC22B1" w:rsidP="00FC22B1">
      <w:pPr>
        <w:pStyle w:val="Bibliography"/>
        <w:rPr>
          <w:rFonts w:ascii="Calibri" w:cs="Calibri"/>
          <w:sz w:val="24"/>
        </w:rPr>
      </w:pPr>
      <w:r w:rsidRPr="00FC22B1">
        <w:rPr>
          <w:rFonts w:ascii="Calibri" w:cs="Calibri"/>
          <w:sz w:val="24"/>
        </w:rPr>
        <w:t>Tuncel A, Corbin KR, Ahn-Jarvis J, Harris S, Hawkins E, Smedley MA, Harwood W, Warren FJ, Patron NJ, Smith AM (2019) Cas9-mediated mutagenesis of potato starch-branching enzymes generates a range of tuber starch phenotypes. Plant Biotechnol J 17: 2259–2271</w:t>
      </w:r>
    </w:p>
    <w:p w14:paraId="081BF03B" w14:textId="77777777" w:rsidR="00FC22B1" w:rsidRPr="00FC22B1" w:rsidRDefault="00FC22B1" w:rsidP="00FC22B1">
      <w:pPr>
        <w:pStyle w:val="Bibliography"/>
        <w:rPr>
          <w:rFonts w:ascii="Calibri" w:cs="Calibri"/>
          <w:sz w:val="24"/>
        </w:rPr>
      </w:pPr>
      <w:r w:rsidRPr="00FC22B1">
        <w:rPr>
          <w:rFonts w:ascii="Calibri" w:cs="Calibri"/>
          <w:sz w:val="24"/>
        </w:rPr>
        <w:t>Varkonyi-Gasic E, Wang T, Cooney J, Jeon S, Voogd C, Douglas MJ, Pilkington SM, Akagi T, Allan AC (2021) Shy Girl, a kiwifruit suppressor of feminization, restricts gynoecium development via regulation of cytokinin metabolism and signalling. New Phytol. doi: 10.1111/nph.17234</w:t>
      </w:r>
    </w:p>
    <w:p w14:paraId="32DBCA6C" w14:textId="77777777" w:rsidR="00FC22B1" w:rsidRPr="00FC22B1" w:rsidRDefault="00FC22B1" w:rsidP="00FC22B1">
      <w:pPr>
        <w:pStyle w:val="Bibliography"/>
        <w:rPr>
          <w:rFonts w:ascii="Calibri" w:cs="Calibri"/>
          <w:sz w:val="24"/>
        </w:rPr>
      </w:pPr>
      <w:r w:rsidRPr="00FC22B1">
        <w:rPr>
          <w:rFonts w:ascii="Calibri" w:cs="Calibri"/>
          <w:sz w:val="24"/>
        </w:rPr>
        <w:t xml:space="preserve">Varkonyi-Gasic E, Wang T, Voogd C, Jeon S, Drummond RSM, Gleave AP, Allan AC (2019) Mutagenesis of kiwifruit </w:t>
      </w:r>
      <w:r w:rsidRPr="00416E00">
        <w:rPr>
          <w:rFonts w:ascii="Calibri" w:cs="Calibri"/>
          <w:i/>
          <w:iCs/>
          <w:sz w:val="24"/>
        </w:rPr>
        <w:t>CENTRORADIALIS</w:t>
      </w:r>
      <w:r w:rsidRPr="00FC22B1">
        <w:rPr>
          <w:rFonts w:ascii="Calibri" w:cs="Calibri"/>
          <w:sz w:val="24"/>
        </w:rPr>
        <w:t>-like genes transforms a climbing woody perennial with long juvenility and axillary flowering into a compact plant with rapid terminal flowering. Plant Biotechnol J 17: 869–880</w:t>
      </w:r>
    </w:p>
    <w:p w14:paraId="34F1538C" w14:textId="77777777" w:rsidR="00FC22B1" w:rsidRPr="00FC22B1" w:rsidRDefault="00FC22B1" w:rsidP="00FC22B1">
      <w:pPr>
        <w:pStyle w:val="Bibliography"/>
        <w:rPr>
          <w:rFonts w:ascii="Calibri" w:cs="Calibri"/>
          <w:sz w:val="24"/>
        </w:rPr>
      </w:pPr>
      <w:r w:rsidRPr="00FC22B1">
        <w:rPr>
          <w:rFonts w:ascii="Calibri" w:cs="Calibri"/>
          <w:sz w:val="24"/>
        </w:rPr>
        <w:t xml:space="preserve">Veillet F, Kermarrec M-P, Chauvin L, Chauvin J-E, Nogué F (2020a) CRISPR-induced indels and base editing using the </w:t>
      </w:r>
      <w:r w:rsidRPr="00416E00">
        <w:rPr>
          <w:rFonts w:ascii="Calibri" w:cs="Calibri"/>
          <w:i/>
          <w:iCs/>
          <w:sz w:val="24"/>
        </w:rPr>
        <w:t>Staphylococcus aureus</w:t>
      </w:r>
      <w:r w:rsidRPr="00FC22B1">
        <w:rPr>
          <w:rFonts w:ascii="Calibri" w:cs="Calibri"/>
          <w:sz w:val="24"/>
        </w:rPr>
        <w:t xml:space="preserve"> Cas9 in potato. PLOS ONE 15: e0235942</w:t>
      </w:r>
    </w:p>
    <w:p w14:paraId="291EF22F" w14:textId="77777777" w:rsidR="00FC22B1" w:rsidRPr="00FC22B1" w:rsidRDefault="00FC22B1" w:rsidP="00FC22B1">
      <w:pPr>
        <w:pStyle w:val="Bibliography"/>
        <w:rPr>
          <w:rFonts w:ascii="Calibri" w:cs="Calibri"/>
          <w:sz w:val="24"/>
        </w:rPr>
      </w:pPr>
      <w:r w:rsidRPr="00FC22B1">
        <w:rPr>
          <w:rFonts w:ascii="Calibri" w:cs="Calibri"/>
          <w:sz w:val="24"/>
        </w:rPr>
        <w:t>Veillet F, Kermarrec M-P, Chauvin L, Guyon-Debast A, Chauvin J-E, Gallois J-L, Nogué F (2020b) Prime editing is achievable in the tetraploid potato, but needs improvement. bioRxiv 2020.06.18.159111</w:t>
      </w:r>
    </w:p>
    <w:p w14:paraId="233DC420" w14:textId="77777777" w:rsidR="00FC22B1" w:rsidRPr="00FC22B1" w:rsidRDefault="00FC22B1" w:rsidP="00FC22B1">
      <w:pPr>
        <w:pStyle w:val="Bibliography"/>
        <w:rPr>
          <w:rFonts w:ascii="Calibri" w:cs="Calibri"/>
          <w:sz w:val="24"/>
        </w:rPr>
      </w:pPr>
      <w:r w:rsidRPr="00FC22B1">
        <w:rPr>
          <w:rFonts w:ascii="Calibri" w:cs="Calibri"/>
          <w:sz w:val="24"/>
        </w:rPr>
        <w:t xml:space="preserve">Veillet F, Perrot L, Chauvin L, Kermarrec M-P, Guyon-Debast A, Chauvin J-E, Nogué F, Mazier M (2019) Transgene-Free Genome Editing in Tomato and Potato Plants Using </w:t>
      </w:r>
      <w:r w:rsidRPr="00416E00">
        <w:rPr>
          <w:rFonts w:ascii="Calibri" w:cs="Calibri"/>
          <w:i/>
          <w:iCs/>
          <w:sz w:val="24"/>
        </w:rPr>
        <w:t>Agrobacterium</w:t>
      </w:r>
      <w:r w:rsidRPr="00FC22B1">
        <w:rPr>
          <w:rFonts w:ascii="Calibri" w:cs="Calibri"/>
          <w:sz w:val="24"/>
        </w:rPr>
        <w:t>-Mediated Delivery of a CRISPR/Cas9 Cytidine Base Editor. Int J Mol Sci. doi: 10.3390/ijms20020402</w:t>
      </w:r>
    </w:p>
    <w:p w14:paraId="1399CB4E" w14:textId="77777777" w:rsidR="00FC22B1" w:rsidRPr="00FC22B1" w:rsidRDefault="00FC22B1" w:rsidP="00FC22B1">
      <w:pPr>
        <w:pStyle w:val="Bibliography"/>
        <w:rPr>
          <w:rFonts w:ascii="Calibri" w:cs="Calibri"/>
          <w:sz w:val="24"/>
        </w:rPr>
      </w:pPr>
      <w:r w:rsidRPr="00FC22B1">
        <w:rPr>
          <w:rFonts w:ascii="Calibri" w:cs="Calibri"/>
          <w:sz w:val="24"/>
        </w:rPr>
        <w:t>Veley KM, Okwuonu I, Jensen G, Yoder M, Taylor NJ, Meyers BC, Bart RS (2021) Gene-tagging via CRISPR-mediated homology-directed repair in cassava. G3 GenesGenomesGenetics. doi: 10.1093/g3journal/jkab028</w:t>
      </w:r>
    </w:p>
    <w:p w14:paraId="0E193459" w14:textId="77777777" w:rsidR="00FC22B1" w:rsidRPr="00FC22B1" w:rsidRDefault="00FC22B1" w:rsidP="00FC22B1">
      <w:pPr>
        <w:pStyle w:val="Bibliography"/>
        <w:rPr>
          <w:rFonts w:ascii="Calibri" w:cs="Calibri"/>
          <w:sz w:val="24"/>
        </w:rPr>
      </w:pPr>
      <w:r w:rsidRPr="00FC22B1">
        <w:rPr>
          <w:rFonts w:ascii="Calibri" w:cs="Calibri"/>
          <w:sz w:val="24"/>
        </w:rPr>
        <w:t>Wan S, Li C, Ma X, Luo K (2017) PtrMYB57 contributes to the negative regulation of anthocyanin and proanthocyanidin biosynthesis in poplar. Plant Cell Rep 36: 1263–1276</w:t>
      </w:r>
    </w:p>
    <w:p w14:paraId="77F9F8F8" w14:textId="77777777" w:rsidR="00FC22B1" w:rsidRPr="00FC22B1" w:rsidRDefault="00FC22B1" w:rsidP="00FC22B1">
      <w:pPr>
        <w:pStyle w:val="Bibliography"/>
        <w:rPr>
          <w:rFonts w:ascii="Calibri" w:cs="Calibri"/>
          <w:sz w:val="24"/>
        </w:rPr>
      </w:pPr>
      <w:r w:rsidRPr="00FC22B1">
        <w:rPr>
          <w:rFonts w:ascii="Calibri" w:cs="Calibri"/>
          <w:sz w:val="24"/>
        </w:rPr>
        <w:lastRenderedPageBreak/>
        <w:t>Wang H, Wu Y, Zhang Y, Yang J, Fan W, Zhang H, Zhao S, Yuan L, Zhang P (2019) CRISPR/Cas9-Based Mutagenesis of Starch Biosynthetic Genes in Sweet Potato (</w:t>
      </w:r>
      <w:r w:rsidRPr="00416E00">
        <w:rPr>
          <w:rFonts w:ascii="Calibri" w:cs="Calibri"/>
          <w:i/>
          <w:iCs/>
          <w:sz w:val="24"/>
        </w:rPr>
        <w:t>Ipomoea Batatas</w:t>
      </w:r>
      <w:r w:rsidRPr="00FC22B1">
        <w:rPr>
          <w:rFonts w:ascii="Calibri" w:cs="Calibri"/>
          <w:sz w:val="24"/>
        </w:rPr>
        <w:t>) for the Improvement of Starch Quality. Int J Mol Sci 20: 4702</w:t>
      </w:r>
    </w:p>
    <w:p w14:paraId="4BD13C9A" w14:textId="77777777" w:rsidR="00FC22B1" w:rsidRPr="00FC22B1" w:rsidRDefault="00FC22B1" w:rsidP="00FC22B1">
      <w:pPr>
        <w:pStyle w:val="Bibliography"/>
        <w:rPr>
          <w:rFonts w:ascii="Calibri" w:cs="Calibri"/>
          <w:sz w:val="24"/>
        </w:rPr>
      </w:pPr>
      <w:r w:rsidRPr="00FC22B1">
        <w:rPr>
          <w:rFonts w:ascii="Calibri" w:cs="Calibri"/>
          <w:sz w:val="24"/>
        </w:rPr>
        <w:t>Wang J, Wu H, Chen Y, Yin T (2020) Efficient CRISPR/Cas9-Mediated Gene Editing in an Interspecific Hybrid Poplar With a Highly Heterozygous Genome. Front Plant Sci 11: 996</w:t>
      </w:r>
    </w:p>
    <w:p w14:paraId="350EB930" w14:textId="77777777" w:rsidR="00FC22B1" w:rsidRPr="00FC22B1" w:rsidRDefault="00FC22B1" w:rsidP="00FC22B1">
      <w:pPr>
        <w:pStyle w:val="Bibliography"/>
        <w:rPr>
          <w:rFonts w:ascii="Calibri" w:cs="Calibri"/>
          <w:sz w:val="24"/>
        </w:rPr>
      </w:pPr>
      <w:r w:rsidRPr="00FC22B1">
        <w:rPr>
          <w:rFonts w:ascii="Calibri" w:cs="Calibri"/>
          <w:sz w:val="24"/>
        </w:rPr>
        <w:t>Wang L, Ran L, Hou Y, Tian Q, Li C, Liu R, Fan D, Luo K (2017) The transcription factor MYB115 contributes to the regulation of proanthocyanidin biosynthesis and enhances fungal resistance in poplar. New Phytol 215: 351–367</w:t>
      </w:r>
    </w:p>
    <w:p w14:paraId="10E326BB" w14:textId="77777777" w:rsidR="00FC22B1" w:rsidRPr="00FC22B1" w:rsidRDefault="00FC22B1" w:rsidP="00FC22B1">
      <w:pPr>
        <w:pStyle w:val="Bibliography"/>
        <w:rPr>
          <w:rFonts w:ascii="Calibri" w:cs="Calibri"/>
          <w:sz w:val="24"/>
        </w:rPr>
      </w:pPr>
      <w:r w:rsidRPr="00FC22B1">
        <w:rPr>
          <w:rFonts w:ascii="Calibri" w:cs="Calibri"/>
          <w:sz w:val="24"/>
        </w:rPr>
        <w:t>Wang X, Tu M, Wang D, Liu J, Li Y, Li Z, Wang Y, Wang X (2018a) CRISPR/Cas9-mediated efficient targeted mutagenesis in grape in the first generation. Plant Biotechnol J 16: 844–855</w:t>
      </w:r>
    </w:p>
    <w:p w14:paraId="75518190" w14:textId="77777777" w:rsidR="00FC22B1" w:rsidRPr="00FC22B1" w:rsidRDefault="00FC22B1" w:rsidP="00FC22B1">
      <w:pPr>
        <w:pStyle w:val="Bibliography"/>
        <w:rPr>
          <w:rFonts w:ascii="Calibri" w:cs="Calibri"/>
          <w:sz w:val="24"/>
        </w:rPr>
      </w:pPr>
      <w:r w:rsidRPr="00FC22B1">
        <w:rPr>
          <w:rFonts w:ascii="Calibri" w:cs="Calibri"/>
          <w:sz w:val="24"/>
        </w:rPr>
        <w:t>Wang Z, Wang S, Li D, Zhang Q, Li L, Zhong C, Liu Y, Huang H (2018b) Optimized paired-sgRNA/Cas9 cloning and expression cassette triggers high-efficiency multiplex genome editing in kiwifruit. Plant Biotechnol J 16: 1424–1433</w:t>
      </w:r>
    </w:p>
    <w:p w14:paraId="52E462E7" w14:textId="77777777" w:rsidR="00FC22B1" w:rsidRPr="00FC22B1" w:rsidRDefault="00FC22B1" w:rsidP="00FC22B1">
      <w:pPr>
        <w:pStyle w:val="Bibliography"/>
        <w:rPr>
          <w:rFonts w:ascii="Calibri" w:cs="Calibri"/>
          <w:sz w:val="24"/>
        </w:rPr>
      </w:pPr>
      <w:r w:rsidRPr="00FC22B1">
        <w:rPr>
          <w:rFonts w:ascii="Calibri" w:cs="Calibri"/>
          <w:sz w:val="24"/>
        </w:rPr>
        <w:t xml:space="preserve">Wilson FM, Harrison K, Armitage AD, Simkin AJ, Harrison RJ (2019) CRISPR/Cas9-mediated mutagenesis of </w:t>
      </w:r>
      <w:r w:rsidRPr="00416E00">
        <w:rPr>
          <w:rFonts w:ascii="Calibri" w:cs="Calibri"/>
          <w:i/>
          <w:iCs/>
          <w:sz w:val="24"/>
        </w:rPr>
        <w:t>phytoene desaturase</w:t>
      </w:r>
      <w:r w:rsidRPr="00FC22B1">
        <w:rPr>
          <w:rFonts w:ascii="Calibri" w:cs="Calibri"/>
          <w:sz w:val="24"/>
        </w:rPr>
        <w:t xml:space="preserve"> in diploid and octoploid strawberry. Plant Methods 15: 45</w:t>
      </w:r>
    </w:p>
    <w:p w14:paraId="1EB31FD9" w14:textId="77777777" w:rsidR="00FC22B1" w:rsidRPr="00FC22B1" w:rsidRDefault="00FC22B1" w:rsidP="00FC22B1">
      <w:pPr>
        <w:pStyle w:val="Bibliography"/>
        <w:rPr>
          <w:rFonts w:ascii="Calibri" w:cs="Calibri"/>
          <w:sz w:val="24"/>
        </w:rPr>
      </w:pPr>
      <w:r w:rsidRPr="00FC22B1">
        <w:rPr>
          <w:rFonts w:ascii="Calibri" w:cs="Calibri"/>
          <w:sz w:val="24"/>
        </w:rPr>
        <w:t>Wu S, Zhu H, Liu J, Yang Q, Shao X, Bi F, Hu C, Huo H, Chen K, Yi G (2020) Establishment of a PEG-mediated protoplast transformation system based on DNA and CRISPR/Cas9 ribonucleoprotein complexes for banana. BMC Plant Biol 20: 425</w:t>
      </w:r>
    </w:p>
    <w:p w14:paraId="58D978D5" w14:textId="77777777" w:rsidR="00FC22B1" w:rsidRPr="00FC22B1" w:rsidRDefault="00FC22B1" w:rsidP="00FC22B1">
      <w:pPr>
        <w:pStyle w:val="Bibliography"/>
        <w:rPr>
          <w:rFonts w:ascii="Calibri" w:cs="Calibri"/>
          <w:sz w:val="24"/>
        </w:rPr>
      </w:pPr>
      <w:r w:rsidRPr="00FC22B1">
        <w:rPr>
          <w:rFonts w:ascii="Calibri" w:cs="Calibri"/>
          <w:sz w:val="24"/>
        </w:rPr>
        <w:t>Xing S, Chen K, Zhu H, Zhang R, Zhang H, Li B, Gao C (2020) Fine-tuning sugar content in strawberry. Genome Biol 21: 230</w:t>
      </w:r>
    </w:p>
    <w:p w14:paraId="29FD7BA4" w14:textId="77777777" w:rsidR="00FC22B1" w:rsidRPr="00FC22B1" w:rsidRDefault="00FC22B1" w:rsidP="00FC22B1">
      <w:pPr>
        <w:pStyle w:val="Bibliography"/>
        <w:rPr>
          <w:rFonts w:ascii="Calibri" w:cs="Calibri"/>
          <w:sz w:val="24"/>
        </w:rPr>
      </w:pPr>
      <w:r w:rsidRPr="00FC22B1">
        <w:rPr>
          <w:rFonts w:ascii="Calibri" w:cs="Calibri"/>
          <w:sz w:val="24"/>
        </w:rPr>
        <w:t>Xing S, Jia M, Wei L, Mao W, Abbasi UA, Zhao Y, Chen Y, Cao M, Zhang K, Dai Z, et al (2018) CRISPR/Cas9-introduced single and multiple mutagenesis in strawberry. J Genet Genomics 45: 685–687</w:t>
      </w:r>
    </w:p>
    <w:p w14:paraId="7C7D0A82" w14:textId="77777777" w:rsidR="00FC22B1" w:rsidRPr="00FC22B1" w:rsidRDefault="00FC22B1" w:rsidP="00FC22B1">
      <w:pPr>
        <w:pStyle w:val="Bibliography"/>
        <w:rPr>
          <w:rFonts w:ascii="Calibri" w:cs="Calibri"/>
          <w:sz w:val="24"/>
        </w:rPr>
      </w:pPr>
      <w:r w:rsidRPr="00FC22B1">
        <w:rPr>
          <w:rFonts w:ascii="Calibri" w:cs="Calibri"/>
          <w:sz w:val="24"/>
        </w:rPr>
        <w:t>Yang L, Zhao X, Ran L, Li C, Fan D, Luo K (2017) PtoMYB156 is involved in negative regulation of phenylpropanoid metabolism and secondary cell wall biosynthesis during wood formation in poplar. Sci Rep 7: 41209</w:t>
      </w:r>
    </w:p>
    <w:p w14:paraId="64090573" w14:textId="77777777" w:rsidR="00FC22B1" w:rsidRPr="00FC22B1" w:rsidRDefault="00FC22B1" w:rsidP="00FC22B1">
      <w:pPr>
        <w:pStyle w:val="Bibliography"/>
        <w:rPr>
          <w:rFonts w:ascii="Calibri" w:cs="Calibri"/>
          <w:sz w:val="24"/>
        </w:rPr>
      </w:pPr>
      <w:r w:rsidRPr="00FC22B1">
        <w:rPr>
          <w:rFonts w:ascii="Calibri" w:cs="Calibri"/>
          <w:sz w:val="24"/>
        </w:rPr>
        <w:t>Yasumoto S, Umemoto N, Lee HJ, Nakayasu M, Sawai S, Sakuma T, Yamamoto T, Mizutani M, Saito K, Muranaka T (2019) Efficient genome engineering using Platinum TALEN in potato. Plant Biotechnol 36: 167–173</w:t>
      </w:r>
    </w:p>
    <w:p w14:paraId="49230017" w14:textId="77777777" w:rsidR="00FC22B1" w:rsidRPr="00FC22B1" w:rsidRDefault="00FC22B1" w:rsidP="00FC22B1">
      <w:pPr>
        <w:pStyle w:val="Bibliography"/>
        <w:rPr>
          <w:rFonts w:ascii="Calibri" w:cs="Calibri"/>
          <w:sz w:val="24"/>
        </w:rPr>
      </w:pPr>
      <w:r w:rsidRPr="00FC22B1">
        <w:rPr>
          <w:rFonts w:ascii="Calibri" w:cs="Calibri"/>
          <w:sz w:val="24"/>
        </w:rPr>
        <w:lastRenderedPageBreak/>
        <w:t xml:space="preserve">van Zeijl A, Wardhani TAK, Seifi Kalhor M, Rutten L, Bu F, Hartog M, Linders S, Fedorova EE, Bisseling T, Kohlen W, et al (2018) CRISPR/Cas9-Mediated Mutagenesis of Four Putative Symbiosis Genes of the Tropical Tree </w:t>
      </w:r>
      <w:r w:rsidRPr="00416E00">
        <w:rPr>
          <w:rFonts w:ascii="Calibri" w:cs="Calibri"/>
          <w:i/>
          <w:iCs/>
          <w:sz w:val="24"/>
        </w:rPr>
        <w:t xml:space="preserve">Parasponia andersonii </w:t>
      </w:r>
      <w:r w:rsidRPr="00FC22B1">
        <w:rPr>
          <w:rFonts w:ascii="Calibri" w:cs="Calibri"/>
          <w:sz w:val="24"/>
        </w:rPr>
        <w:t>Reveals Novel Phenotypes. Front Plant Sci 9: 284</w:t>
      </w:r>
    </w:p>
    <w:p w14:paraId="5EC76119" w14:textId="77777777" w:rsidR="00FC22B1" w:rsidRPr="00FC22B1" w:rsidRDefault="00FC22B1" w:rsidP="00FC22B1">
      <w:pPr>
        <w:pStyle w:val="Bibliography"/>
        <w:rPr>
          <w:rFonts w:ascii="Calibri" w:cs="Calibri"/>
          <w:sz w:val="24"/>
        </w:rPr>
      </w:pPr>
      <w:r w:rsidRPr="00FC22B1">
        <w:rPr>
          <w:rFonts w:ascii="Calibri" w:cs="Calibri"/>
          <w:sz w:val="24"/>
        </w:rPr>
        <w:t xml:space="preserve">Zhou H, Bai S, Wang N, Sun X, Zhang Y, Zhu J, Dong C (2020a) CRISPR/Cas9-Mediated Mutagenesis of </w:t>
      </w:r>
      <w:r w:rsidRPr="00416E00">
        <w:rPr>
          <w:rFonts w:ascii="Calibri" w:cs="Calibri"/>
          <w:i/>
          <w:iCs/>
          <w:sz w:val="24"/>
        </w:rPr>
        <w:t>MdCNGC2</w:t>
      </w:r>
      <w:r w:rsidRPr="00FC22B1">
        <w:rPr>
          <w:rFonts w:ascii="Calibri" w:cs="Calibri"/>
          <w:sz w:val="24"/>
        </w:rPr>
        <w:t xml:space="preserve"> in Apple Callus and VIGS-Mediated Silencing of </w:t>
      </w:r>
      <w:r w:rsidRPr="00416E00">
        <w:rPr>
          <w:rFonts w:ascii="Calibri" w:cs="Calibri"/>
          <w:i/>
          <w:iCs/>
          <w:sz w:val="24"/>
        </w:rPr>
        <w:t>MdCNGC2</w:t>
      </w:r>
      <w:r w:rsidRPr="00FC22B1">
        <w:rPr>
          <w:rFonts w:ascii="Calibri" w:cs="Calibri"/>
          <w:sz w:val="24"/>
        </w:rPr>
        <w:t xml:space="preserve"> in Fruits Improve Resistance to </w:t>
      </w:r>
      <w:r w:rsidRPr="00416E00">
        <w:rPr>
          <w:rFonts w:ascii="Calibri" w:cs="Calibri"/>
          <w:i/>
          <w:iCs/>
          <w:sz w:val="24"/>
        </w:rPr>
        <w:t>Botryosphaeria dothidea</w:t>
      </w:r>
      <w:r w:rsidRPr="00FC22B1">
        <w:rPr>
          <w:rFonts w:ascii="Calibri" w:cs="Calibri"/>
          <w:sz w:val="24"/>
        </w:rPr>
        <w:t>. Front Plant Sci 11: 575477–575477</w:t>
      </w:r>
    </w:p>
    <w:p w14:paraId="21E4E7C2" w14:textId="77777777" w:rsidR="00FC22B1" w:rsidRPr="00FC22B1" w:rsidRDefault="00FC22B1" w:rsidP="00FC22B1">
      <w:pPr>
        <w:pStyle w:val="Bibliography"/>
        <w:rPr>
          <w:rFonts w:ascii="Calibri" w:cs="Calibri"/>
          <w:sz w:val="24"/>
        </w:rPr>
      </w:pPr>
      <w:r w:rsidRPr="00FC22B1">
        <w:rPr>
          <w:rFonts w:ascii="Calibri" w:cs="Calibri"/>
          <w:sz w:val="24"/>
        </w:rPr>
        <w:t>Zhou J, Sittmann J, Guo L, Xiao Y, Huang X, Pulapaka A, Liu Z (2020b) Gibberellin and auxin signaling genes RGA1 and ARF8 repress accessory fruit initiation in diploid strawberry. Plant Physiol. doi: 10.1093/plphys/kiaa087</w:t>
      </w:r>
    </w:p>
    <w:p w14:paraId="659BB1A0" w14:textId="77777777" w:rsidR="00FC22B1" w:rsidRPr="00FC22B1" w:rsidRDefault="00FC22B1" w:rsidP="00FC22B1">
      <w:pPr>
        <w:pStyle w:val="Bibliography"/>
        <w:rPr>
          <w:rFonts w:ascii="Calibri" w:cs="Calibri"/>
          <w:sz w:val="24"/>
        </w:rPr>
      </w:pPr>
      <w:r w:rsidRPr="00FC22B1">
        <w:rPr>
          <w:rFonts w:ascii="Calibri" w:cs="Calibri"/>
          <w:sz w:val="24"/>
        </w:rPr>
        <w:t>Zhou J, Wang G, Liu Z (2018) Efficient genome editing of wild strawberry genes, vector development and validation. Plant Biotechnol J 16: 1868–1877</w:t>
      </w:r>
    </w:p>
    <w:p w14:paraId="20FA3127" w14:textId="77777777" w:rsidR="00FC22B1" w:rsidRPr="00FC22B1" w:rsidRDefault="00FC22B1" w:rsidP="00FC22B1">
      <w:pPr>
        <w:pStyle w:val="Bibliography"/>
        <w:rPr>
          <w:rFonts w:ascii="Calibri" w:cs="Calibri"/>
          <w:sz w:val="24"/>
        </w:rPr>
      </w:pPr>
      <w:r w:rsidRPr="00FC22B1">
        <w:rPr>
          <w:rFonts w:ascii="Calibri" w:cs="Calibri"/>
          <w:sz w:val="24"/>
        </w:rPr>
        <w:t>Zhu C, Zheng X, Huang Y, Ye J, Chen P, Zhang C, Zhao F, Xie Z, Zhang S, Wang N, et al (2019) Genome sequencing and CRISPR/Cas9 gene editing of an early flowering Mini-Citrus (</w:t>
      </w:r>
      <w:r w:rsidRPr="00416E00">
        <w:rPr>
          <w:rFonts w:ascii="Calibri" w:cs="Calibri"/>
          <w:i/>
          <w:iCs/>
          <w:sz w:val="24"/>
        </w:rPr>
        <w:t>Fortunella hindsii</w:t>
      </w:r>
      <w:r w:rsidRPr="00FC22B1">
        <w:rPr>
          <w:rFonts w:ascii="Calibri" w:cs="Calibri"/>
          <w:sz w:val="24"/>
        </w:rPr>
        <w:t>). Plant Biotechnol J 17: 2199–2210</w:t>
      </w:r>
    </w:p>
    <w:p w14:paraId="393C5978" w14:textId="77777777" w:rsidR="00FC22B1" w:rsidRPr="00FC22B1" w:rsidRDefault="00FC22B1" w:rsidP="00FC22B1">
      <w:pPr>
        <w:pStyle w:val="Bibliography"/>
        <w:rPr>
          <w:rFonts w:ascii="Calibri" w:cs="Calibri"/>
          <w:sz w:val="24"/>
        </w:rPr>
      </w:pPr>
      <w:r w:rsidRPr="00FC22B1">
        <w:rPr>
          <w:rFonts w:ascii="Calibri" w:cs="Calibri"/>
          <w:sz w:val="24"/>
        </w:rPr>
        <w:t xml:space="preserve">Zou X, Fan D, Peng A, He Y, Xu L, Lei T, Yao L, Li Q, Luo K (2019) CRISPR/Cas9-mediated Editing of Multiple Sites in the Citrus </w:t>
      </w:r>
      <w:r w:rsidRPr="00416E00">
        <w:rPr>
          <w:rFonts w:ascii="Calibri" w:cs="Calibri"/>
          <w:i/>
          <w:iCs/>
          <w:sz w:val="24"/>
        </w:rPr>
        <w:t xml:space="preserve">CsLOB1 </w:t>
      </w:r>
      <w:r w:rsidRPr="00FC22B1">
        <w:rPr>
          <w:rFonts w:ascii="Calibri" w:cs="Calibri"/>
          <w:sz w:val="24"/>
        </w:rPr>
        <w:t>Promoter. Acta Hortic Sin 46: 337–344</w:t>
      </w:r>
    </w:p>
    <w:p w14:paraId="33629572" w14:textId="0CA16BF4" w:rsidR="00B40136" w:rsidRPr="00B40136" w:rsidRDefault="00FC22B1">
      <w:r>
        <w:fldChar w:fldCharType="end"/>
      </w:r>
    </w:p>
    <w:sectPr w:rsidR="00B40136" w:rsidRPr="00B40136" w:rsidSect="005958A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A4"/>
    <w:rsid w:val="000410A6"/>
    <w:rsid w:val="000A2EA9"/>
    <w:rsid w:val="000B1737"/>
    <w:rsid w:val="000D0C4A"/>
    <w:rsid w:val="00100F11"/>
    <w:rsid w:val="001F7B4E"/>
    <w:rsid w:val="00221B43"/>
    <w:rsid w:val="002458F1"/>
    <w:rsid w:val="00307464"/>
    <w:rsid w:val="003535DB"/>
    <w:rsid w:val="0035714E"/>
    <w:rsid w:val="00367770"/>
    <w:rsid w:val="003D339A"/>
    <w:rsid w:val="00416E00"/>
    <w:rsid w:val="00420EDD"/>
    <w:rsid w:val="00440D3C"/>
    <w:rsid w:val="00442DC1"/>
    <w:rsid w:val="00483A21"/>
    <w:rsid w:val="004E4ECA"/>
    <w:rsid w:val="00571CC9"/>
    <w:rsid w:val="005745A4"/>
    <w:rsid w:val="005958A4"/>
    <w:rsid w:val="005B3C34"/>
    <w:rsid w:val="005E52C3"/>
    <w:rsid w:val="00613363"/>
    <w:rsid w:val="00627C2F"/>
    <w:rsid w:val="00630E68"/>
    <w:rsid w:val="00643BB0"/>
    <w:rsid w:val="006A3054"/>
    <w:rsid w:val="006A44D7"/>
    <w:rsid w:val="00720D33"/>
    <w:rsid w:val="007810DC"/>
    <w:rsid w:val="007B27B2"/>
    <w:rsid w:val="007C27B8"/>
    <w:rsid w:val="007F46D0"/>
    <w:rsid w:val="00832130"/>
    <w:rsid w:val="00857351"/>
    <w:rsid w:val="00884466"/>
    <w:rsid w:val="0092051B"/>
    <w:rsid w:val="009454D5"/>
    <w:rsid w:val="00997344"/>
    <w:rsid w:val="009B4819"/>
    <w:rsid w:val="00A043DC"/>
    <w:rsid w:val="00A05CA9"/>
    <w:rsid w:val="00A351BF"/>
    <w:rsid w:val="00A566EE"/>
    <w:rsid w:val="00A90933"/>
    <w:rsid w:val="00AC0963"/>
    <w:rsid w:val="00AE119B"/>
    <w:rsid w:val="00B26D0C"/>
    <w:rsid w:val="00B40136"/>
    <w:rsid w:val="00B5626E"/>
    <w:rsid w:val="00C13430"/>
    <w:rsid w:val="00CA791B"/>
    <w:rsid w:val="00CB4060"/>
    <w:rsid w:val="00CC2F41"/>
    <w:rsid w:val="00CD07A7"/>
    <w:rsid w:val="00CE7BD7"/>
    <w:rsid w:val="00D47A0B"/>
    <w:rsid w:val="00D606F1"/>
    <w:rsid w:val="00D75CD6"/>
    <w:rsid w:val="00D92C03"/>
    <w:rsid w:val="00D94FF7"/>
    <w:rsid w:val="00E5150D"/>
    <w:rsid w:val="00E5155B"/>
    <w:rsid w:val="00E863C3"/>
    <w:rsid w:val="00ED4FCA"/>
    <w:rsid w:val="00EE4F4D"/>
    <w:rsid w:val="00F13DD9"/>
    <w:rsid w:val="00F44330"/>
    <w:rsid w:val="00FB5966"/>
    <w:rsid w:val="00FC1018"/>
    <w:rsid w:val="00FC22B1"/>
    <w:rsid w:val="00FC4B24"/>
    <w:rsid w:val="00FC6A04"/>
    <w:rsid w:val="00FE7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8B730B"/>
  <w15:chartTrackingRefBased/>
  <w15:docId w15:val="{C88ED189-86BE-074C-B14F-DD62C802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05C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C27B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5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C27B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C27B8"/>
    <w:rPr>
      <w:color w:val="0000FF"/>
      <w:u w:val="single"/>
    </w:rPr>
  </w:style>
  <w:style w:type="character" w:styleId="FollowedHyperlink">
    <w:name w:val="FollowedHyperlink"/>
    <w:basedOn w:val="DefaultParagraphFont"/>
    <w:uiPriority w:val="99"/>
    <w:semiHidden/>
    <w:unhideWhenUsed/>
    <w:rsid w:val="007C27B8"/>
    <w:rPr>
      <w:color w:val="954F72" w:themeColor="followedHyperlink"/>
      <w:u w:val="single"/>
    </w:rPr>
  </w:style>
  <w:style w:type="character" w:styleId="Emphasis">
    <w:name w:val="Emphasis"/>
    <w:basedOn w:val="DefaultParagraphFont"/>
    <w:uiPriority w:val="20"/>
    <w:qFormat/>
    <w:rsid w:val="007C27B8"/>
    <w:rPr>
      <w:i/>
      <w:iCs/>
    </w:rPr>
  </w:style>
  <w:style w:type="table" w:styleId="PlainTable4">
    <w:name w:val="Plain Table 4"/>
    <w:basedOn w:val="TableNormal"/>
    <w:uiPriority w:val="44"/>
    <w:rsid w:val="00E5150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5150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E515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5150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05CA9"/>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link w:val="BibliographyChar"/>
    <w:uiPriority w:val="37"/>
    <w:unhideWhenUsed/>
    <w:rsid w:val="00FC22B1"/>
    <w:pPr>
      <w:spacing w:after="240"/>
      <w:ind w:left="720" w:hanging="720"/>
    </w:pPr>
    <w:rPr>
      <w:sz w:val="20"/>
    </w:rPr>
  </w:style>
  <w:style w:type="character" w:customStyle="1" w:styleId="BibliographyChar">
    <w:name w:val="Bibliography Char"/>
    <w:basedOn w:val="DefaultParagraphFont"/>
    <w:link w:val="Bibliography"/>
    <w:uiPriority w:val="37"/>
    <w:rsid w:val="00FC22B1"/>
    <w:rPr>
      <w:rFonts w:eastAsia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12664">
      <w:bodyDiv w:val="1"/>
      <w:marLeft w:val="0"/>
      <w:marRight w:val="0"/>
      <w:marTop w:val="0"/>
      <w:marBottom w:val="0"/>
      <w:divBdr>
        <w:top w:val="none" w:sz="0" w:space="0" w:color="auto"/>
        <w:left w:val="none" w:sz="0" w:space="0" w:color="auto"/>
        <w:bottom w:val="none" w:sz="0" w:space="0" w:color="auto"/>
        <w:right w:val="none" w:sz="0" w:space="0" w:color="auto"/>
      </w:divBdr>
    </w:div>
    <w:div w:id="296836886">
      <w:bodyDiv w:val="1"/>
      <w:marLeft w:val="0"/>
      <w:marRight w:val="0"/>
      <w:marTop w:val="0"/>
      <w:marBottom w:val="0"/>
      <w:divBdr>
        <w:top w:val="none" w:sz="0" w:space="0" w:color="auto"/>
        <w:left w:val="none" w:sz="0" w:space="0" w:color="auto"/>
        <w:bottom w:val="none" w:sz="0" w:space="0" w:color="auto"/>
        <w:right w:val="none" w:sz="0" w:space="0" w:color="auto"/>
      </w:divBdr>
    </w:div>
    <w:div w:id="395393761">
      <w:bodyDiv w:val="1"/>
      <w:marLeft w:val="0"/>
      <w:marRight w:val="0"/>
      <w:marTop w:val="0"/>
      <w:marBottom w:val="0"/>
      <w:divBdr>
        <w:top w:val="none" w:sz="0" w:space="0" w:color="auto"/>
        <w:left w:val="none" w:sz="0" w:space="0" w:color="auto"/>
        <w:bottom w:val="none" w:sz="0" w:space="0" w:color="auto"/>
        <w:right w:val="none" w:sz="0" w:space="0" w:color="auto"/>
      </w:divBdr>
    </w:div>
    <w:div w:id="410085403">
      <w:bodyDiv w:val="1"/>
      <w:marLeft w:val="0"/>
      <w:marRight w:val="0"/>
      <w:marTop w:val="0"/>
      <w:marBottom w:val="0"/>
      <w:divBdr>
        <w:top w:val="none" w:sz="0" w:space="0" w:color="auto"/>
        <w:left w:val="none" w:sz="0" w:space="0" w:color="auto"/>
        <w:bottom w:val="none" w:sz="0" w:space="0" w:color="auto"/>
        <w:right w:val="none" w:sz="0" w:space="0" w:color="auto"/>
      </w:divBdr>
    </w:div>
    <w:div w:id="423187030">
      <w:bodyDiv w:val="1"/>
      <w:marLeft w:val="0"/>
      <w:marRight w:val="0"/>
      <w:marTop w:val="0"/>
      <w:marBottom w:val="0"/>
      <w:divBdr>
        <w:top w:val="none" w:sz="0" w:space="0" w:color="auto"/>
        <w:left w:val="none" w:sz="0" w:space="0" w:color="auto"/>
        <w:bottom w:val="none" w:sz="0" w:space="0" w:color="auto"/>
        <w:right w:val="none" w:sz="0" w:space="0" w:color="auto"/>
      </w:divBdr>
    </w:div>
    <w:div w:id="502550233">
      <w:bodyDiv w:val="1"/>
      <w:marLeft w:val="0"/>
      <w:marRight w:val="0"/>
      <w:marTop w:val="0"/>
      <w:marBottom w:val="0"/>
      <w:divBdr>
        <w:top w:val="none" w:sz="0" w:space="0" w:color="auto"/>
        <w:left w:val="none" w:sz="0" w:space="0" w:color="auto"/>
        <w:bottom w:val="none" w:sz="0" w:space="0" w:color="auto"/>
        <w:right w:val="none" w:sz="0" w:space="0" w:color="auto"/>
      </w:divBdr>
    </w:div>
    <w:div w:id="502550236">
      <w:bodyDiv w:val="1"/>
      <w:marLeft w:val="0"/>
      <w:marRight w:val="0"/>
      <w:marTop w:val="0"/>
      <w:marBottom w:val="0"/>
      <w:divBdr>
        <w:top w:val="none" w:sz="0" w:space="0" w:color="auto"/>
        <w:left w:val="none" w:sz="0" w:space="0" w:color="auto"/>
        <w:bottom w:val="none" w:sz="0" w:space="0" w:color="auto"/>
        <w:right w:val="none" w:sz="0" w:space="0" w:color="auto"/>
      </w:divBdr>
    </w:div>
    <w:div w:id="676540492">
      <w:bodyDiv w:val="1"/>
      <w:marLeft w:val="0"/>
      <w:marRight w:val="0"/>
      <w:marTop w:val="0"/>
      <w:marBottom w:val="0"/>
      <w:divBdr>
        <w:top w:val="none" w:sz="0" w:space="0" w:color="auto"/>
        <w:left w:val="none" w:sz="0" w:space="0" w:color="auto"/>
        <w:bottom w:val="none" w:sz="0" w:space="0" w:color="auto"/>
        <w:right w:val="none" w:sz="0" w:space="0" w:color="auto"/>
      </w:divBdr>
    </w:div>
    <w:div w:id="734937369">
      <w:bodyDiv w:val="1"/>
      <w:marLeft w:val="0"/>
      <w:marRight w:val="0"/>
      <w:marTop w:val="0"/>
      <w:marBottom w:val="0"/>
      <w:divBdr>
        <w:top w:val="none" w:sz="0" w:space="0" w:color="auto"/>
        <w:left w:val="none" w:sz="0" w:space="0" w:color="auto"/>
        <w:bottom w:val="none" w:sz="0" w:space="0" w:color="auto"/>
        <w:right w:val="none" w:sz="0" w:space="0" w:color="auto"/>
      </w:divBdr>
    </w:div>
    <w:div w:id="756750592">
      <w:bodyDiv w:val="1"/>
      <w:marLeft w:val="0"/>
      <w:marRight w:val="0"/>
      <w:marTop w:val="0"/>
      <w:marBottom w:val="0"/>
      <w:divBdr>
        <w:top w:val="none" w:sz="0" w:space="0" w:color="auto"/>
        <w:left w:val="none" w:sz="0" w:space="0" w:color="auto"/>
        <w:bottom w:val="none" w:sz="0" w:space="0" w:color="auto"/>
        <w:right w:val="none" w:sz="0" w:space="0" w:color="auto"/>
      </w:divBdr>
    </w:div>
    <w:div w:id="781345918">
      <w:bodyDiv w:val="1"/>
      <w:marLeft w:val="0"/>
      <w:marRight w:val="0"/>
      <w:marTop w:val="0"/>
      <w:marBottom w:val="0"/>
      <w:divBdr>
        <w:top w:val="none" w:sz="0" w:space="0" w:color="auto"/>
        <w:left w:val="none" w:sz="0" w:space="0" w:color="auto"/>
        <w:bottom w:val="none" w:sz="0" w:space="0" w:color="auto"/>
        <w:right w:val="none" w:sz="0" w:space="0" w:color="auto"/>
      </w:divBdr>
    </w:div>
    <w:div w:id="797066392">
      <w:bodyDiv w:val="1"/>
      <w:marLeft w:val="0"/>
      <w:marRight w:val="0"/>
      <w:marTop w:val="0"/>
      <w:marBottom w:val="0"/>
      <w:divBdr>
        <w:top w:val="none" w:sz="0" w:space="0" w:color="auto"/>
        <w:left w:val="none" w:sz="0" w:space="0" w:color="auto"/>
        <w:bottom w:val="none" w:sz="0" w:space="0" w:color="auto"/>
        <w:right w:val="none" w:sz="0" w:space="0" w:color="auto"/>
      </w:divBdr>
    </w:div>
    <w:div w:id="805854288">
      <w:bodyDiv w:val="1"/>
      <w:marLeft w:val="0"/>
      <w:marRight w:val="0"/>
      <w:marTop w:val="0"/>
      <w:marBottom w:val="0"/>
      <w:divBdr>
        <w:top w:val="none" w:sz="0" w:space="0" w:color="auto"/>
        <w:left w:val="none" w:sz="0" w:space="0" w:color="auto"/>
        <w:bottom w:val="none" w:sz="0" w:space="0" w:color="auto"/>
        <w:right w:val="none" w:sz="0" w:space="0" w:color="auto"/>
      </w:divBdr>
    </w:div>
    <w:div w:id="830022543">
      <w:bodyDiv w:val="1"/>
      <w:marLeft w:val="0"/>
      <w:marRight w:val="0"/>
      <w:marTop w:val="0"/>
      <w:marBottom w:val="0"/>
      <w:divBdr>
        <w:top w:val="none" w:sz="0" w:space="0" w:color="auto"/>
        <w:left w:val="none" w:sz="0" w:space="0" w:color="auto"/>
        <w:bottom w:val="none" w:sz="0" w:space="0" w:color="auto"/>
        <w:right w:val="none" w:sz="0" w:space="0" w:color="auto"/>
      </w:divBdr>
    </w:div>
    <w:div w:id="1004480518">
      <w:bodyDiv w:val="1"/>
      <w:marLeft w:val="0"/>
      <w:marRight w:val="0"/>
      <w:marTop w:val="0"/>
      <w:marBottom w:val="0"/>
      <w:divBdr>
        <w:top w:val="none" w:sz="0" w:space="0" w:color="auto"/>
        <w:left w:val="none" w:sz="0" w:space="0" w:color="auto"/>
        <w:bottom w:val="none" w:sz="0" w:space="0" w:color="auto"/>
        <w:right w:val="none" w:sz="0" w:space="0" w:color="auto"/>
      </w:divBdr>
    </w:div>
    <w:div w:id="1140263665">
      <w:bodyDiv w:val="1"/>
      <w:marLeft w:val="0"/>
      <w:marRight w:val="0"/>
      <w:marTop w:val="0"/>
      <w:marBottom w:val="0"/>
      <w:divBdr>
        <w:top w:val="none" w:sz="0" w:space="0" w:color="auto"/>
        <w:left w:val="none" w:sz="0" w:space="0" w:color="auto"/>
        <w:bottom w:val="none" w:sz="0" w:space="0" w:color="auto"/>
        <w:right w:val="none" w:sz="0" w:space="0" w:color="auto"/>
      </w:divBdr>
    </w:div>
    <w:div w:id="1142499260">
      <w:bodyDiv w:val="1"/>
      <w:marLeft w:val="0"/>
      <w:marRight w:val="0"/>
      <w:marTop w:val="0"/>
      <w:marBottom w:val="0"/>
      <w:divBdr>
        <w:top w:val="none" w:sz="0" w:space="0" w:color="auto"/>
        <w:left w:val="none" w:sz="0" w:space="0" w:color="auto"/>
        <w:bottom w:val="none" w:sz="0" w:space="0" w:color="auto"/>
        <w:right w:val="none" w:sz="0" w:space="0" w:color="auto"/>
      </w:divBdr>
    </w:div>
    <w:div w:id="1150637895">
      <w:bodyDiv w:val="1"/>
      <w:marLeft w:val="0"/>
      <w:marRight w:val="0"/>
      <w:marTop w:val="0"/>
      <w:marBottom w:val="0"/>
      <w:divBdr>
        <w:top w:val="none" w:sz="0" w:space="0" w:color="auto"/>
        <w:left w:val="none" w:sz="0" w:space="0" w:color="auto"/>
        <w:bottom w:val="none" w:sz="0" w:space="0" w:color="auto"/>
        <w:right w:val="none" w:sz="0" w:space="0" w:color="auto"/>
      </w:divBdr>
    </w:div>
    <w:div w:id="1334576201">
      <w:bodyDiv w:val="1"/>
      <w:marLeft w:val="0"/>
      <w:marRight w:val="0"/>
      <w:marTop w:val="0"/>
      <w:marBottom w:val="0"/>
      <w:divBdr>
        <w:top w:val="none" w:sz="0" w:space="0" w:color="auto"/>
        <w:left w:val="none" w:sz="0" w:space="0" w:color="auto"/>
        <w:bottom w:val="none" w:sz="0" w:space="0" w:color="auto"/>
        <w:right w:val="none" w:sz="0" w:space="0" w:color="auto"/>
      </w:divBdr>
    </w:div>
    <w:div w:id="1414351043">
      <w:bodyDiv w:val="1"/>
      <w:marLeft w:val="0"/>
      <w:marRight w:val="0"/>
      <w:marTop w:val="0"/>
      <w:marBottom w:val="0"/>
      <w:divBdr>
        <w:top w:val="none" w:sz="0" w:space="0" w:color="auto"/>
        <w:left w:val="none" w:sz="0" w:space="0" w:color="auto"/>
        <w:bottom w:val="none" w:sz="0" w:space="0" w:color="auto"/>
        <w:right w:val="none" w:sz="0" w:space="0" w:color="auto"/>
      </w:divBdr>
    </w:div>
    <w:div w:id="1469545753">
      <w:bodyDiv w:val="1"/>
      <w:marLeft w:val="0"/>
      <w:marRight w:val="0"/>
      <w:marTop w:val="0"/>
      <w:marBottom w:val="0"/>
      <w:divBdr>
        <w:top w:val="none" w:sz="0" w:space="0" w:color="auto"/>
        <w:left w:val="none" w:sz="0" w:space="0" w:color="auto"/>
        <w:bottom w:val="none" w:sz="0" w:space="0" w:color="auto"/>
        <w:right w:val="none" w:sz="0" w:space="0" w:color="auto"/>
      </w:divBdr>
    </w:div>
    <w:div w:id="1487358578">
      <w:bodyDiv w:val="1"/>
      <w:marLeft w:val="0"/>
      <w:marRight w:val="0"/>
      <w:marTop w:val="0"/>
      <w:marBottom w:val="0"/>
      <w:divBdr>
        <w:top w:val="none" w:sz="0" w:space="0" w:color="auto"/>
        <w:left w:val="none" w:sz="0" w:space="0" w:color="auto"/>
        <w:bottom w:val="none" w:sz="0" w:space="0" w:color="auto"/>
        <w:right w:val="none" w:sz="0" w:space="0" w:color="auto"/>
      </w:divBdr>
    </w:div>
    <w:div w:id="1522742584">
      <w:bodyDiv w:val="1"/>
      <w:marLeft w:val="0"/>
      <w:marRight w:val="0"/>
      <w:marTop w:val="0"/>
      <w:marBottom w:val="0"/>
      <w:divBdr>
        <w:top w:val="none" w:sz="0" w:space="0" w:color="auto"/>
        <w:left w:val="none" w:sz="0" w:space="0" w:color="auto"/>
        <w:bottom w:val="none" w:sz="0" w:space="0" w:color="auto"/>
        <w:right w:val="none" w:sz="0" w:space="0" w:color="auto"/>
      </w:divBdr>
    </w:div>
    <w:div w:id="1639148087">
      <w:bodyDiv w:val="1"/>
      <w:marLeft w:val="0"/>
      <w:marRight w:val="0"/>
      <w:marTop w:val="0"/>
      <w:marBottom w:val="0"/>
      <w:divBdr>
        <w:top w:val="none" w:sz="0" w:space="0" w:color="auto"/>
        <w:left w:val="none" w:sz="0" w:space="0" w:color="auto"/>
        <w:bottom w:val="none" w:sz="0" w:space="0" w:color="auto"/>
        <w:right w:val="none" w:sz="0" w:space="0" w:color="auto"/>
      </w:divBdr>
    </w:div>
    <w:div w:id="1665624479">
      <w:bodyDiv w:val="1"/>
      <w:marLeft w:val="0"/>
      <w:marRight w:val="0"/>
      <w:marTop w:val="0"/>
      <w:marBottom w:val="0"/>
      <w:divBdr>
        <w:top w:val="none" w:sz="0" w:space="0" w:color="auto"/>
        <w:left w:val="none" w:sz="0" w:space="0" w:color="auto"/>
        <w:bottom w:val="none" w:sz="0" w:space="0" w:color="auto"/>
        <w:right w:val="none" w:sz="0" w:space="0" w:color="auto"/>
      </w:divBdr>
    </w:div>
    <w:div w:id="1754617560">
      <w:bodyDiv w:val="1"/>
      <w:marLeft w:val="0"/>
      <w:marRight w:val="0"/>
      <w:marTop w:val="0"/>
      <w:marBottom w:val="0"/>
      <w:divBdr>
        <w:top w:val="none" w:sz="0" w:space="0" w:color="auto"/>
        <w:left w:val="none" w:sz="0" w:space="0" w:color="auto"/>
        <w:bottom w:val="none" w:sz="0" w:space="0" w:color="auto"/>
        <w:right w:val="none" w:sz="0" w:space="0" w:color="auto"/>
      </w:divBdr>
    </w:div>
    <w:div w:id="1755933843">
      <w:bodyDiv w:val="1"/>
      <w:marLeft w:val="0"/>
      <w:marRight w:val="0"/>
      <w:marTop w:val="0"/>
      <w:marBottom w:val="0"/>
      <w:divBdr>
        <w:top w:val="none" w:sz="0" w:space="0" w:color="auto"/>
        <w:left w:val="none" w:sz="0" w:space="0" w:color="auto"/>
        <w:bottom w:val="none" w:sz="0" w:space="0" w:color="auto"/>
        <w:right w:val="none" w:sz="0" w:space="0" w:color="auto"/>
      </w:divBdr>
    </w:div>
    <w:div w:id="1761951808">
      <w:bodyDiv w:val="1"/>
      <w:marLeft w:val="0"/>
      <w:marRight w:val="0"/>
      <w:marTop w:val="0"/>
      <w:marBottom w:val="0"/>
      <w:divBdr>
        <w:top w:val="none" w:sz="0" w:space="0" w:color="auto"/>
        <w:left w:val="none" w:sz="0" w:space="0" w:color="auto"/>
        <w:bottom w:val="none" w:sz="0" w:space="0" w:color="auto"/>
        <w:right w:val="none" w:sz="0" w:space="0" w:color="auto"/>
      </w:divBdr>
    </w:div>
    <w:div w:id="1832716688">
      <w:bodyDiv w:val="1"/>
      <w:marLeft w:val="0"/>
      <w:marRight w:val="0"/>
      <w:marTop w:val="0"/>
      <w:marBottom w:val="0"/>
      <w:divBdr>
        <w:top w:val="none" w:sz="0" w:space="0" w:color="auto"/>
        <w:left w:val="none" w:sz="0" w:space="0" w:color="auto"/>
        <w:bottom w:val="none" w:sz="0" w:space="0" w:color="auto"/>
        <w:right w:val="none" w:sz="0" w:space="0" w:color="auto"/>
      </w:divBdr>
    </w:div>
    <w:div w:id="202986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35630</Words>
  <Characters>203092</Characters>
  <Application>Microsoft Office Word</Application>
  <DocSecurity>0</DocSecurity>
  <Lines>1692</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Goralogia, Greg</dc:creator>
  <cp:keywords/>
  <dc:description/>
  <cp:lastModifiedBy>Goralogia, Greg</cp:lastModifiedBy>
  <cp:revision>6</cp:revision>
  <cp:lastPrinted>2021-02-24T18:26:00Z</cp:lastPrinted>
  <dcterms:created xsi:type="dcterms:W3CDTF">2021-03-08T16:20:00Z</dcterms:created>
  <dcterms:modified xsi:type="dcterms:W3CDTF">2021-03-10T01:30:00Z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id="hzg4OMSK"/&gt;&lt;style id="http://www.zotero.org/styles/plant-physiology"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