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314" w:rsidRPr="00273589" w:rsidRDefault="00D63314" w:rsidP="00C070C2">
      <w:pPr>
        <w:pStyle w:val="Caption"/>
        <w:spacing w:line="360" w:lineRule="auto"/>
        <w:rPr>
          <w:b w:val="0"/>
          <w:sz w:val="24"/>
          <w:szCs w:val="24"/>
          <w:lang w:val="en-GB"/>
        </w:rPr>
      </w:pPr>
      <w:r w:rsidRPr="00273589">
        <w:rPr>
          <w:b w:val="0"/>
          <w:sz w:val="24"/>
          <w:szCs w:val="24"/>
          <w:lang w:val="en-GB"/>
        </w:rPr>
        <w:t>Supplemental file</w:t>
      </w:r>
      <w:bookmarkStart w:id="0" w:name="_Toc342987477"/>
      <w:r w:rsidRPr="00273589">
        <w:rPr>
          <w:b w:val="0"/>
          <w:sz w:val="24"/>
          <w:szCs w:val="24"/>
          <w:lang w:val="en-GB"/>
        </w:rPr>
        <w:t>: Fracture, diagnosis and treatment codes</w:t>
      </w:r>
      <w:bookmarkEnd w:id="0"/>
    </w:p>
    <w:p w:rsidR="00D63314" w:rsidRPr="00273589" w:rsidRDefault="00D63314" w:rsidP="00C070C2">
      <w:pPr>
        <w:autoSpaceDE w:val="0"/>
        <w:autoSpaceDN w:val="0"/>
        <w:adjustRightInd w:val="0"/>
        <w:spacing w:line="240" w:lineRule="auto"/>
        <w:rPr>
          <w:sz w:val="24"/>
          <w:u w:val="single"/>
          <w:lang w:val="en-GB"/>
        </w:rPr>
      </w:pPr>
      <w:r w:rsidRPr="00273589">
        <w:rPr>
          <w:sz w:val="24"/>
          <w:u w:val="single"/>
          <w:lang w:val="en-GB"/>
        </w:rPr>
        <w:t>S1. Fracture codes</w:t>
      </w:r>
    </w:p>
    <w:p w:rsidR="00D63314" w:rsidRPr="00273589" w:rsidRDefault="00D63314" w:rsidP="00C070C2">
      <w:pPr>
        <w:autoSpaceDE w:val="0"/>
        <w:autoSpaceDN w:val="0"/>
        <w:adjustRightInd w:val="0"/>
        <w:spacing w:line="240" w:lineRule="auto"/>
        <w:rPr>
          <w:lang w:val="en-GB"/>
        </w:rPr>
      </w:pPr>
      <w:r w:rsidRPr="00273589">
        <w:rPr>
          <w:lang w:val="en-GB"/>
        </w:rPr>
        <w:t xml:space="preserve">The fracture codes used in the study were chosen to be </w:t>
      </w:r>
      <w:proofErr w:type="gramStart"/>
      <w:r w:rsidRPr="00273589">
        <w:rPr>
          <w:lang w:val="en-GB"/>
        </w:rPr>
        <w:t>similar to</w:t>
      </w:r>
      <w:proofErr w:type="gramEnd"/>
      <w:r w:rsidRPr="00273589">
        <w:rPr>
          <w:lang w:val="en-GB"/>
        </w:rPr>
        <w:t xml:space="preserve"> those included in clinical trials. Fractures to the skull, face, foo</w:t>
      </w:r>
      <w:bookmarkStart w:id="1" w:name="_GoBack"/>
      <w:bookmarkEnd w:id="1"/>
      <w:r w:rsidRPr="00273589">
        <w:rPr>
          <w:lang w:val="en-GB"/>
        </w:rPr>
        <w:t>t, mandible, fingers, metacarpals are not associated with decreased bone mineral density and were excluded</w:t>
      </w:r>
      <w:r w:rsidRPr="00273589">
        <w:rPr>
          <w:b/>
          <w:lang w:val="en-GB"/>
        </w:rPr>
        <w:t>.</w:t>
      </w:r>
      <w:r w:rsidRPr="00273589">
        <w:rPr>
          <w:lang w:val="en-GB"/>
        </w:rPr>
        <w:t xml:space="preserve"> </w:t>
      </w:r>
    </w:p>
    <w:p w:rsidR="00D63314" w:rsidRPr="00273589" w:rsidRDefault="00D63314" w:rsidP="00C070C2">
      <w:pPr>
        <w:autoSpaceDE w:val="0"/>
        <w:autoSpaceDN w:val="0"/>
        <w:adjustRightInd w:val="0"/>
        <w:spacing w:line="240" w:lineRule="auto"/>
        <w:rPr>
          <w:lang w:val="en-GB"/>
        </w:rPr>
      </w:pPr>
      <w:r w:rsidRPr="00273589">
        <w:rPr>
          <w:lang w:val="en-GB"/>
        </w:rPr>
        <w:t>The effectiveness of osteoporosis treatments is usually measured for low energy fractures only, where the fracture is caused by a fall in the same plane (e.g. standing or from a chair), and the accident causing the fracture can be recorded in ICD-10 (W0.x). While over 90% of hospitalized spine fractures and 95% of hip fractures are caused by low energy trauma this information is often not recorded, making it difficult to distinguish fractures caused by high energy trauma</w:t>
      </w:r>
      <w:r w:rsidR="00C070C2" w:rsidRPr="00273589">
        <w:rPr>
          <w:rStyle w:val="FootnoteReference"/>
          <w:lang w:val="en-GB"/>
        </w:rPr>
        <w:footnoteReference w:id="1"/>
      </w:r>
      <w:r w:rsidRPr="00273589">
        <w:rPr>
          <w:lang w:val="en-GB"/>
        </w:rPr>
        <w:t xml:space="preserve">. </w:t>
      </w:r>
    </w:p>
    <w:p w:rsidR="00D63314" w:rsidRPr="00273589" w:rsidRDefault="00D63314" w:rsidP="00C070C2">
      <w:pPr>
        <w:autoSpaceDE w:val="0"/>
        <w:autoSpaceDN w:val="0"/>
        <w:adjustRightInd w:val="0"/>
        <w:spacing w:line="240" w:lineRule="auto"/>
        <w:rPr>
          <w:lang w:val="en-GB"/>
        </w:rPr>
      </w:pPr>
    </w:p>
    <w:p w:rsidR="00D63314" w:rsidRPr="00273589" w:rsidRDefault="00D63314" w:rsidP="00C070C2">
      <w:pPr>
        <w:autoSpaceDE w:val="0"/>
        <w:autoSpaceDN w:val="0"/>
        <w:adjustRightInd w:val="0"/>
        <w:spacing w:line="240" w:lineRule="auto"/>
        <w:rPr>
          <w:b/>
          <w:sz w:val="24"/>
          <w:szCs w:val="24"/>
          <w:lang w:val="en-GB"/>
        </w:rPr>
      </w:pPr>
      <w:bookmarkStart w:id="2" w:name="_Ref338328300"/>
      <w:r w:rsidRPr="00273589">
        <w:rPr>
          <w:rFonts w:ascii="Calibri" w:eastAsia="Calibri" w:hAnsi="Calibri" w:cs="Calibri"/>
          <w:b/>
          <w:bCs/>
          <w:sz w:val="24"/>
          <w:szCs w:val="24"/>
          <w:lang w:val="en-GB"/>
        </w:rPr>
        <w:t xml:space="preserve">Table </w:t>
      </w:r>
      <w:r w:rsidRPr="00273589">
        <w:rPr>
          <w:rFonts w:ascii="Calibri" w:eastAsia="Calibri" w:hAnsi="Calibri" w:cs="Calibri"/>
          <w:b/>
          <w:bCs/>
          <w:sz w:val="24"/>
          <w:szCs w:val="24"/>
          <w:lang w:val="en-GB"/>
        </w:rPr>
        <w:fldChar w:fldCharType="begin"/>
      </w:r>
      <w:r w:rsidRPr="00273589">
        <w:rPr>
          <w:rFonts w:ascii="Calibri" w:eastAsia="Calibri" w:hAnsi="Calibri" w:cs="Calibri"/>
          <w:b/>
          <w:bCs/>
          <w:sz w:val="24"/>
          <w:szCs w:val="24"/>
          <w:lang w:val="en-GB"/>
        </w:rPr>
        <w:instrText xml:space="preserve"> SEQ Table \* ARABIC </w:instrText>
      </w:r>
      <w:r w:rsidRPr="00273589">
        <w:rPr>
          <w:rFonts w:ascii="Calibri" w:eastAsia="Calibri" w:hAnsi="Calibri" w:cs="Calibri"/>
          <w:b/>
          <w:bCs/>
          <w:sz w:val="24"/>
          <w:szCs w:val="24"/>
          <w:lang w:val="en-GB"/>
        </w:rPr>
        <w:fldChar w:fldCharType="separate"/>
      </w:r>
      <w:r w:rsidR="000E2F53">
        <w:rPr>
          <w:rFonts w:ascii="Calibri" w:eastAsia="Calibri" w:hAnsi="Calibri" w:cs="Calibri"/>
          <w:b/>
          <w:bCs/>
          <w:noProof/>
          <w:sz w:val="24"/>
          <w:szCs w:val="24"/>
          <w:lang w:val="en-GB"/>
        </w:rPr>
        <w:t>1</w:t>
      </w:r>
      <w:r w:rsidRPr="00273589">
        <w:rPr>
          <w:rFonts w:ascii="Calibri" w:eastAsia="Calibri" w:hAnsi="Calibri" w:cs="Calibri"/>
          <w:b/>
          <w:bCs/>
          <w:sz w:val="24"/>
          <w:szCs w:val="24"/>
          <w:lang w:val="en-GB"/>
        </w:rPr>
        <w:fldChar w:fldCharType="end"/>
      </w:r>
      <w:bookmarkEnd w:id="2"/>
      <w:r w:rsidRPr="00273589">
        <w:rPr>
          <w:b/>
          <w:sz w:val="24"/>
          <w:szCs w:val="24"/>
          <w:lang w:val="en-GB"/>
        </w:rPr>
        <w:t xml:space="preserve"> </w:t>
      </w:r>
      <w:r w:rsidRPr="00273589">
        <w:rPr>
          <w:sz w:val="24"/>
          <w:szCs w:val="24"/>
          <w:lang w:val="en-GB"/>
        </w:rPr>
        <w:t>Included fracture codes</w:t>
      </w:r>
    </w:p>
    <w:tbl>
      <w:tblPr>
        <w:tblStyle w:val="TableGrid"/>
        <w:tblW w:w="7596" w:type="dxa"/>
        <w:tblLook w:val="04A0" w:firstRow="1" w:lastRow="0" w:firstColumn="1" w:lastColumn="0" w:noHBand="0" w:noVBand="1"/>
      </w:tblPr>
      <w:tblGrid>
        <w:gridCol w:w="2925"/>
        <w:gridCol w:w="1846"/>
        <w:gridCol w:w="2825"/>
      </w:tblGrid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  <w:t>Fracture type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  <w:t>ICD-10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  <w:t>Notes</w:t>
            </w: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bCs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bCs/>
                <w:color w:val="000000"/>
                <w:lang w:val="en-GB"/>
              </w:rPr>
              <w:t>Neck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S12.x</w:t>
            </w:r>
          </w:p>
        </w:tc>
        <w:tc>
          <w:tcPr>
            <w:tcW w:w="0" w:type="dxa"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bCs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bCs/>
                <w:color w:val="000000"/>
                <w:lang w:val="en-GB"/>
              </w:rPr>
              <w:t>Rib, sternum, thoracic spine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S22.x</w:t>
            </w:r>
          </w:p>
        </w:tc>
        <w:tc>
          <w:tcPr>
            <w:tcW w:w="0" w:type="dxa"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bCs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bCs/>
                <w:color w:val="000000"/>
                <w:lang w:val="en-GB"/>
              </w:rPr>
              <w:t>Lumbar spine, pelvis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S32.x</w:t>
            </w:r>
          </w:p>
        </w:tc>
        <w:tc>
          <w:tcPr>
            <w:tcW w:w="0" w:type="dxa"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bCs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bCs/>
                <w:color w:val="000000"/>
                <w:lang w:val="en-GB"/>
              </w:rPr>
              <w:t>Shoulder, upper arm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S42.x</w:t>
            </w:r>
          </w:p>
        </w:tc>
        <w:tc>
          <w:tcPr>
            <w:tcW w:w="0" w:type="dxa"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bCs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bCs/>
                <w:color w:val="000000"/>
                <w:lang w:val="en-GB"/>
              </w:rPr>
              <w:t>Forearm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S52.x</w:t>
            </w:r>
          </w:p>
        </w:tc>
        <w:tc>
          <w:tcPr>
            <w:tcW w:w="0" w:type="dxa"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</w:tr>
      <w:tr w:rsidR="00D63314" w:rsidRPr="00184136" w:rsidTr="00C070C2">
        <w:trPr>
          <w:trHeight w:val="549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bCs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bCs/>
                <w:color w:val="000000"/>
                <w:lang w:val="en-GB"/>
              </w:rPr>
              <w:t>Wrist and hand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S62.0x, S62.8x</w:t>
            </w:r>
          </w:p>
        </w:tc>
        <w:tc>
          <w:tcPr>
            <w:tcW w:w="0" w:type="dxa"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bCs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bCs/>
                <w:color w:val="000000"/>
                <w:lang w:val="en-GB"/>
              </w:rPr>
              <w:t>Fractures to the fingers and metacarpals were excluded</w:t>
            </w: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bCs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bCs/>
                <w:color w:val="000000"/>
                <w:lang w:val="en-GB"/>
              </w:rPr>
              <w:t>Femur (including hip)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S72.x</w:t>
            </w:r>
          </w:p>
        </w:tc>
        <w:tc>
          <w:tcPr>
            <w:tcW w:w="0" w:type="dxa"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bCs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bCs/>
                <w:color w:val="000000"/>
                <w:lang w:val="en-GB"/>
              </w:rPr>
              <w:t>Lower leg (including ankle)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S82.x</w:t>
            </w:r>
          </w:p>
        </w:tc>
        <w:tc>
          <w:tcPr>
            <w:tcW w:w="0" w:type="dxa"/>
            <w:hideMark/>
          </w:tcPr>
          <w:p w:rsidR="00D63314" w:rsidRPr="00273589" w:rsidRDefault="00D63314" w:rsidP="00C070C2">
            <w:pPr>
              <w:rPr>
                <w:rFonts w:ascii="Verdana" w:eastAsia="Times New Roman" w:hAnsi="Verdana" w:cs="Calibri"/>
                <w:color w:val="414141"/>
                <w:sz w:val="16"/>
                <w:szCs w:val="16"/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bCs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bCs/>
                <w:color w:val="000000"/>
                <w:lang w:val="en-GB"/>
              </w:rPr>
              <w:t>Multiple body regions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T02.1x - T02.9x</w:t>
            </w:r>
          </w:p>
        </w:tc>
        <w:tc>
          <w:tcPr>
            <w:tcW w:w="0" w:type="dxa"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bCs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bCs/>
                <w:color w:val="000000"/>
                <w:lang w:val="en-GB"/>
              </w:rPr>
              <w:t>Multiple fractures engaging the skull were excluded</w:t>
            </w: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bCs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bCs/>
                <w:color w:val="000000"/>
                <w:lang w:val="en-GB"/>
              </w:rPr>
              <w:t>Spine, unspecified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T08.x</w:t>
            </w:r>
          </w:p>
        </w:tc>
        <w:tc>
          <w:tcPr>
            <w:tcW w:w="0" w:type="dxa"/>
            <w:hideMark/>
          </w:tcPr>
          <w:p w:rsidR="00D63314" w:rsidRPr="00273589" w:rsidRDefault="00D63314" w:rsidP="00C070C2">
            <w:pPr>
              <w:rPr>
                <w:rFonts w:ascii="Verdana" w:eastAsia="Times New Roman" w:hAnsi="Verdana" w:cs="Calibri"/>
                <w:color w:val="414141"/>
                <w:sz w:val="16"/>
                <w:szCs w:val="16"/>
                <w:lang w:val="en-GB"/>
              </w:rPr>
            </w:pPr>
          </w:p>
        </w:tc>
      </w:tr>
      <w:tr w:rsidR="00D63314" w:rsidRPr="00184136" w:rsidTr="00C070C2">
        <w:trPr>
          <w:trHeight w:val="338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bCs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bCs/>
                <w:color w:val="000000"/>
                <w:lang w:val="en-GB"/>
              </w:rPr>
              <w:t>Upper limb, unspecified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T10.x</w:t>
            </w:r>
          </w:p>
        </w:tc>
        <w:tc>
          <w:tcPr>
            <w:tcW w:w="0" w:type="dxa"/>
            <w:hideMark/>
          </w:tcPr>
          <w:p w:rsidR="00D63314" w:rsidRPr="00273589" w:rsidRDefault="00D63314" w:rsidP="00C070C2">
            <w:pPr>
              <w:rPr>
                <w:rFonts w:ascii="Verdana" w:eastAsia="Times New Roman" w:hAnsi="Verdana" w:cs="Calibri"/>
                <w:color w:val="414141"/>
                <w:sz w:val="16"/>
                <w:szCs w:val="16"/>
                <w:lang w:val="en-GB"/>
              </w:rPr>
            </w:pPr>
          </w:p>
        </w:tc>
      </w:tr>
      <w:tr w:rsidR="00D63314" w:rsidRPr="00184136" w:rsidTr="00C070C2">
        <w:trPr>
          <w:trHeight w:val="316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bCs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bCs/>
                <w:color w:val="000000"/>
                <w:lang w:val="en-GB"/>
              </w:rPr>
              <w:t>Lower limb, unspecified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T12.x</w:t>
            </w:r>
          </w:p>
        </w:tc>
        <w:tc>
          <w:tcPr>
            <w:tcW w:w="0" w:type="dxa"/>
            <w:hideMark/>
          </w:tcPr>
          <w:p w:rsidR="00D63314" w:rsidRPr="00273589" w:rsidRDefault="00D63314" w:rsidP="00C070C2">
            <w:pPr>
              <w:rPr>
                <w:rFonts w:ascii="Verdana" w:eastAsia="Times New Roman" w:hAnsi="Verdana" w:cs="Calibri"/>
                <w:color w:val="414141"/>
                <w:sz w:val="16"/>
                <w:szCs w:val="16"/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bCs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bCs/>
                <w:color w:val="000000"/>
                <w:lang w:val="en-GB"/>
              </w:rPr>
              <w:t>Unspecified osteoporotic fracture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M80.x</w:t>
            </w:r>
          </w:p>
        </w:tc>
        <w:tc>
          <w:tcPr>
            <w:tcW w:w="0" w:type="dxa"/>
            <w:hideMark/>
          </w:tcPr>
          <w:p w:rsidR="00D63314" w:rsidRPr="00273589" w:rsidRDefault="00D63314" w:rsidP="00C070C2">
            <w:pPr>
              <w:rPr>
                <w:rFonts w:ascii="Verdana" w:eastAsia="Times New Roman" w:hAnsi="Verdana" w:cs="Calibri"/>
                <w:color w:val="414141"/>
                <w:sz w:val="16"/>
                <w:szCs w:val="16"/>
                <w:lang w:val="en-GB"/>
              </w:rPr>
            </w:pPr>
          </w:p>
        </w:tc>
      </w:tr>
    </w:tbl>
    <w:p w:rsidR="00D63314" w:rsidRPr="00273589" w:rsidRDefault="00D63314" w:rsidP="00C070C2">
      <w:pPr>
        <w:autoSpaceDE w:val="0"/>
        <w:autoSpaceDN w:val="0"/>
        <w:adjustRightInd w:val="0"/>
        <w:spacing w:line="240" w:lineRule="auto"/>
        <w:rPr>
          <w:b/>
          <w:sz w:val="20"/>
          <w:szCs w:val="20"/>
          <w:lang w:val="en-GB"/>
        </w:rPr>
      </w:pPr>
    </w:p>
    <w:p w:rsidR="00D63314" w:rsidRPr="00273589" w:rsidRDefault="00D63314" w:rsidP="00C070C2">
      <w:pPr>
        <w:rPr>
          <w:sz w:val="24"/>
          <w:szCs w:val="24"/>
          <w:u w:val="single"/>
          <w:lang w:val="en-GB"/>
        </w:rPr>
      </w:pPr>
      <w:bookmarkStart w:id="3" w:name="_Ref338408458"/>
      <w:r w:rsidRPr="00273589">
        <w:rPr>
          <w:sz w:val="24"/>
          <w:szCs w:val="24"/>
          <w:u w:val="single"/>
          <w:lang w:val="en-GB"/>
        </w:rPr>
        <w:lastRenderedPageBreak/>
        <w:t>S2. Diagnosis codes</w:t>
      </w:r>
    </w:p>
    <w:p w:rsidR="00D63314" w:rsidRPr="00273589" w:rsidRDefault="00D63314" w:rsidP="00C070C2">
      <w:pPr>
        <w:autoSpaceDE w:val="0"/>
        <w:autoSpaceDN w:val="0"/>
        <w:adjustRightInd w:val="0"/>
        <w:spacing w:line="240" w:lineRule="auto"/>
        <w:rPr>
          <w:sz w:val="24"/>
          <w:szCs w:val="20"/>
          <w:lang w:val="en-GB"/>
        </w:rPr>
      </w:pPr>
      <w:r w:rsidRPr="00273589">
        <w:rPr>
          <w:rFonts w:ascii="Calibri" w:eastAsia="Calibri" w:hAnsi="Calibri" w:cs="Calibri"/>
          <w:b/>
          <w:bCs/>
          <w:sz w:val="24"/>
          <w:lang w:val="en-GB"/>
        </w:rPr>
        <w:t xml:space="preserve">Table </w:t>
      </w:r>
      <w:r w:rsidRPr="00273589">
        <w:rPr>
          <w:rFonts w:ascii="Calibri" w:eastAsia="Calibri" w:hAnsi="Calibri" w:cs="Calibri"/>
          <w:b/>
          <w:bCs/>
          <w:sz w:val="24"/>
          <w:lang w:val="en-GB"/>
        </w:rPr>
        <w:fldChar w:fldCharType="begin"/>
      </w:r>
      <w:r w:rsidRPr="00273589">
        <w:rPr>
          <w:rFonts w:ascii="Calibri" w:eastAsia="Calibri" w:hAnsi="Calibri" w:cs="Calibri"/>
          <w:b/>
          <w:bCs/>
          <w:sz w:val="24"/>
          <w:lang w:val="en-GB"/>
        </w:rPr>
        <w:instrText xml:space="preserve"> SEQ Table \* ARABIC </w:instrText>
      </w:r>
      <w:r w:rsidRPr="00273589">
        <w:rPr>
          <w:rFonts w:ascii="Calibri" w:eastAsia="Calibri" w:hAnsi="Calibri" w:cs="Calibri"/>
          <w:b/>
          <w:bCs/>
          <w:sz w:val="24"/>
          <w:lang w:val="en-GB"/>
        </w:rPr>
        <w:fldChar w:fldCharType="separate"/>
      </w:r>
      <w:r w:rsidR="000E2F53">
        <w:rPr>
          <w:rFonts w:ascii="Calibri" w:eastAsia="Calibri" w:hAnsi="Calibri" w:cs="Calibri"/>
          <w:b/>
          <w:bCs/>
          <w:noProof/>
          <w:sz w:val="24"/>
          <w:lang w:val="en-GB"/>
        </w:rPr>
        <w:t>2</w:t>
      </w:r>
      <w:r w:rsidRPr="00273589">
        <w:rPr>
          <w:rFonts w:ascii="Calibri" w:eastAsia="Calibri" w:hAnsi="Calibri" w:cs="Calibri"/>
          <w:b/>
          <w:bCs/>
          <w:sz w:val="24"/>
          <w:lang w:val="en-GB"/>
        </w:rPr>
        <w:fldChar w:fldCharType="end"/>
      </w:r>
      <w:bookmarkEnd w:id="3"/>
      <w:r w:rsidRPr="00273589">
        <w:rPr>
          <w:sz w:val="24"/>
          <w:szCs w:val="20"/>
          <w:lang w:val="en-GB"/>
        </w:rPr>
        <w:t xml:space="preserve"> Codes for exclusion criteria</w:t>
      </w:r>
    </w:p>
    <w:tbl>
      <w:tblPr>
        <w:tblStyle w:val="TableGrid"/>
        <w:tblW w:w="4927" w:type="dxa"/>
        <w:tblLook w:val="04A0" w:firstRow="1" w:lastRow="0" w:firstColumn="1" w:lastColumn="0" w:noHBand="0" w:noVBand="1"/>
      </w:tblPr>
      <w:tblGrid>
        <w:gridCol w:w="3194"/>
        <w:gridCol w:w="1733"/>
      </w:tblGrid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  <w:t>Diagnosis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  <w:t>ICD-10</w:t>
            </w: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bCs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bCs/>
                <w:color w:val="000000"/>
                <w:lang w:val="en-GB"/>
              </w:rPr>
              <w:t>Malignancies</w:t>
            </w:r>
            <w:r w:rsidRPr="00273589">
              <w:rPr>
                <w:rFonts w:ascii="Calibri" w:eastAsia="Times New Roman" w:hAnsi="Calibri" w:cs="Calibri"/>
                <w:bCs/>
                <w:color w:val="000000"/>
                <w:vertAlign w:val="superscript"/>
                <w:lang w:val="en-GB"/>
              </w:rPr>
              <w:t>1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C.0-C43.x, C45.x-C.97.x</w:t>
            </w: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184136" w:rsidRDefault="00184136" w:rsidP="00C070C2">
            <w:pPr>
              <w:rPr>
                <w:rFonts w:ascii="Calibri" w:eastAsia="Times New Roman" w:hAnsi="Calibri" w:cs="Calibri"/>
                <w:bCs/>
                <w:color w:val="000000"/>
                <w:lang w:val="en-GB"/>
              </w:rPr>
            </w:pPr>
            <w:r w:rsidRPr="00184136">
              <w:rPr>
                <w:rFonts w:ascii="Calibri" w:eastAsia="Times New Roman" w:hAnsi="Calibri" w:cs="Calibri"/>
                <w:bCs/>
                <w:color w:val="000000"/>
                <w:lang w:val="en-GB"/>
              </w:rPr>
              <w:t>Tumours</w:t>
            </w:r>
            <w:r w:rsidR="00D63314" w:rsidRPr="00184136">
              <w:rPr>
                <w:rFonts w:ascii="Calibri" w:eastAsia="Times New Roman" w:hAnsi="Calibri" w:cs="Calibri"/>
                <w:bCs/>
                <w:color w:val="000000"/>
                <w:lang w:val="en-GB"/>
              </w:rPr>
              <w:t xml:space="preserve"> of unknown nature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D37.x-D48.x</w:t>
            </w: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bCs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bCs/>
                <w:color w:val="000000"/>
                <w:lang w:val="en-GB"/>
              </w:rPr>
              <w:t>Paget’s disease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M88.x</w:t>
            </w:r>
          </w:p>
        </w:tc>
      </w:tr>
    </w:tbl>
    <w:p w:rsidR="00D63314" w:rsidRPr="00273589" w:rsidRDefault="00D63314" w:rsidP="00C070C2">
      <w:pPr>
        <w:autoSpaceDE w:val="0"/>
        <w:autoSpaceDN w:val="0"/>
        <w:adjustRightInd w:val="0"/>
        <w:spacing w:line="240" w:lineRule="auto"/>
        <w:rPr>
          <w:sz w:val="16"/>
          <w:szCs w:val="20"/>
          <w:lang w:val="en-GB"/>
        </w:rPr>
      </w:pPr>
      <w:r w:rsidRPr="00273589">
        <w:rPr>
          <w:sz w:val="16"/>
          <w:szCs w:val="20"/>
          <w:vertAlign w:val="superscript"/>
          <w:lang w:val="en-GB"/>
        </w:rPr>
        <w:t>1</w:t>
      </w:r>
      <w:r w:rsidRPr="00273589">
        <w:rPr>
          <w:sz w:val="16"/>
          <w:szCs w:val="20"/>
          <w:lang w:val="en-GB"/>
        </w:rPr>
        <w:t xml:space="preserve">Basal cell cancers (c.44.x) are usually not harmful and were therefore not excluded </w:t>
      </w:r>
    </w:p>
    <w:p w:rsidR="00D63314" w:rsidRPr="00273589" w:rsidRDefault="00D63314" w:rsidP="00C070C2">
      <w:pPr>
        <w:autoSpaceDE w:val="0"/>
        <w:autoSpaceDN w:val="0"/>
        <w:adjustRightInd w:val="0"/>
        <w:spacing w:line="240" w:lineRule="auto"/>
        <w:rPr>
          <w:sz w:val="16"/>
          <w:szCs w:val="20"/>
          <w:lang w:val="en-GB"/>
        </w:rPr>
      </w:pPr>
    </w:p>
    <w:p w:rsidR="00D63314" w:rsidRPr="00273589" w:rsidRDefault="00D63314" w:rsidP="00C070C2">
      <w:pPr>
        <w:autoSpaceDE w:val="0"/>
        <w:autoSpaceDN w:val="0"/>
        <w:adjustRightInd w:val="0"/>
        <w:spacing w:line="240" w:lineRule="auto"/>
        <w:rPr>
          <w:sz w:val="24"/>
          <w:szCs w:val="20"/>
          <w:u w:val="single"/>
          <w:lang w:val="en-GB"/>
        </w:rPr>
      </w:pPr>
      <w:bookmarkStart w:id="4" w:name="_Ref338329620"/>
      <w:r w:rsidRPr="00273589">
        <w:rPr>
          <w:rFonts w:ascii="Calibri" w:eastAsia="Calibri" w:hAnsi="Calibri" w:cs="Calibri"/>
          <w:b/>
          <w:bCs/>
          <w:sz w:val="24"/>
          <w:lang w:val="en-GB"/>
        </w:rPr>
        <w:t xml:space="preserve">Table </w:t>
      </w:r>
      <w:r w:rsidRPr="00273589">
        <w:rPr>
          <w:rFonts w:ascii="Calibri" w:eastAsia="Calibri" w:hAnsi="Calibri" w:cs="Calibri"/>
          <w:b/>
          <w:bCs/>
          <w:sz w:val="24"/>
          <w:lang w:val="en-GB"/>
        </w:rPr>
        <w:fldChar w:fldCharType="begin"/>
      </w:r>
      <w:r w:rsidRPr="00273589">
        <w:rPr>
          <w:rFonts w:ascii="Calibri" w:eastAsia="Calibri" w:hAnsi="Calibri" w:cs="Calibri"/>
          <w:b/>
          <w:bCs/>
          <w:sz w:val="24"/>
          <w:lang w:val="en-GB"/>
        </w:rPr>
        <w:instrText xml:space="preserve"> SEQ Table \* ARABIC </w:instrText>
      </w:r>
      <w:r w:rsidRPr="00273589">
        <w:rPr>
          <w:rFonts w:ascii="Calibri" w:eastAsia="Calibri" w:hAnsi="Calibri" w:cs="Calibri"/>
          <w:b/>
          <w:bCs/>
          <w:sz w:val="24"/>
          <w:lang w:val="en-GB"/>
        </w:rPr>
        <w:fldChar w:fldCharType="separate"/>
      </w:r>
      <w:r w:rsidR="000E2F53">
        <w:rPr>
          <w:rFonts w:ascii="Calibri" w:eastAsia="Calibri" w:hAnsi="Calibri" w:cs="Calibri"/>
          <w:b/>
          <w:bCs/>
          <w:noProof/>
          <w:sz w:val="24"/>
          <w:lang w:val="en-GB"/>
        </w:rPr>
        <w:t>3</w:t>
      </w:r>
      <w:r w:rsidRPr="00273589">
        <w:rPr>
          <w:rFonts w:ascii="Calibri" w:eastAsia="Calibri" w:hAnsi="Calibri" w:cs="Calibri"/>
          <w:b/>
          <w:bCs/>
          <w:sz w:val="24"/>
          <w:lang w:val="en-GB"/>
        </w:rPr>
        <w:fldChar w:fldCharType="end"/>
      </w:r>
      <w:bookmarkEnd w:id="4"/>
      <w:r w:rsidRPr="00273589">
        <w:rPr>
          <w:sz w:val="24"/>
          <w:szCs w:val="20"/>
          <w:lang w:val="en-GB"/>
        </w:rPr>
        <w:t xml:space="preserve"> </w:t>
      </w:r>
      <w:r w:rsidRPr="00273589">
        <w:rPr>
          <w:rFonts w:ascii="Calibri" w:eastAsia="Times New Roman" w:hAnsi="Calibri" w:cs="Calibri"/>
          <w:bCs/>
          <w:color w:val="000000"/>
          <w:sz w:val="24"/>
          <w:szCs w:val="20"/>
          <w:lang w:val="en-GB" w:eastAsia="sv-SE"/>
        </w:rPr>
        <w:t>Comorbid condition codes</w:t>
      </w:r>
    </w:p>
    <w:tbl>
      <w:tblPr>
        <w:tblStyle w:val="TableGrid"/>
        <w:tblW w:w="7099" w:type="dxa"/>
        <w:tblLook w:val="04A0" w:firstRow="1" w:lastRow="0" w:firstColumn="1" w:lastColumn="0" w:noHBand="0" w:noVBand="1"/>
      </w:tblPr>
      <w:tblGrid>
        <w:gridCol w:w="3071"/>
        <w:gridCol w:w="2160"/>
        <w:gridCol w:w="1868"/>
      </w:tblGrid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b/>
                <w:bCs/>
                <w:color w:val="000000"/>
                <w:lang w:val="en-GB" w:eastAsia="sv-SE"/>
              </w:rPr>
              <w:t>Condition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b/>
                <w:bCs/>
                <w:color w:val="000000"/>
                <w:lang w:val="en-GB" w:eastAsia="sv-SE"/>
              </w:rPr>
              <w:t>ICD-10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sv-SE"/>
              </w:rPr>
            </w:pPr>
            <w:proofErr w:type="spellStart"/>
            <w:r w:rsidRPr="00273589">
              <w:rPr>
                <w:rFonts w:ascii="Calibri" w:eastAsia="Times New Roman" w:hAnsi="Calibri" w:cs="Calibri"/>
                <w:b/>
                <w:bCs/>
                <w:color w:val="000000"/>
                <w:lang w:val="en-GB" w:eastAsia="sv-SE"/>
              </w:rPr>
              <w:t>Charlson</w:t>
            </w:r>
            <w:proofErr w:type="spellEnd"/>
            <w:r w:rsidRPr="00273589">
              <w:rPr>
                <w:rFonts w:ascii="Calibri" w:eastAsia="Times New Roman" w:hAnsi="Calibri" w:cs="Calibri"/>
                <w:b/>
                <w:bCs/>
                <w:color w:val="000000"/>
                <w:lang w:val="en-GB" w:eastAsia="sv-SE"/>
              </w:rPr>
              <w:t xml:space="preserve"> Weight</w:t>
            </w: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Myocardial infarction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I21.x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1</w:t>
            </w: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I22.x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I25.2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Congestive heart failure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I09.9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1</w:t>
            </w: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I11.0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I13.0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I13.2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I25.5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I42.0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I42.5</w:t>
            </w: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noBreakHyphen/>
              <w:t>I42.9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I43.x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I50.x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P29.0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Peripheral vascular disease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I70.x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1</w:t>
            </w: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I71.x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I73.1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I73.8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I73.9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I77.1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I79.0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I79.2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K55.1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K55.8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K55.9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Z95.8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Z95.9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Cerebrovascular disease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G45.x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1</w:t>
            </w: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G46.x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H34.0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I60.x-I69.x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 xml:space="preserve">Dementia 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F00.x-F03.x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1</w:t>
            </w: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F05.1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G30.x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G31.1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Chronic pulmonary disease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I27.8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1</w:t>
            </w: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I27.9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J40.x-J.47.x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J60.x-J67.x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J68.4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J70.1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J70.3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Rheumatic disease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M05.x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1</w:t>
            </w: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M06.x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M31.5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M32.x-M34.x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M35.1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M35.3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M36.0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Peptic ulcer disease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K25.x-K28.x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1</w:t>
            </w: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Mild liver disease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B18.x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1</w:t>
            </w: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K70.0-K70.3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K70.9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K71.3–K71.5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K71.7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K73.x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K74.x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K76.0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K76.2–K76.4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K76.8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K76.9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Z94.4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Diabetes without chronic complication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E10.0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1</w:t>
            </w: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E10.1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E10.6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E10.8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E10.9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E11.0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E11.1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E11.6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E11.8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E11.9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E12.0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E12.1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E12.6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E12.8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E12.9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E13.0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E13.1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E13.6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E13.8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E13.9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E14.0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E14.1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E14.6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E14.8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E14.9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Diabetes with chronic complication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E10.2–E10.5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2</w:t>
            </w: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E10.7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E11.2–E11.5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E11.7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E12.2–E12.5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E12.7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E13.2–E13.5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E13.7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E14.2–E14.5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E14.7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Hemiplegia or Paraplegia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G04.1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2</w:t>
            </w: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G11.4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G80.1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G80.2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G81.x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G82.x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G83.0–G83.4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G83.9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Renal disease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I12.0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2</w:t>
            </w: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I13.1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N03.2–N03.7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N05.2–N05.7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N18.x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N19.x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N25.0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Z49.0–Z49.2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Z94.0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Z99.2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Malignancy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C00.x–C26.x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2</w:t>
            </w: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C30.x–C34.x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C37.x–C41.x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C43.x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C45.x–C58.x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C60.x–C76.x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C81.x–C85.x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C88.x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C90.x–C97.x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Moderate to severe liver disease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I85.0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3</w:t>
            </w: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I85.9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I86.4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I98.2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K70.4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K71.1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K72.1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K72.9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K76.5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K76.6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K76.7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 xml:space="preserve">Metastatic solid </w:t>
            </w:r>
            <w:proofErr w:type="spellStart"/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tumor</w:t>
            </w:r>
            <w:proofErr w:type="spellEnd"/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C77.x–C80.x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6</w:t>
            </w: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HIV/AIDS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B20.x–B22.x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right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6</w:t>
            </w: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B24.x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rPr>
                <w:lang w:val="en-GB"/>
              </w:rPr>
            </w:pPr>
          </w:p>
        </w:tc>
      </w:tr>
    </w:tbl>
    <w:p w:rsidR="00D63314" w:rsidRPr="00273589" w:rsidRDefault="00D63314" w:rsidP="00C070C2">
      <w:pPr>
        <w:autoSpaceDE w:val="0"/>
        <w:autoSpaceDN w:val="0"/>
        <w:adjustRightInd w:val="0"/>
        <w:spacing w:line="240" w:lineRule="auto"/>
        <w:rPr>
          <w:u w:val="single"/>
          <w:lang w:val="en-GB"/>
        </w:rPr>
      </w:pPr>
    </w:p>
    <w:p w:rsidR="00D63314" w:rsidRPr="00273589" w:rsidRDefault="00D63314">
      <w:pPr>
        <w:spacing w:after="200" w:line="276" w:lineRule="auto"/>
        <w:rPr>
          <w:u w:val="single"/>
          <w:lang w:val="en-GB"/>
        </w:rPr>
      </w:pPr>
      <w:r w:rsidRPr="00273589">
        <w:rPr>
          <w:u w:val="single"/>
          <w:lang w:val="en-GB"/>
        </w:rPr>
        <w:br w:type="page"/>
      </w:r>
    </w:p>
    <w:p w:rsidR="00D63314" w:rsidRPr="00273589" w:rsidRDefault="00D63314" w:rsidP="00C070C2">
      <w:pPr>
        <w:spacing w:line="240" w:lineRule="auto"/>
        <w:rPr>
          <w:rFonts w:ascii="Calibri" w:eastAsia="Times New Roman" w:hAnsi="Calibri" w:cs="Calibri"/>
          <w:bCs/>
          <w:color w:val="000000"/>
          <w:sz w:val="28"/>
          <w:lang w:val="en-GB" w:eastAsia="sv-SE"/>
        </w:rPr>
      </w:pPr>
      <w:bookmarkStart w:id="5" w:name="_Ref338329695"/>
      <w:r w:rsidRPr="00273589">
        <w:rPr>
          <w:rFonts w:ascii="Calibri" w:eastAsia="Calibri" w:hAnsi="Calibri" w:cs="Calibri"/>
          <w:b/>
          <w:bCs/>
          <w:sz w:val="24"/>
          <w:lang w:val="en-GB"/>
        </w:rPr>
        <w:lastRenderedPageBreak/>
        <w:t xml:space="preserve">Table </w:t>
      </w:r>
      <w:r w:rsidRPr="00273589">
        <w:rPr>
          <w:rFonts w:ascii="Calibri" w:eastAsia="Calibri" w:hAnsi="Calibri" w:cs="Calibri"/>
          <w:b/>
          <w:bCs/>
          <w:sz w:val="24"/>
          <w:lang w:val="en-GB"/>
        </w:rPr>
        <w:fldChar w:fldCharType="begin"/>
      </w:r>
      <w:r w:rsidRPr="00273589">
        <w:rPr>
          <w:rFonts w:ascii="Calibri" w:eastAsia="Calibri" w:hAnsi="Calibri" w:cs="Calibri"/>
          <w:b/>
          <w:bCs/>
          <w:sz w:val="24"/>
          <w:lang w:val="en-GB"/>
        </w:rPr>
        <w:instrText xml:space="preserve"> SEQ Table \* ARABIC </w:instrText>
      </w:r>
      <w:r w:rsidRPr="00273589">
        <w:rPr>
          <w:rFonts w:ascii="Calibri" w:eastAsia="Calibri" w:hAnsi="Calibri" w:cs="Calibri"/>
          <w:b/>
          <w:bCs/>
          <w:sz w:val="24"/>
          <w:lang w:val="en-GB"/>
        </w:rPr>
        <w:fldChar w:fldCharType="separate"/>
      </w:r>
      <w:r w:rsidR="000E2F53">
        <w:rPr>
          <w:rFonts w:ascii="Calibri" w:eastAsia="Calibri" w:hAnsi="Calibri" w:cs="Calibri"/>
          <w:b/>
          <w:bCs/>
          <w:noProof/>
          <w:sz w:val="24"/>
          <w:lang w:val="en-GB"/>
        </w:rPr>
        <w:t>4</w:t>
      </w:r>
      <w:r w:rsidRPr="00273589">
        <w:rPr>
          <w:rFonts w:ascii="Calibri" w:eastAsia="Calibri" w:hAnsi="Calibri" w:cs="Calibri"/>
          <w:b/>
          <w:bCs/>
          <w:sz w:val="24"/>
          <w:lang w:val="en-GB"/>
        </w:rPr>
        <w:fldChar w:fldCharType="end"/>
      </w:r>
      <w:bookmarkEnd w:id="5"/>
      <w:r w:rsidRPr="00273589">
        <w:rPr>
          <w:sz w:val="24"/>
          <w:szCs w:val="20"/>
          <w:lang w:val="en-GB"/>
        </w:rPr>
        <w:t xml:space="preserve"> Rheumatoid arthritis codes</w:t>
      </w:r>
    </w:p>
    <w:tbl>
      <w:tblPr>
        <w:tblStyle w:val="TableGrid"/>
        <w:tblW w:w="7526" w:type="dxa"/>
        <w:tblLook w:val="04A0" w:firstRow="1" w:lastRow="0" w:firstColumn="1" w:lastColumn="0" w:noHBand="0" w:noVBand="1"/>
      </w:tblPr>
      <w:tblGrid>
        <w:gridCol w:w="4584"/>
        <w:gridCol w:w="2942"/>
      </w:tblGrid>
      <w:tr w:rsidR="00D63314" w:rsidRPr="00184136" w:rsidTr="00C070C2">
        <w:trPr>
          <w:trHeight w:val="306"/>
        </w:trPr>
        <w:tc>
          <w:tcPr>
            <w:tcW w:w="0" w:type="dxa"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b/>
                <w:bCs/>
                <w:color w:val="000000"/>
                <w:lang w:val="en-GB" w:eastAsia="sv-SE"/>
              </w:rPr>
              <w:t>Condition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b/>
                <w:bCs/>
                <w:color w:val="000000"/>
                <w:lang w:val="en-GB" w:eastAsia="sv-SE"/>
              </w:rPr>
              <w:t>ICD-10</w:t>
            </w:r>
          </w:p>
        </w:tc>
      </w:tr>
      <w:tr w:rsidR="00D63314" w:rsidRPr="00184136" w:rsidTr="00C070C2">
        <w:trPr>
          <w:trHeight w:val="306"/>
        </w:trPr>
        <w:tc>
          <w:tcPr>
            <w:tcW w:w="0" w:type="dxa"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Rheumatoid arthritis with engagement of organs and organ systems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M053.x</w:t>
            </w: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Rheumatoid arthritis, specified location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M058.x</w:t>
            </w: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Seropositive Rheumatoid arthritis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M059.x</w:t>
            </w: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Seronegative Rheumatoid arthritis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M069.x</w:t>
            </w: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Other specified Rheumatoid arthritis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M08.x</w:t>
            </w: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Rheumatoid arthritis, unspecified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M069.x</w:t>
            </w:r>
          </w:p>
        </w:tc>
      </w:tr>
    </w:tbl>
    <w:p w:rsidR="00D63314" w:rsidRPr="00273589" w:rsidRDefault="00D63314" w:rsidP="00C070C2">
      <w:pPr>
        <w:spacing w:line="240" w:lineRule="auto"/>
        <w:rPr>
          <w:rFonts w:ascii="Calibri" w:eastAsia="Calibri" w:hAnsi="Calibri" w:cs="Calibri"/>
          <w:b/>
          <w:bCs/>
          <w:sz w:val="20"/>
          <w:lang w:val="en-GB"/>
        </w:rPr>
      </w:pPr>
      <w:bookmarkStart w:id="6" w:name="_Ref338330608"/>
    </w:p>
    <w:p w:rsidR="00D63314" w:rsidRPr="00273589" w:rsidRDefault="00D63314" w:rsidP="00C070C2">
      <w:pPr>
        <w:spacing w:line="240" w:lineRule="auto"/>
        <w:rPr>
          <w:rFonts w:ascii="Calibri" w:eastAsia="Times New Roman" w:hAnsi="Calibri" w:cs="Calibri"/>
          <w:bCs/>
          <w:color w:val="000000"/>
          <w:sz w:val="28"/>
          <w:lang w:val="en-GB" w:eastAsia="sv-SE"/>
        </w:rPr>
      </w:pPr>
      <w:r w:rsidRPr="00273589">
        <w:rPr>
          <w:rFonts w:ascii="Calibri" w:eastAsia="Calibri" w:hAnsi="Calibri" w:cs="Calibri"/>
          <w:b/>
          <w:bCs/>
          <w:sz w:val="24"/>
          <w:lang w:val="en-GB"/>
        </w:rPr>
        <w:t xml:space="preserve">Table </w:t>
      </w:r>
      <w:r w:rsidRPr="00273589">
        <w:rPr>
          <w:rFonts w:ascii="Calibri" w:eastAsia="Calibri" w:hAnsi="Calibri" w:cs="Calibri"/>
          <w:b/>
          <w:bCs/>
          <w:sz w:val="24"/>
          <w:lang w:val="en-GB"/>
        </w:rPr>
        <w:fldChar w:fldCharType="begin"/>
      </w:r>
      <w:r w:rsidRPr="00273589">
        <w:rPr>
          <w:rFonts w:ascii="Calibri" w:eastAsia="Calibri" w:hAnsi="Calibri" w:cs="Calibri"/>
          <w:b/>
          <w:bCs/>
          <w:sz w:val="24"/>
          <w:lang w:val="en-GB"/>
        </w:rPr>
        <w:instrText xml:space="preserve"> SEQ Table \* ARABIC </w:instrText>
      </w:r>
      <w:r w:rsidRPr="00273589">
        <w:rPr>
          <w:rFonts w:ascii="Calibri" w:eastAsia="Calibri" w:hAnsi="Calibri" w:cs="Calibri"/>
          <w:b/>
          <w:bCs/>
          <w:sz w:val="24"/>
          <w:lang w:val="en-GB"/>
        </w:rPr>
        <w:fldChar w:fldCharType="separate"/>
      </w:r>
      <w:r w:rsidR="000E2F53">
        <w:rPr>
          <w:rFonts w:ascii="Calibri" w:eastAsia="Calibri" w:hAnsi="Calibri" w:cs="Calibri"/>
          <w:b/>
          <w:bCs/>
          <w:noProof/>
          <w:sz w:val="24"/>
          <w:lang w:val="en-GB"/>
        </w:rPr>
        <w:t>5</w:t>
      </w:r>
      <w:r w:rsidRPr="00273589">
        <w:rPr>
          <w:rFonts w:ascii="Calibri" w:eastAsia="Calibri" w:hAnsi="Calibri" w:cs="Calibri"/>
          <w:b/>
          <w:bCs/>
          <w:sz w:val="24"/>
          <w:lang w:val="en-GB"/>
        </w:rPr>
        <w:fldChar w:fldCharType="end"/>
      </w:r>
      <w:bookmarkEnd w:id="6"/>
      <w:r w:rsidRPr="00273589">
        <w:rPr>
          <w:sz w:val="24"/>
          <w:szCs w:val="20"/>
          <w:lang w:val="en-GB"/>
        </w:rPr>
        <w:t xml:space="preserve"> Renal insufficiency codes</w:t>
      </w:r>
    </w:p>
    <w:tbl>
      <w:tblPr>
        <w:tblStyle w:val="TableGrid"/>
        <w:tblW w:w="7526" w:type="dxa"/>
        <w:tblLook w:val="04A0" w:firstRow="1" w:lastRow="0" w:firstColumn="1" w:lastColumn="0" w:noHBand="0" w:noVBand="1"/>
      </w:tblPr>
      <w:tblGrid>
        <w:gridCol w:w="4728"/>
        <w:gridCol w:w="2798"/>
      </w:tblGrid>
      <w:tr w:rsidR="00D63314" w:rsidRPr="00184136" w:rsidTr="00C070C2">
        <w:trPr>
          <w:trHeight w:val="306"/>
        </w:trPr>
        <w:tc>
          <w:tcPr>
            <w:tcW w:w="0" w:type="dxa"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b/>
                <w:bCs/>
                <w:color w:val="000000"/>
                <w:lang w:val="en-GB" w:eastAsia="sv-SE"/>
              </w:rPr>
              <w:t>Condition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b/>
                <w:bCs/>
                <w:color w:val="000000"/>
                <w:lang w:val="en-GB" w:eastAsia="sv-SE"/>
              </w:rPr>
              <w:t>ICD-10</w:t>
            </w:r>
          </w:p>
        </w:tc>
      </w:tr>
      <w:tr w:rsidR="00D63314" w:rsidRPr="00184136" w:rsidTr="00C070C2">
        <w:trPr>
          <w:trHeight w:val="306"/>
        </w:trPr>
        <w:tc>
          <w:tcPr>
            <w:tcW w:w="0" w:type="dxa"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Renal insufficiency</w:t>
            </w:r>
          </w:p>
        </w:tc>
        <w:tc>
          <w:tcPr>
            <w:tcW w:w="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 w:eastAsia="sv-SE"/>
              </w:rPr>
              <w:t>N17.x, N18.x, N19.x</w:t>
            </w:r>
          </w:p>
        </w:tc>
      </w:tr>
    </w:tbl>
    <w:p w:rsidR="00D63314" w:rsidRPr="00273589" w:rsidRDefault="00D63314" w:rsidP="00C070C2">
      <w:pPr>
        <w:spacing w:line="240" w:lineRule="auto"/>
        <w:jc w:val="both"/>
        <w:rPr>
          <w:rFonts w:eastAsia="Arial Unicode MS" w:cs="Arial"/>
          <w:sz w:val="28"/>
          <w:lang w:val="en-GB" w:eastAsia="sv-SE"/>
        </w:rPr>
      </w:pPr>
    </w:p>
    <w:p w:rsidR="00D63314" w:rsidRPr="00273589" w:rsidRDefault="00D63314" w:rsidP="00C070C2">
      <w:pPr>
        <w:autoSpaceDE w:val="0"/>
        <w:autoSpaceDN w:val="0"/>
        <w:adjustRightInd w:val="0"/>
        <w:spacing w:line="240" w:lineRule="auto"/>
        <w:rPr>
          <w:sz w:val="24"/>
          <w:u w:val="single"/>
          <w:lang w:val="en-GB"/>
        </w:rPr>
      </w:pPr>
      <w:r w:rsidRPr="00273589">
        <w:rPr>
          <w:sz w:val="24"/>
          <w:u w:val="single"/>
          <w:lang w:val="en-GB"/>
        </w:rPr>
        <w:t>S3. Treatment codes</w:t>
      </w:r>
    </w:p>
    <w:p w:rsidR="00D63314" w:rsidRPr="00273589" w:rsidRDefault="00D63314" w:rsidP="00C070C2">
      <w:pPr>
        <w:autoSpaceDE w:val="0"/>
        <w:autoSpaceDN w:val="0"/>
        <w:adjustRightInd w:val="0"/>
        <w:spacing w:line="240" w:lineRule="auto"/>
        <w:rPr>
          <w:lang w:val="en-GB"/>
        </w:rPr>
      </w:pPr>
      <w:r w:rsidRPr="00273589">
        <w:rPr>
          <w:lang w:val="en-GB"/>
        </w:rPr>
        <w:t>The following tables show the treatments used to study patient characteristics or fracture outcomes (“studied treatments”), treatments used to define osteoporosis treatment experience, and glucocorticoid use and gastroprotective agents.</w:t>
      </w:r>
    </w:p>
    <w:p w:rsidR="00D63314" w:rsidRPr="00273589" w:rsidRDefault="00D63314" w:rsidP="00C070C2">
      <w:pPr>
        <w:autoSpaceDE w:val="0"/>
        <w:autoSpaceDN w:val="0"/>
        <w:adjustRightInd w:val="0"/>
        <w:spacing w:line="240" w:lineRule="auto"/>
        <w:rPr>
          <w:u w:val="single"/>
          <w:lang w:val="en-GB"/>
        </w:rPr>
      </w:pPr>
    </w:p>
    <w:p w:rsidR="00D63314" w:rsidRPr="00273589" w:rsidRDefault="00D63314" w:rsidP="00C070C2">
      <w:pPr>
        <w:autoSpaceDE w:val="0"/>
        <w:autoSpaceDN w:val="0"/>
        <w:adjustRightInd w:val="0"/>
        <w:spacing w:line="240" w:lineRule="auto"/>
        <w:rPr>
          <w:sz w:val="24"/>
          <w:szCs w:val="20"/>
          <w:lang w:val="en-GB"/>
        </w:rPr>
      </w:pPr>
      <w:bookmarkStart w:id="7" w:name="_Ref338328411"/>
      <w:bookmarkStart w:id="8" w:name="_Ref338331271"/>
      <w:r w:rsidRPr="00273589">
        <w:rPr>
          <w:rFonts w:ascii="Calibri" w:eastAsia="Calibri" w:hAnsi="Calibri" w:cs="Calibri"/>
          <w:b/>
          <w:bCs/>
          <w:sz w:val="24"/>
          <w:lang w:val="en-GB"/>
        </w:rPr>
        <w:t xml:space="preserve">Table </w:t>
      </w:r>
      <w:r w:rsidRPr="00273589">
        <w:rPr>
          <w:rFonts w:ascii="Calibri" w:eastAsia="Calibri" w:hAnsi="Calibri" w:cs="Calibri"/>
          <w:b/>
          <w:bCs/>
          <w:sz w:val="24"/>
          <w:lang w:val="en-GB"/>
        </w:rPr>
        <w:fldChar w:fldCharType="begin"/>
      </w:r>
      <w:r w:rsidRPr="00273589">
        <w:rPr>
          <w:rFonts w:ascii="Calibri" w:eastAsia="Calibri" w:hAnsi="Calibri" w:cs="Calibri"/>
          <w:b/>
          <w:bCs/>
          <w:sz w:val="24"/>
          <w:lang w:val="en-GB"/>
        </w:rPr>
        <w:instrText xml:space="preserve"> SEQ Table \* ARABIC </w:instrText>
      </w:r>
      <w:r w:rsidRPr="00273589">
        <w:rPr>
          <w:rFonts w:ascii="Calibri" w:eastAsia="Calibri" w:hAnsi="Calibri" w:cs="Calibri"/>
          <w:b/>
          <w:bCs/>
          <w:sz w:val="24"/>
          <w:lang w:val="en-GB"/>
        </w:rPr>
        <w:fldChar w:fldCharType="separate"/>
      </w:r>
      <w:r w:rsidR="000E2F53">
        <w:rPr>
          <w:rFonts w:ascii="Calibri" w:eastAsia="Calibri" w:hAnsi="Calibri" w:cs="Calibri"/>
          <w:b/>
          <w:bCs/>
          <w:noProof/>
          <w:sz w:val="24"/>
          <w:lang w:val="en-GB"/>
        </w:rPr>
        <w:t>6</w:t>
      </w:r>
      <w:r w:rsidRPr="00273589">
        <w:rPr>
          <w:rFonts w:ascii="Calibri" w:eastAsia="Calibri" w:hAnsi="Calibri" w:cs="Calibri"/>
          <w:b/>
          <w:bCs/>
          <w:sz w:val="24"/>
          <w:lang w:val="en-GB"/>
        </w:rPr>
        <w:fldChar w:fldCharType="end"/>
      </w:r>
      <w:bookmarkEnd w:id="7"/>
      <w:r w:rsidRPr="00273589">
        <w:rPr>
          <w:sz w:val="24"/>
          <w:szCs w:val="20"/>
          <w:lang w:val="en-GB"/>
        </w:rPr>
        <w:t xml:space="preserve"> ATC codes for studied treatments</w:t>
      </w:r>
      <w:bookmarkEnd w:id="8"/>
    </w:p>
    <w:tbl>
      <w:tblPr>
        <w:tblStyle w:val="TableGrid"/>
        <w:tblW w:w="9387" w:type="dxa"/>
        <w:tblLook w:val="04A0" w:firstRow="1" w:lastRow="0" w:firstColumn="1" w:lastColumn="0" w:noHBand="0" w:noVBand="1"/>
      </w:tblPr>
      <w:tblGrid>
        <w:gridCol w:w="3580"/>
        <w:gridCol w:w="1962"/>
        <w:gridCol w:w="3845"/>
      </w:tblGrid>
      <w:tr w:rsidR="00D63314" w:rsidRPr="00184136" w:rsidTr="00C070C2">
        <w:trPr>
          <w:trHeight w:val="362"/>
        </w:trPr>
        <w:tc>
          <w:tcPr>
            <w:tcW w:w="358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  <w:t>Studied treatments</w:t>
            </w:r>
          </w:p>
        </w:tc>
        <w:tc>
          <w:tcPr>
            <w:tcW w:w="1962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  <w:t>ATC</w:t>
            </w:r>
          </w:p>
        </w:tc>
        <w:tc>
          <w:tcPr>
            <w:tcW w:w="3845" w:type="dxa"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  <w:t>Notes</w:t>
            </w:r>
          </w:p>
        </w:tc>
      </w:tr>
      <w:tr w:rsidR="00D63314" w:rsidRPr="00184136" w:rsidTr="00C070C2">
        <w:trPr>
          <w:trHeight w:val="300"/>
        </w:trPr>
        <w:tc>
          <w:tcPr>
            <w:tcW w:w="3580" w:type="dxa"/>
            <w:noWrap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Alendronate</w:t>
            </w:r>
          </w:p>
        </w:tc>
        <w:tc>
          <w:tcPr>
            <w:tcW w:w="1962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M05BA04</w:t>
            </w:r>
          </w:p>
        </w:tc>
        <w:tc>
          <w:tcPr>
            <w:tcW w:w="3845" w:type="dxa"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vertAlign w:val="superscript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OW</w:t>
            </w:r>
            <w:r w:rsidRPr="00273589">
              <w:rPr>
                <w:rFonts w:ascii="Calibri" w:eastAsia="Times New Roman" w:hAnsi="Calibri" w:cs="Calibri"/>
                <w:color w:val="000000"/>
                <w:vertAlign w:val="superscript"/>
                <w:lang w:val="en-GB"/>
              </w:rPr>
              <w:t>1</w:t>
            </w: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 xml:space="preserve"> or OD</w:t>
            </w:r>
            <w:r w:rsidRPr="00273589">
              <w:rPr>
                <w:rFonts w:ascii="Calibri" w:eastAsia="Times New Roman" w:hAnsi="Calibri" w:cs="Calibri"/>
                <w:color w:val="000000"/>
                <w:vertAlign w:val="superscript"/>
                <w:lang w:val="en-GB"/>
              </w:rPr>
              <w:t>2</w:t>
            </w:r>
          </w:p>
        </w:tc>
      </w:tr>
      <w:tr w:rsidR="00D63314" w:rsidRPr="00184136" w:rsidTr="00C070C2">
        <w:trPr>
          <w:trHeight w:val="300"/>
        </w:trPr>
        <w:tc>
          <w:tcPr>
            <w:tcW w:w="3580" w:type="dxa"/>
            <w:noWrap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 xml:space="preserve">Alendronate + </w:t>
            </w:r>
            <w:proofErr w:type="spellStart"/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kolekalciferol</w:t>
            </w:r>
            <w:proofErr w:type="spellEnd"/>
          </w:p>
        </w:tc>
        <w:tc>
          <w:tcPr>
            <w:tcW w:w="1962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M05BB03</w:t>
            </w:r>
          </w:p>
        </w:tc>
        <w:tc>
          <w:tcPr>
            <w:tcW w:w="3845" w:type="dxa"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vertAlign w:val="superscript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Combination, OW</w:t>
            </w:r>
            <w:r w:rsidRPr="00273589">
              <w:rPr>
                <w:rFonts w:ascii="Calibri" w:eastAsia="Times New Roman" w:hAnsi="Calibri" w:cs="Calibri"/>
                <w:color w:val="000000"/>
                <w:vertAlign w:val="superscript"/>
                <w:lang w:val="en-GB"/>
              </w:rPr>
              <w:t>1</w:t>
            </w:r>
          </w:p>
        </w:tc>
      </w:tr>
      <w:tr w:rsidR="00D63314" w:rsidRPr="00184136" w:rsidTr="00C070C2">
        <w:trPr>
          <w:trHeight w:val="348"/>
        </w:trPr>
        <w:tc>
          <w:tcPr>
            <w:tcW w:w="3580" w:type="dxa"/>
            <w:noWrap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Ibandronate</w:t>
            </w:r>
          </w:p>
        </w:tc>
        <w:tc>
          <w:tcPr>
            <w:tcW w:w="1962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M05BA06</w:t>
            </w:r>
          </w:p>
        </w:tc>
        <w:tc>
          <w:tcPr>
            <w:tcW w:w="3845" w:type="dxa"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Oral OM</w:t>
            </w:r>
            <w:r w:rsidRPr="00273589">
              <w:rPr>
                <w:rFonts w:ascii="Calibri" w:eastAsia="Times New Roman" w:hAnsi="Calibri" w:cs="Calibri"/>
                <w:color w:val="000000"/>
                <w:vertAlign w:val="superscript"/>
                <w:lang w:val="en-GB"/>
              </w:rPr>
              <w:t>4</w:t>
            </w: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 xml:space="preserve"> and IV 3M</w:t>
            </w:r>
            <w:r w:rsidRPr="00273589">
              <w:rPr>
                <w:rFonts w:ascii="Calibri" w:eastAsia="Times New Roman" w:hAnsi="Calibri" w:cs="Calibri"/>
                <w:color w:val="000000"/>
                <w:vertAlign w:val="superscript"/>
                <w:lang w:val="en-GB"/>
              </w:rPr>
              <w:t>5</w:t>
            </w: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 xml:space="preserve"> have the same ATC</w:t>
            </w:r>
          </w:p>
        </w:tc>
      </w:tr>
      <w:tr w:rsidR="00D63314" w:rsidRPr="00184136" w:rsidTr="00C070C2">
        <w:trPr>
          <w:trHeight w:val="300"/>
        </w:trPr>
        <w:tc>
          <w:tcPr>
            <w:tcW w:w="3580" w:type="dxa"/>
            <w:noWrap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proofErr w:type="spellStart"/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Risedronate</w:t>
            </w:r>
            <w:proofErr w:type="spellEnd"/>
          </w:p>
        </w:tc>
        <w:tc>
          <w:tcPr>
            <w:tcW w:w="1962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M05BA07</w:t>
            </w:r>
          </w:p>
        </w:tc>
        <w:tc>
          <w:tcPr>
            <w:tcW w:w="3845" w:type="dxa"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vertAlign w:val="superscript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OW</w:t>
            </w:r>
            <w:r w:rsidRPr="00273589">
              <w:rPr>
                <w:rFonts w:ascii="Calibri" w:eastAsia="Times New Roman" w:hAnsi="Calibri" w:cs="Calibri"/>
                <w:color w:val="000000"/>
                <w:vertAlign w:val="superscript"/>
                <w:lang w:val="en-GB"/>
              </w:rPr>
              <w:t>1</w:t>
            </w: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 xml:space="preserve"> or OD</w:t>
            </w:r>
            <w:r w:rsidRPr="00273589">
              <w:rPr>
                <w:rFonts w:ascii="Calibri" w:eastAsia="Times New Roman" w:hAnsi="Calibri" w:cs="Calibri"/>
                <w:color w:val="000000"/>
                <w:vertAlign w:val="superscript"/>
                <w:lang w:val="en-GB"/>
              </w:rPr>
              <w:t>2</w:t>
            </w:r>
          </w:p>
        </w:tc>
      </w:tr>
      <w:tr w:rsidR="00D63314" w:rsidRPr="00184136" w:rsidTr="00C070C2">
        <w:trPr>
          <w:trHeight w:val="300"/>
        </w:trPr>
        <w:tc>
          <w:tcPr>
            <w:tcW w:w="3580" w:type="dxa"/>
            <w:noWrap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proofErr w:type="spellStart"/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Risedronate</w:t>
            </w:r>
            <w:proofErr w:type="spellEnd"/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 xml:space="preserve"> + calcium</w:t>
            </w:r>
          </w:p>
        </w:tc>
        <w:tc>
          <w:tcPr>
            <w:tcW w:w="1962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M05BB02</w:t>
            </w:r>
          </w:p>
        </w:tc>
        <w:tc>
          <w:tcPr>
            <w:tcW w:w="3845" w:type="dxa"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vertAlign w:val="superscript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Combination, OW</w:t>
            </w:r>
            <w:r w:rsidRPr="00273589">
              <w:rPr>
                <w:rFonts w:ascii="Calibri" w:eastAsia="Times New Roman" w:hAnsi="Calibri" w:cs="Calibri"/>
                <w:color w:val="000000"/>
                <w:vertAlign w:val="superscript"/>
                <w:lang w:val="en-GB"/>
              </w:rPr>
              <w:t>1</w:t>
            </w:r>
          </w:p>
        </w:tc>
      </w:tr>
      <w:tr w:rsidR="00D63314" w:rsidRPr="00184136" w:rsidTr="00C070C2">
        <w:trPr>
          <w:trHeight w:val="300"/>
        </w:trPr>
        <w:tc>
          <w:tcPr>
            <w:tcW w:w="3580" w:type="dxa"/>
            <w:noWrap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proofErr w:type="spellStart"/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Risedronate</w:t>
            </w:r>
            <w:proofErr w:type="spellEnd"/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 xml:space="preserve"> + calcium + </w:t>
            </w:r>
            <w:proofErr w:type="spellStart"/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kolekalciferol</w:t>
            </w:r>
            <w:proofErr w:type="spellEnd"/>
          </w:p>
        </w:tc>
        <w:tc>
          <w:tcPr>
            <w:tcW w:w="1962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M05BB04</w:t>
            </w:r>
          </w:p>
        </w:tc>
        <w:tc>
          <w:tcPr>
            <w:tcW w:w="3845" w:type="dxa"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vertAlign w:val="superscript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Combination. OW</w:t>
            </w:r>
            <w:r w:rsidRPr="00273589">
              <w:rPr>
                <w:rFonts w:ascii="Calibri" w:eastAsia="Times New Roman" w:hAnsi="Calibri" w:cs="Calibri"/>
                <w:color w:val="000000"/>
                <w:vertAlign w:val="superscript"/>
                <w:lang w:val="en-GB"/>
              </w:rPr>
              <w:t>1</w:t>
            </w:r>
          </w:p>
        </w:tc>
      </w:tr>
      <w:tr w:rsidR="00D63314" w:rsidRPr="00184136" w:rsidTr="00C070C2">
        <w:trPr>
          <w:trHeight w:val="300"/>
        </w:trPr>
        <w:tc>
          <w:tcPr>
            <w:tcW w:w="3580" w:type="dxa"/>
            <w:noWrap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Zoledronate</w:t>
            </w:r>
          </w:p>
        </w:tc>
        <w:tc>
          <w:tcPr>
            <w:tcW w:w="1962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M05BA08</w:t>
            </w:r>
          </w:p>
        </w:tc>
        <w:tc>
          <w:tcPr>
            <w:tcW w:w="3845" w:type="dxa"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vertAlign w:val="superscript"/>
                <w:lang w:val="en-GB"/>
              </w:rPr>
            </w:pPr>
            <w:proofErr w:type="spellStart"/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Aclasta</w:t>
            </w:r>
            <w:proofErr w:type="spellEnd"/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 xml:space="preserve">, </w:t>
            </w:r>
            <w:proofErr w:type="spellStart"/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I.v.</w:t>
            </w:r>
            <w:proofErr w:type="spellEnd"/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 xml:space="preserve"> infusion 12M</w:t>
            </w:r>
            <w:r w:rsidRPr="00273589">
              <w:rPr>
                <w:rFonts w:ascii="Calibri" w:eastAsia="Times New Roman" w:hAnsi="Calibri" w:cs="Calibri"/>
                <w:color w:val="000000"/>
                <w:vertAlign w:val="superscript"/>
                <w:lang w:val="en-GB"/>
              </w:rPr>
              <w:t>6</w:t>
            </w:r>
          </w:p>
        </w:tc>
      </w:tr>
    </w:tbl>
    <w:p w:rsidR="00D63314" w:rsidRPr="00273589" w:rsidRDefault="00D63314" w:rsidP="00C070C2">
      <w:pPr>
        <w:autoSpaceDE w:val="0"/>
        <w:autoSpaceDN w:val="0"/>
        <w:adjustRightInd w:val="0"/>
        <w:spacing w:line="240" w:lineRule="auto"/>
        <w:rPr>
          <w:sz w:val="24"/>
          <w:szCs w:val="20"/>
          <w:lang w:val="en-GB"/>
        </w:rPr>
      </w:pPr>
      <w:bookmarkStart w:id="9" w:name="_Ref338329511"/>
      <w:r w:rsidRPr="00273589">
        <w:rPr>
          <w:rFonts w:ascii="Calibri" w:eastAsia="Calibri" w:hAnsi="Calibri" w:cs="Calibri"/>
          <w:b/>
          <w:bCs/>
          <w:sz w:val="24"/>
          <w:lang w:val="en-GB"/>
        </w:rPr>
        <w:lastRenderedPageBreak/>
        <w:t xml:space="preserve">Table </w:t>
      </w:r>
      <w:r w:rsidRPr="00273589">
        <w:rPr>
          <w:rFonts w:ascii="Calibri" w:eastAsia="Calibri" w:hAnsi="Calibri" w:cs="Calibri"/>
          <w:b/>
          <w:bCs/>
          <w:sz w:val="24"/>
          <w:lang w:val="en-GB"/>
        </w:rPr>
        <w:fldChar w:fldCharType="begin"/>
      </w:r>
      <w:r w:rsidRPr="00273589">
        <w:rPr>
          <w:rFonts w:ascii="Calibri" w:eastAsia="Calibri" w:hAnsi="Calibri" w:cs="Calibri"/>
          <w:b/>
          <w:bCs/>
          <w:sz w:val="24"/>
          <w:lang w:val="en-GB"/>
        </w:rPr>
        <w:instrText xml:space="preserve"> SEQ Table \* ARABIC </w:instrText>
      </w:r>
      <w:r w:rsidRPr="00273589">
        <w:rPr>
          <w:rFonts w:ascii="Calibri" w:eastAsia="Calibri" w:hAnsi="Calibri" w:cs="Calibri"/>
          <w:b/>
          <w:bCs/>
          <w:sz w:val="24"/>
          <w:lang w:val="en-GB"/>
        </w:rPr>
        <w:fldChar w:fldCharType="separate"/>
      </w:r>
      <w:r w:rsidR="000E2F53">
        <w:rPr>
          <w:rFonts w:ascii="Calibri" w:eastAsia="Calibri" w:hAnsi="Calibri" w:cs="Calibri"/>
          <w:b/>
          <w:bCs/>
          <w:noProof/>
          <w:sz w:val="24"/>
          <w:lang w:val="en-GB"/>
        </w:rPr>
        <w:t>7</w:t>
      </w:r>
      <w:r w:rsidRPr="00273589">
        <w:rPr>
          <w:rFonts w:ascii="Calibri" w:eastAsia="Calibri" w:hAnsi="Calibri" w:cs="Calibri"/>
          <w:b/>
          <w:bCs/>
          <w:sz w:val="24"/>
          <w:lang w:val="en-GB"/>
        </w:rPr>
        <w:fldChar w:fldCharType="end"/>
      </w:r>
      <w:bookmarkEnd w:id="9"/>
      <w:r w:rsidRPr="00273589">
        <w:rPr>
          <w:sz w:val="24"/>
          <w:szCs w:val="20"/>
          <w:lang w:val="en-GB"/>
        </w:rPr>
        <w:t xml:space="preserve"> ATC codes</w:t>
      </w:r>
      <w:r w:rsidR="0037557D">
        <w:rPr>
          <w:sz w:val="24"/>
          <w:szCs w:val="20"/>
          <w:lang w:val="en-GB"/>
        </w:rPr>
        <w:t xml:space="preserve"> to categoris</w:t>
      </w:r>
      <w:r w:rsidR="000C3A39">
        <w:rPr>
          <w:sz w:val="24"/>
          <w:szCs w:val="20"/>
          <w:lang w:val="en-GB"/>
        </w:rPr>
        <w:t xml:space="preserve">e a patient as </w:t>
      </w:r>
      <w:r w:rsidRPr="00273589">
        <w:rPr>
          <w:sz w:val="24"/>
          <w:szCs w:val="20"/>
          <w:lang w:val="en-GB"/>
        </w:rPr>
        <w:t>treatment experience</w:t>
      </w:r>
      <w:r w:rsidR="000C3A39">
        <w:rPr>
          <w:sz w:val="24"/>
          <w:szCs w:val="20"/>
          <w:lang w:val="en-GB"/>
        </w:rPr>
        <w:t>d or not</w:t>
      </w:r>
    </w:p>
    <w:tbl>
      <w:tblPr>
        <w:tblStyle w:val="TableGrid"/>
        <w:tblW w:w="9387" w:type="dxa"/>
        <w:tblLook w:val="04A0" w:firstRow="1" w:lastRow="0" w:firstColumn="1" w:lastColumn="0" w:noHBand="0" w:noVBand="1"/>
      </w:tblPr>
      <w:tblGrid>
        <w:gridCol w:w="3580"/>
        <w:gridCol w:w="1962"/>
        <w:gridCol w:w="3845"/>
      </w:tblGrid>
      <w:tr w:rsidR="00D63314" w:rsidRPr="00184136" w:rsidTr="00C070C2">
        <w:trPr>
          <w:trHeight w:val="300"/>
        </w:trPr>
        <w:tc>
          <w:tcPr>
            <w:tcW w:w="3580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  <w:t>Treatment experience</w:t>
            </w:r>
          </w:p>
        </w:tc>
        <w:tc>
          <w:tcPr>
            <w:tcW w:w="1962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  <w:t>ATC</w:t>
            </w:r>
          </w:p>
        </w:tc>
        <w:tc>
          <w:tcPr>
            <w:tcW w:w="3845" w:type="dxa"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  <w:t>Notes</w:t>
            </w:r>
          </w:p>
        </w:tc>
      </w:tr>
      <w:tr w:rsidR="00D63314" w:rsidRPr="00184136" w:rsidTr="00C070C2">
        <w:trPr>
          <w:trHeight w:val="300"/>
        </w:trPr>
        <w:tc>
          <w:tcPr>
            <w:tcW w:w="3580" w:type="dxa"/>
            <w:noWrap/>
            <w:hideMark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Alendronate</w:t>
            </w:r>
          </w:p>
        </w:tc>
        <w:tc>
          <w:tcPr>
            <w:tcW w:w="1962" w:type="dxa"/>
            <w:noWrap/>
            <w:hideMark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M05BA04</w:t>
            </w:r>
          </w:p>
        </w:tc>
        <w:tc>
          <w:tcPr>
            <w:tcW w:w="3845" w:type="dxa"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vertAlign w:val="superscript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OW</w:t>
            </w:r>
            <w:r w:rsidRPr="00273589">
              <w:rPr>
                <w:rFonts w:ascii="Calibri" w:eastAsia="Times New Roman" w:hAnsi="Calibri" w:cs="Calibri"/>
                <w:color w:val="000000"/>
                <w:vertAlign w:val="superscript"/>
                <w:lang w:val="en-GB"/>
              </w:rPr>
              <w:t>1</w:t>
            </w: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 xml:space="preserve"> or OD</w:t>
            </w:r>
            <w:r w:rsidRPr="00273589">
              <w:rPr>
                <w:rFonts w:ascii="Calibri" w:eastAsia="Times New Roman" w:hAnsi="Calibri" w:cs="Calibri"/>
                <w:color w:val="000000"/>
                <w:vertAlign w:val="superscript"/>
                <w:lang w:val="en-GB"/>
              </w:rPr>
              <w:t>2</w:t>
            </w:r>
          </w:p>
        </w:tc>
      </w:tr>
      <w:tr w:rsidR="00D63314" w:rsidRPr="00184136" w:rsidTr="00C070C2">
        <w:trPr>
          <w:trHeight w:val="300"/>
        </w:trPr>
        <w:tc>
          <w:tcPr>
            <w:tcW w:w="3580" w:type="dxa"/>
            <w:noWrap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 xml:space="preserve">Alendronate + </w:t>
            </w:r>
            <w:proofErr w:type="spellStart"/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kolekalciferol</w:t>
            </w:r>
            <w:proofErr w:type="spellEnd"/>
          </w:p>
        </w:tc>
        <w:tc>
          <w:tcPr>
            <w:tcW w:w="1962" w:type="dxa"/>
            <w:noWrap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M05BB03</w:t>
            </w:r>
          </w:p>
        </w:tc>
        <w:tc>
          <w:tcPr>
            <w:tcW w:w="3845" w:type="dxa"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vertAlign w:val="superscript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Combination, OW</w:t>
            </w:r>
            <w:r w:rsidRPr="00273589">
              <w:rPr>
                <w:rFonts w:ascii="Calibri" w:eastAsia="Times New Roman" w:hAnsi="Calibri" w:cs="Calibri"/>
                <w:color w:val="000000"/>
                <w:vertAlign w:val="superscript"/>
                <w:lang w:val="en-GB"/>
              </w:rPr>
              <w:t>1</w:t>
            </w:r>
          </w:p>
        </w:tc>
      </w:tr>
      <w:tr w:rsidR="00D63314" w:rsidRPr="00184136" w:rsidTr="00C070C2">
        <w:trPr>
          <w:trHeight w:val="300"/>
        </w:trPr>
        <w:tc>
          <w:tcPr>
            <w:tcW w:w="3580" w:type="dxa"/>
            <w:noWrap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proofErr w:type="spellStart"/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Denosumab</w:t>
            </w:r>
            <w:proofErr w:type="spellEnd"/>
          </w:p>
        </w:tc>
        <w:tc>
          <w:tcPr>
            <w:tcW w:w="1962" w:type="dxa"/>
            <w:noWrap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M05BX04</w:t>
            </w:r>
          </w:p>
        </w:tc>
        <w:tc>
          <w:tcPr>
            <w:tcW w:w="3845" w:type="dxa"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vertAlign w:val="superscript"/>
                <w:lang w:val="en-GB"/>
              </w:rPr>
            </w:pPr>
            <w:proofErr w:type="spellStart"/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S.c.</w:t>
            </w:r>
            <w:proofErr w:type="spellEnd"/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 xml:space="preserve"> injection 6M</w:t>
            </w:r>
            <w:r w:rsidRPr="00273589">
              <w:rPr>
                <w:rFonts w:ascii="Calibri" w:eastAsia="Times New Roman" w:hAnsi="Calibri" w:cs="Calibri"/>
                <w:color w:val="000000"/>
                <w:vertAlign w:val="superscript"/>
                <w:lang w:val="en-GB"/>
              </w:rPr>
              <w:t>3</w:t>
            </w:r>
          </w:p>
        </w:tc>
      </w:tr>
      <w:tr w:rsidR="00D63314" w:rsidRPr="00184136" w:rsidTr="00C070C2">
        <w:trPr>
          <w:trHeight w:val="300"/>
        </w:trPr>
        <w:tc>
          <w:tcPr>
            <w:tcW w:w="3580" w:type="dxa"/>
            <w:noWrap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Ibandronate</w:t>
            </w:r>
          </w:p>
        </w:tc>
        <w:tc>
          <w:tcPr>
            <w:tcW w:w="1962" w:type="dxa"/>
            <w:noWrap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M05BA06</w:t>
            </w:r>
          </w:p>
        </w:tc>
        <w:tc>
          <w:tcPr>
            <w:tcW w:w="3845" w:type="dxa"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Oral OM</w:t>
            </w:r>
            <w:r w:rsidRPr="00273589">
              <w:rPr>
                <w:rFonts w:ascii="Calibri" w:eastAsia="Times New Roman" w:hAnsi="Calibri" w:cs="Calibri"/>
                <w:color w:val="000000"/>
                <w:vertAlign w:val="superscript"/>
                <w:lang w:val="en-GB"/>
              </w:rPr>
              <w:t>4</w:t>
            </w: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 xml:space="preserve"> and IV 3M</w:t>
            </w:r>
            <w:r w:rsidRPr="00273589">
              <w:rPr>
                <w:rFonts w:ascii="Calibri" w:eastAsia="Times New Roman" w:hAnsi="Calibri" w:cs="Calibri"/>
                <w:color w:val="000000"/>
                <w:vertAlign w:val="superscript"/>
                <w:lang w:val="en-GB"/>
              </w:rPr>
              <w:t>5</w:t>
            </w: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 xml:space="preserve"> have the same ATC</w:t>
            </w:r>
          </w:p>
        </w:tc>
      </w:tr>
      <w:tr w:rsidR="00D63314" w:rsidRPr="00184136" w:rsidTr="00C070C2">
        <w:trPr>
          <w:trHeight w:val="300"/>
        </w:trPr>
        <w:tc>
          <w:tcPr>
            <w:tcW w:w="3580" w:type="dxa"/>
            <w:noWrap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proofErr w:type="spellStart"/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Risedronate</w:t>
            </w:r>
            <w:proofErr w:type="spellEnd"/>
          </w:p>
        </w:tc>
        <w:tc>
          <w:tcPr>
            <w:tcW w:w="1962" w:type="dxa"/>
            <w:noWrap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M05BA07</w:t>
            </w:r>
          </w:p>
        </w:tc>
        <w:tc>
          <w:tcPr>
            <w:tcW w:w="3845" w:type="dxa"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vertAlign w:val="superscript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OW</w:t>
            </w:r>
            <w:r w:rsidRPr="00273589">
              <w:rPr>
                <w:rFonts w:ascii="Calibri" w:eastAsia="Times New Roman" w:hAnsi="Calibri" w:cs="Calibri"/>
                <w:color w:val="000000"/>
                <w:vertAlign w:val="superscript"/>
                <w:lang w:val="en-GB"/>
              </w:rPr>
              <w:t>1</w:t>
            </w: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 xml:space="preserve"> or OD</w:t>
            </w:r>
            <w:r w:rsidRPr="00273589">
              <w:rPr>
                <w:rFonts w:ascii="Calibri" w:eastAsia="Times New Roman" w:hAnsi="Calibri" w:cs="Calibri"/>
                <w:color w:val="000000"/>
                <w:vertAlign w:val="superscript"/>
                <w:lang w:val="en-GB"/>
              </w:rPr>
              <w:t>2</w:t>
            </w:r>
          </w:p>
        </w:tc>
      </w:tr>
      <w:tr w:rsidR="00D63314" w:rsidRPr="00184136" w:rsidTr="00C070C2">
        <w:trPr>
          <w:trHeight w:val="300"/>
        </w:trPr>
        <w:tc>
          <w:tcPr>
            <w:tcW w:w="3580" w:type="dxa"/>
            <w:noWrap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proofErr w:type="spellStart"/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Risedronate</w:t>
            </w:r>
            <w:proofErr w:type="spellEnd"/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 xml:space="preserve"> + calcium</w:t>
            </w:r>
          </w:p>
        </w:tc>
        <w:tc>
          <w:tcPr>
            <w:tcW w:w="1962" w:type="dxa"/>
            <w:noWrap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M05BB02</w:t>
            </w:r>
          </w:p>
        </w:tc>
        <w:tc>
          <w:tcPr>
            <w:tcW w:w="3845" w:type="dxa"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vertAlign w:val="superscript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Combination, OW</w:t>
            </w:r>
            <w:r w:rsidRPr="00273589">
              <w:rPr>
                <w:rFonts w:ascii="Calibri" w:eastAsia="Times New Roman" w:hAnsi="Calibri" w:cs="Calibri"/>
                <w:color w:val="000000"/>
                <w:vertAlign w:val="superscript"/>
                <w:lang w:val="en-GB"/>
              </w:rPr>
              <w:t>1</w:t>
            </w:r>
          </w:p>
        </w:tc>
      </w:tr>
      <w:tr w:rsidR="00D63314" w:rsidRPr="00184136" w:rsidTr="00C070C2">
        <w:trPr>
          <w:trHeight w:val="300"/>
        </w:trPr>
        <w:tc>
          <w:tcPr>
            <w:tcW w:w="3580" w:type="dxa"/>
            <w:noWrap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proofErr w:type="spellStart"/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Risedronate</w:t>
            </w:r>
            <w:proofErr w:type="spellEnd"/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 xml:space="preserve"> + calcium + </w:t>
            </w:r>
            <w:proofErr w:type="spellStart"/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kolekalciferol</w:t>
            </w:r>
            <w:proofErr w:type="spellEnd"/>
          </w:p>
        </w:tc>
        <w:tc>
          <w:tcPr>
            <w:tcW w:w="1962" w:type="dxa"/>
            <w:noWrap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M05BB04</w:t>
            </w:r>
          </w:p>
        </w:tc>
        <w:tc>
          <w:tcPr>
            <w:tcW w:w="3845" w:type="dxa"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vertAlign w:val="superscript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Combination. OW</w:t>
            </w:r>
            <w:r w:rsidRPr="00273589">
              <w:rPr>
                <w:rFonts w:ascii="Calibri" w:eastAsia="Times New Roman" w:hAnsi="Calibri" w:cs="Calibri"/>
                <w:color w:val="000000"/>
                <w:vertAlign w:val="superscript"/>
                <w:lang w:val="en-GB"/>
              </w:rPr>
              <w:t>1</w:t>
            </w:r>
          </w:p>
        </w:tc>
      </w:tr>
      <w:tr w:rsidR="00D63314" w:rsidRPr="00184136" w:rsidTr="00C070C2">
        <w:trPr>
          <w:trHeight w:val="300"/>
        </w:trPr>
        <w:tc>
          <w:tcPr>
            <w:tcW w:w="3580" w:type="dxa"/>
            <w:noWrap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Zoledronate</w:t>
            </w:r>
          </w:p>
        </w:tc>
        <w:tc>
          <w:tcPr>
            <w:tcW w:w="1962" w:type="dxa"/>
            <w:noWrap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M05BA08</w:t>
            </w:r>
          </w:p>
        </w:tc>
        <w:tc>
          <w:tcPr>
            <w:tcW w:w="3845" w:type="dxa"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vertAlign w:val="superscript"/>
                <w:lang w:val="en-GB"/>
              </w:rPr>
            </w:pPr>
            <w:proofErr w:type="spellStart"/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I.v.</w:t>
            </w:r>
            <w:proofErr w:type="spellEnd"/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 xml:space="preserve"> infusion 12M</w:t>
            </w:r>
            <w:r w:rsidRPr="00273589">
              <w:rPr>
                <w:rFonts w:ascii="Calibri" w:eastAsia="Times New Roman" w:hAnsi="Calibri" w:cs="Calibri"/>
                <w:color w:val="000000"/>
                <w:vertAlign w:val="superscript"/>
                <w:lang w:val="en-GB"/>
              </w:rPr>
              <w:t>6</w:t>
            </w:r>
          </w:p>
        </w:tc>
      </w:tr>
      <w:tr w:rsidR="00D63314" w:rsidRPr="00184136" w:rsidTr="00C070C2">
        <w:trPr>
          <w:trHeight w:val="300"/>
        </w:trPr>
        <w:tc>
          <w:tcPr>
            <w:tcW w:w="3580" w:type="dxa"/>
            <w:noWrap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Etidronate</w:t>
            </w:r>
          </w:p>
        </w:tc>
        <w:tc>
          <w:tcPr>
            <w:tcW w:w="1962" w:type="dxa"/>
            <w:noWrap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M05BA01</w:t>
            </w:r>
          </w:p>
        </w:tc>
        <w:tc>
          <w:tcPr>
            <w:tcW w:w="3845" w:type="dxa"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Cyclical 14 OD</w:t>
            </w:r>
            <w:r w:rsidRPr="00273589">
              <w:rPr>
                <w:rFonts w:ascii="Calibri" w:eastAsia="Times New Roman" w:hAnsi="Calibri" w:cs="Calibri"/>
                <w:color w:val="000000"/>
                <w:vertAlign w:val="superscript"/>
                <w:lang w:val="en-GB"/>
              </w:rPr>
              <w:t>2</w:t>
            </w: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 xml:space="preserve"> every 3M</w:t>
            </w:r>
            <w:r w:rsidRPr="00273589">
              <w:rPr>
                <w:rFonts w:ascii="Calibri" w:eastAsia="Times New Roman" w:hAnsi="Calibri" w:cs="Calibri"/>
                <w:color w:val="000000"/>
                <w:vertAlign w:val="superscript"/>
                <w:lang w:val="en-GB"/>
              </w:rPr>
              <w:t>5</w:t>
            </w:r>
          </w:p>
        </w:tc>
      </w:tr>
      <w:tr w:rsidR="00D63314" w:rsidRPr="00184136" w:rsidTr="00C070C2">
        <w:trPr>
          <w:trHeight w:val="300"/>
        </w:trPr>
        <w:tc>
          <w:tcPr>
            <w:tcW w:w="3580" w:type="dxa"/>
            <w:noWrap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Etidronate + calcium</w:t>
            </w:r>
          </w:p>
        </w:tc>
        <w:tc>
          <w:tcPr>
            <w:tcW w:w="1962" w:type="dxa"/>
            <w:noWrap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M05BB01</w:t>
            </w:r>
          </w:p>
        </w:tc>
        <w:tc>
          <w:tcPr>
            <w:tcW w:w="3845" w:type="dxa"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Combination, cyclical 14 OD</w:t>
            </w:r>
            <w:r w:rsidRPr="00273589">
              <w:rPr>
                <w:rFonts w:ascii="Calibri" w:eastAsia="Times New Roman" w:hAnsi="Calibri" w:cs="Calibri"/>
                <w:color w:val="000000"/>
                <w:vertAlign w:val="superscript"/>
                <w:lang w:val="en-GB"/>
              </w:rPr>
              <w:t>2</w:t>
            </w: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 xml:space="preserve"> every 3M</w:t>
            </w:r>
            <w:r w:rsidRPr="00273589">
              <w:rPr>
                <w:rFonts w:ascii="Calibri" w:eastAsia="Times New Roman" w:hAnsi="Calibri" w:cs="Calibri"/>
                <w:color w:val="000000"/>
                <w:vertAlign w:val="superscript"/>
                <w:lang w:val="en-GB"/>
              </w:rPr>
              <w:t>5</w:t>
            </w: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 xml:space="preserve">, </w:t>
            </w:r>
          </w:p>
        </w:tc>
      </w:tr>
      <w:tr w:rsidR="00D63314" w:rsidRPr="00184136" w:rsidTr="00C070C2">
        <w:trPr>
          <w:trHeight w:val="300"/>
        </w:trPr>
        <w:tc>
          <w:tcPr>
            <w:tcW w:w="3580" w:type="dxa"/>
            <w:noWrap/>
          </w:tcPr>
          <w:p w:rsidR="00D63314" w:rsidRPr="00273589" w:rsidRDefault="00D63314" w:rsidP="00C070C2">
            <w:pPr>
              <w:rPr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Strontium Ranelate</w:t>
            </w:r>
          </w:p>
        </w:tc>
        <w:tc>
          <w:tcPr>
            <w:tcW w:w="1962" w:type="dxa"/>
            <w:noWrap/>
          </w:tcPr>
          <w:p w:rsidR="00D63314" w:rsidRPr="00273589" w:rsidRDefault="00D63314" w:rsidP="00C070C2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M05BX03</w:t>
            </w:r>
          </w:p>
        </w:tc>
        <w:tc>
          <w:tcPr>
            <w:tcW w:w="3845" w:type="dxa"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vertAlign w:val="superscript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OD</w:t>
            </w:r>
            <w:r w:rsidRPr="00273589">
              <w:rPr>
                <w:rFonts w:ascii="Calibri" w:eastAsia="Times New Roman" w:hAnsi="Calibri" w:cs="Calibri"/>
                <w:color w:val="000000"/>
                <w:vertAlign w:val="superscript"/>
                <w:lang w:val="en-GB"/>
              </w:rPr>
              <w:t>2</w:t>
            </w:r>
          </w:p>
        </w:tc>
      </w:tr>
      <w:tr w:rsidR="00D63314" w:rsidRPr="00184136" w:rsidTr="00C070C2">
        <w:trPr>
          <w:trHeight w:val="300"/>
        </w:trPr>
        <w:tc>
          <w:tcPr>
            <w:tcW w:w="3580" w:type="dxa"/>
            <w:noWrap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Raloxifene</w:t>
            </w:r>
          </w:p>
        </w:tc>
        <w:tc>
          <w:tcPr>
            <w:tcW w:w="1962" w:type="dxa"/>
            <w:noWrap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G03XC01</w:t>
            </w:r>
          </w:p>
        </w:tc>
        <w:tc>
          <w:tcPr>
            <w:tcW w:w="3845" w:type="dxa"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OD</w:t>
            </w:r>
            <w:r w:rsidRPr="00273589">
              <w:rPr>
                <w:rFonts w:ascii="Calibri" w:eastAsia="Times New Roman" w:hAnsi="Calibri" w:cs="Calibri"/>
                <w:color w:val="000000"/>
                <w:vertAlign w:val="superscript"/>
                <w:lang w:val="en-GB"/>
              </w:rPr>
              <w:t>2</w:t>
            </w:r>
          </w:p>
        </w:tc>
      </w:tr>
      <w:tr w:rsidR="00D63314" w:rsidRPr="00184136" w:rsidTr="00C070C2">
        <w:trPr>
          <w:trHeight w:val="300"/>
        </w:trPr>
        <w:tc>
          <w:tcPr>
            <w:tcW w:w="3580" w:type="dxa"/>
            <w:noWrap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proofErr w:type="spellStart"/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Bazedoxifene</w:t>
            </w:r>
            <w:proofErr w:type="spellEnd"/>
          </w:p>
        </w:tc>
        <w:tc>
          <w:tcPr>
            <w:tcW w:w="1962" w:type="dxa"/>
            <w:noWrap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G03XC02</w:t>
            </w:r>
          </w:p>
        </w:tc>
        <w:tc>
          <w:tcPr>
            <w:tcW w:w="3845" w:type="dxa"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OD</w:t>
            </w:r>
            <w:r w:rsidRPr="00273589">
              <w:rPr>
                <w:rFonts w:ascii="Calibri" w:eastAsia="Times New Roman" w:hAnsi="Calibri" w:cs="Calibri"/>
                <w:color w:val="000000"/>
                <w:vertAlign w:val="superscript"/>
                <w:lang w:val="en-GB"/>
              </w:rPr>
              <w:t>2</w:t>
            </w:r>
          </w:p>
        </w:tc>
      </w:tr>
      <w:tr w:rsidR="00D63314" w:rsidRPr="00184136" w:rsidTr="00C070C2">
        <w:trPr>
          <w:trHeight w:val="300"/>
        </w:trPr>
        <w:tc>
          <w:tcPr>
            <w:tcW w:w="3580" w:type="dxa"/>
            <w:noWrap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Teriparatide</w:t>
            </w:r>
          </w:p>
        </w:tc>
        <w:tc>
          <w:tcPr>
            <w:tcW w:w="1962" w:type="dxa"/>
            <w:noWrap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H05AA02</w:t>
            </w:r>
          </w:p>
        </w:tc>
        <w:tc>
          <w:tcPr>
            <w:tcW w:w="3845" w:type="dxa"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proofErr w:type="spellStart"/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S.c.</w:t>
            </w:r>
            <w:proofErr w:type="spellEnd"/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 xml:space="preserve"> injection, OD</w:t>
            </w:r>
            <w:r w:rsidRPr="00273589">
              <w:rPr>
                <w:rFonts w:ascii="Calibri" w:eastAsia="Times New Roman" w:hAnsi="Calibri" w:cs="Calibri"/>
                <w:color w:val="000000"/>
                <w:vertAlign w:val="superscript"/>
                <w:lang w:val="en-GB"/>
              </w:rPr>
              <w:t>2</w:t>
            </w:r>
          </w:p>
        </w:tc>
      </w:tr>
      <w:tr w:rsidR="00D63314" w:rsidRPr="00184136" w:rsidTr="00C070C2">
        <w:trPr>
          <w:trHeight w:val="300"/>
        </w:trPr>
        <w:tc>
          <w:tcPr>
            <w:tcW w:w="3580" w:type="dxa"/>
            <w:noWrap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Parathyroid hormone 1-84</w:t>
            </w:r>
          </w:p>
        </w:tc>
        <w:tc>
          <w:tcPr>
            <w:tcW w:w="1962" w:type="dxa"/>
            <w:noWrap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H05AA03</w:t>
            </w:r>
          </w:p>
        </w:tc>
        <w:tc>
          <w:tcPr>
            <w:tcW w:w="3845" w:type="dxa"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proofErr w:type="spellStart"/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S.c.</w:t>
            </w:r>
            <w:proofErr w:type="spellEnd"/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 xml:space="preserve"> injection, OD</w:t>
            </w:r>
            <w:r w:rsidRPr="00273589">
              <w:rPr>
                <w:rFonts w:ascii="Calibri" w:eastAsia="Times New Roman" w:hAnsi="Calibri" w:cs="Calibri"/>
                <w:color w:val="000000"/>
                <w:vertAlign w:val="superscript"/>
                <w:lang w:val="en-GB"/>
              </w:rPr>
              <w:t>2</w:t>
            </w:r>
          </w:p>
        </w:tc>
      </w:tr>
      <w:tr w:rsidR="00D63314" w:rsidRPr="00184136" w:rsidTr="00C070C2">
        <w:trPr>
          <w:trHeight w:val="300"/>
        </w:trPr>
        <w:tc>
          <w:tcPr>
            <w:tcW w:w="3580" w:type="dxa"/>
            <w:noWrap/>
          </w:tcPr>
          <w:p w:rsidR="00D63314" w:rsidRPr="00273589" w:rsidRDefault="00D63314" w:rsidP="00C070C2">
            <w:pPr>
              <w:rPr>
                <w:lang w:val="en-GB"/>
              </w:rPr>
            </w:pPr>
            <w:r w:rsidRPr="00273589">
              <w:rPr>
                <w:lang w:val="en-GB"/>
              </w:rPr>
              <w:t>Hormone Replacement Therapy</w:t>
            </w:r>
          </w:p>
        </w:tc>
        <w:tc>
          <w:tcPr>
            <w:tcW w:w="1962" w:type="dxa"/>
            <w:noWrap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G03C.x, G03F.x</w:t>
            </w:r>
          </w:p>
        </w:tc>
        <w:tc>
          <w:tcPr>
            <w:tcW w:w="3845" w:type="dxa"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</w:tr>
    </w:tbl>
    <w:p w:rsidR="00D63314" w:rsidRPr="00273589" w:rsidRDefault="00D63314" w:rsidP="00C070C2">
      <w:pPr>
        <w:autoSpaceDE w:val="0"/>
        <w:autoSpaceDN w:val="0"/>
        <w:adjustRightInd w:val="0"/>
        <w:spacing w:line="240" w:lineRule="auto"/>
        <w:rPr>
          <w:lang w:val="en-GB"/>
        </w:rPr>
      </w:pPr>
    </w:p>
    <w:p w:rsidR="00D63314" w:rsidRPr="00273589" w:rsidRDefault="00D63314">
      <w:pPr>
        <w:spacing w:after="200" w:line="276" w:lineRule="auto"/>
        <w:rPr>
          <w:lang w:val="en-GB"/>
        </w:rPr>
      </w:pPr>
      <w:r w:rsidRPr="00273589">
        <w:rPr>
          <w:lang w:val="en-GB"/>
        </w:rPr>
        <w:br w:type="page"/>
      </w:r>
    </w:p>
    <w:p w:rsidR="00D63314" w:rsidRPr="00273589" w:rsidRDefault="00D63314" w:rsidP="00C070C2">
      <w:pPr>
        <w:autoSpaceDE w:val="0"/>
        <w:autoSpaceDN w:val="0"/>
        <w:adjustRightInd w:val="0"/>
        <w:spacing w:line="240" w:lineRule="auto"/>
        <w:rPr>
          <w:sz w:val="24"/>
          <w:szCs w:val="20"/>
          <w:lang w:val="en-GB"/>
        </w:rPr>
      </w:pPr>
      <w:bookmarkStart w:id="10" w:name="_Ref338329726"/>
      <w:r w:rsidRPr="00273589">
        <w:rPr>
          <w:rFonts w:ascii="Calibri" w:eastAsia="Calibri" w:hAnsi="Calibri" w:cs="Calibri"/>
          <w:b/>
          <w:bCs/>
          <w:sz w:val="24"/>
          <w:lang w:val="en-GB"/>
        </w:rPr>
        <w:lastRenderedPageBreak/>
        <w:t xml:space="preserve">Table </w:t>
      </w:r>
      <w:r w:rsidRPr="00273589">
        <w:rPr>
          <w:rFonts w:ascii="Calibri" w:eastAsia="Calibri" w:hAnsi="Calibri" w:cs="Calibri"/>
          <w:b/>
          <w:bCs/>
          <w:sz w:val="24"/>
          <w:lang w:val="en-GB"/>
        </w:rPr>
        <w:fldChar w:fldCharType="begin"/>
      </w:r>
      <w:r w:rsidRPr="00273589">
        <w:rPr>
          <w:rFonts w:ascii="Calibri" w:eastAsia="Calibri" w:hAnsi="Calibri" w:cs="Calibri"/>
          <w:b/>
          <w:bCs/>
          <w:sz w:val="24"/>
          <w:lang w:val="en-GB"/>
        </w:rPr>
        <w:instrText xml:space="preserve"> SEQ Table \* ARABIC </w:instrText>
      </w:r>
      <w:r w:rsidRPr="00273589">
        <w:rPr>
          <w:rFonts w:ascii="Calibri" w:eastAsia="Calibri" w:hAnsi="Calibri" w:cs="Calibri"/>
          <w:b/>
          <w:bCs/>
          <w:sz w:val="24"/>
          <w:lang w:val="en-GB"/>
        </w:rPr>
        <w:fldChar w:fldCharType="separate"/>
      </w:r>
      <w:r w:rsidR="000E2F53">
        <w:rPr>
          <w:rFonts w:ascii="Calibri" w:eastAsia="Calibri" w:hAnsi="Calibri" w:cs="Calibri"/>
          <w:b/>
          <w:bCs/>
          <w:noProof/>
          <w:sz w:val="24"/>
          <w:lang w:val="en-GB"/>
        </w:rPr>
        <w:t>8</w:t>
      </w:r>
      <w:r w:rsidRPr="00273589">
        <w:rPr>
          <w:rFonts w:ascii="Calibri" w:eastAsia="Calibri" w:hAnsi="Calibri" w:cs="Calibri"/>
          <w:b/>
          <w:bCs/>
          <w:sz w:val="24"/>
          <w:lang w:val="en-GB"/>
        </w:rPr>
        <w:fldChar w:fldCharType="end"/>
      </w:r>
      <w:bookmarkEnd w:id="10"/>
      <w:r w:rsidRPr="00273589">
        <w:rPr>
          <w:sz w:val="24"/>
          <w:szCs w:val="20"/>
          <w:lang w:val="en-GB"/>
        </w:rPr>
        <w:t xml:space="preserve"> ATC codes for glucocorticoid use and gastroprotective agents</w:t>
      </w:r>
    </w:p>
    <w:tbl>
      <w:tblPr>
        <w:tblStyle w:val="TableGrid"/>
        <w:tblW w:w="5542" w:type="dxa"/>
        <w:tblLook w:val="04A0" w:firstRow="1" w:lastRow="0" w:firstColumn="1" w:lastColumn="0" w:noHBand="0" w:noVBand="1"/>
      </w:tblPr>
      <w:tblGrid>
        <w:gridCol w:w="3414"/>
        <w:gridCol w:w="2128"/>
      </w:tblGrid>
      <w:tr w:rsidR="00D63314" w:rsidRPr="00184136" w:rsidTr="00C070C2">
        <w:trPr>
          <w:trHeight w:val="300"/>
        </w:trPr>
        <w:tc>
          <w:tcPr>
            <w:tcW w:w="0" w:type="dxa"/>
            <w:noWrap/>
          </w:tcPr>
          <w:p w:rsidR="00D63314" w:rsidRPr="00273589" w:rsidRDefault="00D63314" w:rsidP="00C070C2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0" w:type="dxa"/>
            <w:noWrap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  <w:t>ATC</w:t>
            </w: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val="en-GB"/>
              </w:rPr>
            </w:pPr>
            <w:r w:rsidRPr="00273589">
              <w:rPr>
                <w:lang w:val="en-GB"/>
              </w:rPr>
              <w:t>Glucocorticoid use</w:t>
            </w:r>
          </w:p>
        </w:tc>
        <w:tc>
          <w:tcPr>
            <w:tcW w:w="0" w:type="dxa"/>
            <w:noWrap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</w:tcPr>
          <w:p w:rsidR="00D63314" w:rsidRPr="00273589" w:rsidRDefault="00D63314" w:rsidP="00C070C2">
            <w:pPr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lang w:val="en-GB"/>
              </w:rPr>
              <w:t>Oral glucocorticoids</w:t>
            </w:r>
          </w:p>
        </w:tc>
        <w:tc>
          <w:tcPr>
            <w:tcW w:w="0" w:type="dxa"/>
            <w:noWrap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H02AB.x</w:t>
            </w: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bCs/>
                <w:color w:val="000000"/>
                <w:lang w:val="en-GB"/>
              </w:rPr>
            </w:pPr>
            <w:r w:rsidRPr="00273589">
              <w:rPr>
                <w:lang w:val="en-GB"/>
              </w:rPr>
              <w:t>Gastroprotective agents</w:t>
            </w:r>
          </w:p>
        </w:tc>
        <w:tc>
          <w:tcPr>
            <w:tcW w:w="0" w:type="dxa"/>
            <w:noWrap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</w:tcPr>
          <w:p w:rsidR="00D63314" w:rsidRPr="00273589" w:rsidRDefault="00D63314" w:rsidP="00C070C2">
            <w:pPr>
              <w:rPr>
                <w:lang w:val="en-GB"/>
              </w:rPr>
            </w:pPr>
            <w:r w:rsidRPr="00273589">
              <w:rPr>
                <w:lang w:val="en-GB"/>
              </w:rPr>
              <w:t>Proton Pump Inhibitors</w:t>
            </w:r>
          </w:p>
        </w:tc>
        <w:tc>
          <w:tcPr>
            <w:tcW w:w="0" w:type="dxa"/>
            <w:noWrap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A02BC.x, A02BD.x</w:t>
            </w:r>
          </w:p>
        </w:tc>
      </w:tr>
      <w:tr w:rsidR="00D63314" w:rsidRPr="00184136" w:rsidTr="00C070C2">
        <w:trPr>
          <w:trHeight w:val="300"/>
        </w:trPr>
        <w:tc>
          <w:tcPr>
            <w:tcW w:w="0" w:type="dxa"/>
            <w:noWrap/>
          </w:tcPr>
          <w:p w:rsidR="00D63314" w:rsidRPr="00273589" w:rsidRDefault="00D63314" w:rsidP="00C070C2">
            <w:pPr>
              <w:rPr>
                <w:lang w:val="en-GB"/>
              </w:rPr>
            </w:pPr>
            <w:r w:rsidRPr="00273589">
              <w:rPr>
                <w:lang w:val="en-GB"/>
              </w:rPr>
              <w:t>Other Gastroprotective agents</w:t>
            </w:r>
          </w:p>
        </w:tc>
        <w:tc>
          <w:tcPr>
            <w:tcW w:w="0" w:type="dxa"/>
            <w:noWrap/>
          </w:tcPr>
          <w:p w:rsidR="00D63314" w:rsidRPr="00273589" w:rsidRDefault="00D63314" w:rsidP="00C070C2">
            <w:pPr>
              <w:jc w:val="center"/>
              <w:rPr>
                <w:rFonts w:ascii="Calibri" w:eastAsia="Times New Roman" w:hAnsi="Calibri" w:cs="Calibri"/>
                <w:i/>
                <w:color w:val="000000"/>
                <w:lang w:val="en-GB"/>
              </w:rPr>
            </w:pPr>
            <w:r w:rsidRPr="00273589">
              <w:rPr>
                <w:rFonts w:ascii="Calibri" w:eastAsia="Times New Roman" w:hAnsi="Calibri" w:cs="Calibri"/>
                <w:color w:val="000000"/>
                <w:lang w:val="en-GB"/>
              </w:rPr>
              <w:t>A02BA.x, A02BB.x, A02BX02, A02BX13</w:t>
            </w:r>
          </w:p>
        </w:tc>
      </w:tr>
    </w:tbl>
    <w:p w:rsidR="00D63314" w:rsidRDefault="00D63314" w:rsidP="00C070C2">
      <w:pPr>
        <w:autoSpaceDE w:val="0"/>
        <w:autoSpaceDN w:val="0"/>
        <w:adjustRightInd w:val="0"/>
        <w:spacing w:line="240" w:lineRule="auto"/>
        <w:rPr>
          <w:sz w:val="16"/>
          <w:lang w:val="en-GB"/>
        </w:rPr>
      </w:pPr>
      <w:r w:rsidRPr="00273589">
        <w:rPr>
          <w:sz w:val="16"/>
          <w:vertAlign w:val="superscript"/>
          <w:lang w:val="en-GB"/>
        </w:rPr>
        <w:t>1</w:t>
      </w:r>
      <w:r w:rsidRPr="00273589">
        <w:rPr>
          <w:sz w:val="16"/>
          <w:lang w:val="en-GB"/>
        </w:rPr>
        <w:t xml:space="preserve">Once weekly, </w:t>
      </w:r>
      <w:r w:rsidRPr="00273589">
        <w:rPr>
          <w:sz w:val="16"/>
          <w:vertAlign w:val="superscript"/>
          <w:lang w:val="en-GB"/>
        </w:rPr>
        <w:t>2</w:t>
      </w:r>
      <w:r w:rsidRPr="00273589">
        <w:rPr>
          <w:sz w:val="16"/>
          <w:lang w:val="en-GB"/>
        </w:rPr>
        <w:t xml:space="preserve">Once daily, </w:t>
      </w:r>
      <w:r w:rsidRPr="00273589">
        <w:rPr>
          <w:sz w:val="16"/>
          <w:vertAlign w:val="superscript"/>
          <w:lang w:val="en-GB"/>
        </w:rPr>
        <w:t>3</w:t>
      </w:r>
      <w:r w:rsidRPr="00273589">
        <w:rPr>
          <w:sz w:val="16"/>
          <w:lang w:val="en-GB"/>
        </w:rPr>
        <w:t xml:space="preserve">Every 6 months, </w:t>
      </w:r>
      <w:r w:rsidRPr="00273589">
        <w:rPr>
          <w:sz w:val="16"/>
          <w:vertAlign w:val="superscript"/>
          <w:lang w:val="en-GB"/>
        </w:rPr>
        <w:t>4</w:t>
      </w:r>
      <w:r w:rsidRPr="00273589">
        <w:rPr>
          <w:sz w:val="16"/>
          <w:lang w:val="en-GB"/>
        </w:rPr>
        <w:t xml:space="preserve">Once monthly, </w:t>
      </w:r>
      <w:r w:rsidRPr="00273589">
        <w:rPr>
          <w:sz w:val="16"/>
          <w:vertAlign w:val="superscript"/>
          <w:lang w:val="en-GB"/>
        </w:rPr>
        <w:t>5</w:t>
      </w:r>
      <w:r w:rsidRPr="00273589">
        <w:rPr>
          <w:sz w:val="16"/>
          <w:lang w:val="en-GB"/>
        </w:rPr>
        <w:t xml:space="preserve">Every three months, </w:t>
      </w:r>
      <w:r w:rsidRPr="00273589">
        <w:rPr>
          <w:sz w:val="16"/>
          <w:vertAlign w:val="superscript"/>
          <w:lang w:val="en-GB"/>
        </w:rPr>
        <w:t>6</w:t>
      </w:r>
      <w:r w:rsidRPr="00273589">
        <w:rPr>
          <w:sz w:val="16"/>
          <w:lang w:val="en-GB"/>
        </w:rPr>
        <w:t>Every 12 months</w:t>
      </w:r>
    </w:p>
    <w:p w:rsidR="000C3A39" w:rsidRDefault="000C3A39" w:rsidP="00C070C2">
      <w:pPr>
        <w:autoSpaceDE w:val="0"/>
        <w:autoSpaceDN w:val="0"/>
        <w:adjustRightInd w:val="0"/>
        <w:spacing w:line="240" w:lineRule="auto"/>
        <w:rPr>
          <w:sz w:val="16"/>
          <w:lang w:val="en-GB"/>
        </w:rPr>
      </w:pPr>
    </w:p>
    <w:p w:rsidR="000C3A39" w:rsidRPr="00273589" w:rsidRDefault="000C3A39" w:rsidP="000C3A39">
      <w:pPr>
        <w:spacing w:line="240" w:lineRule="auto"/>
        <w:rPr>
          <w:sz w:val="28"/>
          <w:highlight w:val="yellow"/>
          <w:lang w:val="en-GB"/>
        </w:rPr>
      </w:pPr>
      <w:bookmarkStart w:id="11" w:name="_Ref338406701"/>
      <w:r w:rsidRPr="00273589">
        <w:rPr>
          <w:rFonts w:ascii="Calibri" w:eastAsia="Calibri" w:hAnsi="Calibri" w:cs="Calibri"/>
          <w:b/>
          <w:bCs/>
          <w:sz w:val="24"/>
          <w:lang w:val="en-GB"/>
        </w:rPr>
        <w:t xml:space="preserve">Table </w:t>
      </w:r>
      <w:r w:rsidRPr="00273589">
        <w:rPr>
          <w:rFonts w:ascii="Calibri" w:eastAsia="Calibri" w:hAnsi="Calibri" w:cs="Calibri"/>
          <w:b/>
          <w:bCs/>
          <w:sz w:val="24"/>
          <w:lang w:val="en-GB"/>
        </w:rPr>
        <w:fldChar w:fldCharType="begin"/>
      </w:r>
      <w:r w:rsidRPr="00273589">
        <w:rPr>
          <w:rFonts w:ascii="Calibri" w:eastAsia="Calibri" w:hAnsi="Calibri" w:cs="Calibri"/>
          <w:b/>
          <w:bCs/>
          <w:sz w:val="24"/>
          <w:lang w:val="en-GB"/>
        </w:rPr>
        <w:instrText xml:space="preserve"> SEQ Table \* ARABIC </w:instrText>
      </w:r>
      <w:r w:rsidRPr="00273589">
        <w:rPr>
          <w:rFonts w:ascii="Calibri" w:eastAsia="Calibri" w:hAnsi="Calibri" w:cs="Calibri"/>
          <w:b/>
          <w:bCs/>
          <w:sz w:val="24"/>
          <w:lang w:val="en-GB"/>
        </w:rPr>
        <w:fldChar w:fldCharType="separate"/>
      </w:r>
      <w:r w:rsidR="000E2F53">
        <w:rPr>
          <w:rFonts w:ascii="Calibri" w:eastAsia="Calibri" w:hAnsi="Calibri" w:cs="Calibri"/>
          <w:b/>
          <w:bCs/>
          <w:noProof/>
          <w:sz w:val="24"/>
          <w:lang w:val="en-GB"/>
        </w:rPr>
        <w:t>9</w:t>
      </w:r>
      <w:r w:rsidRPr="00273589">
        <w:rPr>
          <w:rFonts w:ascii="Calibri" w:eastAsia="Calibri" w:hAnsi="Calibri" w:cs="Calibri"/>
          <w:b/>
          <w:bCs/>
          <w:sz w:val="24"/>
          <w:lang w:val="en-GB"/>
        </w:rPr>
        <w:fldChar w:fldCharType="end"/>
      </w:r>
      <w:bookmarkEnd w:id="11"/>
      <w:r>
        <w:rPr>
          <w:sz w:val="24"/>
          <w:szCs w:val="20"/>
          <w:lang w:val="en-GB"/>
        </w:rPr>
        <w:t xml:space="preserve"> </w:t>
      </w:r>
      <w:r w:rsidR="00E37471" w:rsidRPr="00273589">
        <w:rPr>
          <w:rFonts w:ascii="Calibri" w:eastAsiaTheme="majorEastAsia" w:hAnsi="Calibri" w:cstheme="majorBidi"/>
          <w:bCs/>
          <w:sz w:val="24"/>
          <w:szCs w:val="24"/>
          <w:lang w:val="en-GB"/>
        </w:rPr>
        <w:t>Filled prescriptions</w:t>
      </w:r>
      <w:r w:rsidR="00E37471">
        <w:rPr>
          <w:rFonts w:ascii="Calibri" w:eastAsiaTheme="majorEastAsia" w:hAnsi="Calibri" w:cstheme="majorBidi"/>
          <w:bCs/>
          <w:sz w:val="24"/>
          <w:szCs w:val="24"/>
          <w:lang w:val="en-GB"/>
        </w:rPr>
        <w:t xml:space="preserve"> of glucocorticoids (ATC: H02AB.x)</w:t>
      </w:r>
      <w:r w:rsidR="00E37471" w:rsidRPr="00273589">
        <w:rPr>
          <w:rFonts w:ascii="Calibri" w:eastAsiaTheme="majorEastAsia" w:hAnsi="Calibri" w:cstheme="majorBidi"/>
          <w:bCs/>
          <w:sz w:val="24"/>
          <w:szCs w:val="24"/>
          <w:lang w:val="en-GB"/>
        </w:rPr>
        <w:t xml:space="preserve"> equivalent to ≥450 mg of prednisolone (corresponding to ≥3 months at a dose of 5 mg/day) </w:t>
      </w:r>
    </w:p>
    <w:tbl>
      <w:tblPr>
        <w:tblStyle w:val="TableGrid"/>
        <w:tblW w:w="6120" w:type="dxa"/>
        <w:tblLook w:val="04A0" w:firstRow="1" w:lastRow="0" w:firstColumn="1" w:lastColumn="0" w:noHBand="0" w:noVBand="1"/>
      </w:tblPr>
      <w:tblGrid>
        <w:gridCol w:w="2030"/>
        <w:gridCol w:w="4090"/>
      </w:tblGrid>
      <w:tr w:rsidR="000C3A39" w:rsidRPr="00184136" w:rsidTr="00034111">
        <w:trPr>
          <w:trHeight w:val="525"/>
        </w:trPr>
        <w:tc>
          <w:tcPr>
            <w:tcW w:w="1840" w:type="dxa"/>
            <w:hideMark/>
          </w:tcPr>
          <w:p w:rsidR="000C3A39" w:rsidRPr="00273589" w:rsidRDefault="000C3A39" w:rsidP="00034111">
            <w:pPr>
              <w:rPr>
                <w:rFonts w:ascii="Calibri" w:eastAsia="Times New Roman" w:hAnsi="Calibri" w:cs="Calibri"/>
                <w:color w:val="000000"/>
                <w:szCs w:val="2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szCs w:val="20"/>
                <w:lang w:val="en-GB" w:eastAsia="sv-SE"/>
              </w:rPr>
              <w:t>Glucocorticoid</w:t>
            </w:r>
          </w:p>
        </w:tc>
        <w:tc>
          <w:tcPr>
            <w:tcW w:w="4280" w:type="dxa"/>
            <w:hideMark/>
          </w:tcPr>
          <w:p w:rsidR="000C3A39" w:rsidRPr="00273589" w:rsidRDefault="000C3A39" w:rsidP="00034111">
            <w:pPr>
              <w:jc w:val="center"/>
              <w:rPr>
                <w:rFonts w:ascii="Calibri" w:eastAsia="Times New Roman" w:hAnsi="Calibri" w:cs="Calibri"/>
                <w:color w:val="000000"/>
                <w:szCs w:val="20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szCs w:val="20"/>
                <w:lang w:val="en-GB" w:eastAsia="sv-SE"/>
              </w:rPr>
              <w:t>Definition of glucoco</w:t>
            </w:r>
            <w:r w:rsidRPr="00273589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val="en-GB" w:eastAsia="sv-SE"/>
              </w:rPr>
              <w:t>r</w:t>
            </w:r>
            <w:r w:rsidRPr="00273589">
              <w:rPr>
                <w:rFonts w:ascii="Calibri" w:eastAsia="Times New Roman" w:hAnsi="Calibri" w:cs="Calibri"/>
                <w:color w:val="000000"/>
                <w:szCs w:val="20"/>
                <w:lang w:val="en-GB" w:eastAsia="sv-SE"/>
              </w:rPr>
              <w:t>ticoid use in the pre-index period (≥ x mg during the pre-index period)</w:t>
            </w:r>
          </w:p>
        </w:tc>
      </w:tr>
      <w:tr w:rsidR="000C3A39" w:rsidRPr="00184136" w:rsidTr="00034111">
        <w:trPr>
          <w:trHeight w:val="300"/>
        </w:trPr>
        <w:tc>
          <w:tcPr>
            <w:tcW w:w="1840" w:type="dxa"/>
          </w:tcPr>
          <w:p w:rsidR="000C3A39" w:rsidRPr="00273589" w:rsidRDefault="000C3A39" w:rsidP="00034111">
            <w:pPr>
              <w:rPr>
                <w:rFonts w:ascii="Calibri" w:eastAsia="Times New Roman" w:hAnsi="Calibri" w:cs="Calibri"/>
                <w:color w:val="000000"/>
                <w:szCs w:val="18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szCs w:val="18"/>
                <w:lang w:val="en-GB" w:eastAsia="sv-SE"/>
              </w:rPr>
              <w:t>Cortisone</w:t>
            </w:r>
          </w:p>
        </w:tc>
        <w:tc>
          <w:tcPr>
            <w:tcW w:w="4280" w:type="dxa"/>
          </w:tcPr>
          <w:p w:rsidR="000C3A39" w:rsidRPr="00273589" w:rsidRDefault="000C3A39" w:rsidP="00034111">
            <w:pPr>
              <w:jc w:val="center"/>
              <w:rPr>
                <w:rFonts w:ascii="Calibri" w:eastAsia="Times New Roman" w:hAnsi="Calibri" w:cs="Calibri"/>
                <w:color w:val="000000"/>
                <w:szCs w:val="18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szCs w:val="18"/>
                <w:lang w:val="en-GB" w:eastAsia="sv-SE"/>
              </w:rPr>
              <w:t>2,250</w:t>
            </w:r>
          </w:p>
        </w:tc>
      </w:tr>
      <w:tr w:rsidR="000C3A39" w:rsidRPr="00184136" w:rsidTr="00034111">
        <w:trPr>
          <w:trHeight w:val="300"/>
        </w:trPr>
        <w:tc>
          <w:tcPr>
            <w:tcW w:w="1840" w:type="dxa"/>
            <w:hideMark/>
          </w:tcPr>
          <w:p w:rsidR="000C3A39" w:rsidRPr="00273589" w:rsidRDefault="000C3A39" w:rsidP="00034111">
            <w:pPr>
              <w:rPr>
                <w:rFonts w:ascii="Calibri" w:eastAsia="Times New Roman" w:hAnsi="Calibri" w:cs="Calibri"/>
                <w:color w:val="000000"/>
                <w:szCs w:val="18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szCs w:val="18"/>
                <w:lang w:val="en-GB" w:eastAsia="sv-SE"/>
              </w:rPr>
              <w:t>Hydrocortisone</w:t>
            </w:r>
          </w:p>
        </w:tc>
        <w:tc>
          <w:tcPr>
            <w:tcW w:w="4280" w:type="dxa"/>
            <w:hideMark/>
          </w:tcPr>
          <w:p w:rsidR="000C3A39" w:rsidRPr="00273589" w:rsidRDefault="000C3A39" w:rsidP="00034111">
            <w:pPr>
              <w:jc w:val="center"/>
              <w:rPr>
                <w:rFonts w:ascii="Calibri" w:eastAsia="Times New Roman" w:hAnsi="Calibri" w:cs="Calibri"/>
                <w:color w:val="000000"/>
                <w:szCs w:val="18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szCs w:val="18"/>
                <w:lang w:val="en-GB" w:eastAsia="sv-SE"/>
              </w:rPr>
              <w:t>1,800</w:t>
            </w:r>
          </w:p>
        </w:tc>
      </w:tr>
      <w:tr w:rsidR="000C3A39" w:rsidRPr="00184136" w:rsidTr="00034111">
        <w:trPr>
          <w:trHeight w:val="300"/>
        </w:trPr>
        <w:tc>
          <w:tcPr>
            <w:tcW w:w="1840" w:type="dxa"/>
            <w:hideMark/>
          </w:tcPr>
          <w:p w:rsidR="000C3A39" w:rsidRPr="00273589" w:rsidRDefault="000C3A39" w:rsidP="00034111">
            <w:pPr>
              <w:rPr>
                <w:rFonts w:ascii="Calibri" w:eastAsia="Times New Roman" w:hAnsi="Calibri" w:cs="Calibri"/>
                <w:color w:val="000000"/>
                <w:szCs w:val="18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szCs w:val="18"/>
                <w:lang w:val="en-GB" w:eastAsia="sv-SE"/>
              </w:rPr>
              <w:t>Methylprednisolone</w:t>
            </w:r>
          </w:p>
        </w:tc>
        <w:tc>
          <w:tcPr>
            <w:tcW w:w="4280" w:type="dxa"/>
            <w:hideMark/>
          </w:tcPr>
          <w:p w:rsidR="000C3A39" w:rsidRPr="00273589" w:rsidRDefault="000C3A39" w:rsidP="00034111">
            <w:pPr>
              <w:jc w:val="center"/>
              <w:rPr>
                <w:rFonts w:ascii="Calibri" w:eastAsia="Times New Roman" w:hAnsi="Calibri" w:cs="Calibri"/>
                <w:color w:val="000000"/>
                <w:szCs w:val="18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szCs w:val="18"/>
                <w:lang w:val="en-GB" w:eastAsia="sv-SE"/>
              </w:rPr>
              <w:t>360</w:t>
            </w:r>
          </w:p>
        </w:tc>
      </w:tr>
      <w:tr w:rsidR="000C3A39" w:rsidRPr="00184136" w:rsidTr="00034111">
        <w:trPr>
          <w:trHeight w:val="300"/>
        </w:trPr>
        <w:tc>
          <w:tcPr>
            <w:tcW w:w="1840" w:type="dxa"/>
          </w:tcPr>
          <w:p w:rsidR="000C3A39" w:rsidRPr="00273589" w:rsidRDefault="000C3A39" w:rsidP="00034111">
            <w:pPr>
              <w:rPr>
                <w:rFonts w:ascii="Calibri" w:eastAsia="Times New Roman" w:hAnsi="Calibri" w:cs="Calibri"/>
                <w:color w:val="000000"/>
                <w:szCs w:val="18"/>
                <w:lang w:val="en-GB" w:eastAsia="sv-SE"/>
              </w:rPr>
            </w:pPr>
            <w:proofErr w:type="spellStart"/>
            <w:r w:rsidRPr="00273589">
              <w:rPr>
                <w:rFonts w:ascii="Calibri" w:eastAsia="Times New Roman" w:hAnsi="Calibri" w:cs="Calibri"/>
                <w:color w:val="000000"/>
                <w:szCs w:val="18"/>
                <w:lang w:val="en-GB" w:eastAsia="sv-SE"/>
              </w:rPr>
              <w:t>Paramethasone</w:t>
            </w:r>
            <w:proofErr w:type="spellEnd"/>
          </w:p>
        </w:tc>
        <w:tc>
          <w:tcPr>
            <w:tcW w:w="4280" w:type="dxa"/>
          </w:tcPr>
          <w:p w:rsidR="000C3A39" w:rsidRPr="00273589" w:rsidRDefault="000C3A39" w:rsidP="00034111">
            <w:pPr>
              <w:jc w:val="center"/>
              <w:rPr>
                <w:rFonts w:ascii="Calibri" w:eastAsia="Times New Roman" w:hAnsi="Calibri" w:cs="Calibri"/>
                <w:color w:val="000000"/>
                <w:szCs w:val="18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szCs w:val="18"/>
                <w:lang w:val="en-GB" w:eastAsia="sv-SE"/>
              </w:rPr>
              <w:t>180</w:t>
            </w:r>
          </w:p>
        </w:tc>
      </w:tr>
      <w:tr w:rsidR="000C3A39" w:rsidRPr="00184136" w:rsidTr="00034111">
        <w:trPr>
          <w:trHeight w:val="300"/>
        </w:trPr>
        <w:tc>
          <w:tcPr>
            <w:tcW w:w="1840" w:type="dxa"/>
            <w:hideMark/>
          </w:tcPr>
          <w:p w:rsidR="000C3A39" w:rsidRPr="00273589" w:rsidRDefault="000C3A39" w:rsidP="00034111">
            <w:pPr>
              <w:rPr>
                <w:rFonts w:ascii="Calibri" w:eastAsia="Times New Roman" w:hAnsi="Calibri" w:cs="Calibri"/>
                <w:color w:val="000000"/>
                <w:szCs w:val="18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szCs w:val="18"/>
                <w:lang w:val="en-GB" w:eastAsia="sv-SE"/>
              </w:rPr>
              <w:t>Prednisolone</w:t>
            </w:r>
          </w:p>
        </w:tc>
        <w:tc>
          <w:tcPr>
            <w:tcW w:w="4280" w:type="dxa"/>
            <w:hideMark/>
          </w:tcPr>
          <w:p w:rsidR="000C3A39" w:rsidRPr="00273589" w:rsidRDefault="000C3A39" w:rsidP="00034111">
            <w:pPr>
              <w:jc w:val="center"/>
              <w:rPr>
                <w:rFonts w:ascii="Calibri" w:eastAsia="Times New Roman" w:hAnsi="Calibri" w:cs="Calibri"/>
                <w:color w:val="000000"/>
                <w:szCs w:val="18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szCs w:val="18"/>
                <w:lang w:val="en-GB" w:eastAsia="sv-SE"/>
              </w:rPr>
              <w:t>450</w:t>
            </w:r>
          </w:p>
        </w:tc>
      </w:tr>
      <w:tr w:rsidR="000C3A39" w:rsidRPr="00184136" w:rsidTr="00034111">
        <w:trPr>
          <w:trHeight w:val="300"/>
        </w:trPr>
        <w:tc>
          <w:tcPr>
            <w:tcW w:w="1840" w:type="dxa"/>
            <w:hideMark/>
          </w:tcPr>
          <w:p w:rsidR="000C3A39" w:rsidRPr="00273589" w:rsidRDefault="000C3A39" w:rsidP="00034111">
            <w:pPr>
              <w:rPr>
                <w:rFonts w:ascii="Calibri" w:eastAsia="Times New Roman" w:hAnsi="Calibri" w:cs="Calibri"/>
                <w:color w:val="000000"/>
                <w:szCs w:val="18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szCs w:val="18"/>
                <w:lang w:val="en-GB" w:eastAsia="sv-SE"/>
              </w:rPr>
              <w:t>Prednisone</w:t>
            </w:r>
          </w:p>
        </w:tc>
        <w:tc>
          <w:tcPr>
            <w:tcW w:w="4280" w:type="dxa"/>
            <w:hideMark/>
          </w:tcPr>
          <w:p w:rsidR="000C3A39" w:rsidRPr="00273589" w:rsidRDefault="000C3A39" w:rsidP="00034111">
            <w:pPr>
              <w:jc w:val="center"/>
              <w:rPr>
                <w:rFonts w:ascii="Calibri" w:eastAsia="Times New Roman" w:hAnsi="Calibri" w:cs="Calibri"/>
                <w:color w:val="000000"/>
                <w:szCs w:val="18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szCs w:val="18"/>
                <w:lang w:val="en-GB" w:eastAsia="sv-SE"/>
              </w:rPr>
              <w:t>450</w:t>
            </w:r>
          </w:p>
        </w:tc>
      </w:tr>
      <w:tr w:rsidR="000C3A39" w:rsidRPr="00184136" w:rsidTr="00034111">
        <w:trPr>
          <w:trHeight w:val="315"/>
        </w:trPr>
        <w:tc>
          <w:tcPr>
            <w:tcW w:w="1840" w:type="dxa"/>
            <w:hideMark/>
          </w:tcPr>
          <w:p w:rsidR="000C3A39" w:rsidRPr="00273589" w:rsidRDefault="000C3A39" w:rsidP="00034111">
            <w:pPr>
              <w:rPr>
                <w:rFonts w:ascii="Calibri" w:eastAsia="Times New Roman" w:hAnsi="Calibri" w:cs="Calibri"/>
                <w:color w:val="000000"/>
                <w:szCs w:val="18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szCs w:val="18"/>
                <w:lang w:val="en-GB" w:eastAsia="sv-SE"/>
              </w:rPr>
              <w:t>Triamcinolone</w:t>
            </w:r>
          </w:p>
        </w:tc>
        <w:tc>
          <w:tcPr>
            <w:tcW w:w="4280" w:type="dxa"/>
            <w:hideMark/>
          </w:tcPr>
          <w:p w:rsidR="000C3A39" w:rsidRPr="00273589" w:rsidRDefault="000C3A39" w:rsidP="00034111">
            <w:pPr>
              <w:jc w:val="center"/>
              <w:rPr>
                <w:rFonts w:ascii="Calibri" w:eastAsia="Times New Roman" w:hAnsi="Calibri" w:cs="Calibri"/>
                <w:color w:val="000000"/>
                <w:szCs w:val="18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szCs w:val="18"/>
                <w:lang w:val="en-GB" w:eastAsia="sv-SE"/>
              </w:rPr>
              <w:t>360</w:t>
            </w:r>
          </w:p>
        </w:tc>
      </w:tr>
      <w:tr w:rsidR="000C3A39" w:rsidRPr="00184136" w:rsidTr="00034111">
        <w:trPr>
          <w:trHeight w:val="315"/>
        </w:trPr>
        <w:tc>
          <w:tcPr>
            <w:tcW w:w="1840" w:type="dxa"/>
          </w:tcPr>
          <w:p w:rsidR="000C3A39" w:rsidRPr="00273589" w:rsidRDefault="000C3A39" w:rsidP="00034111">
            <w:pPr>
              <w:rPr>
                <w:rFonts w:ascii="Calibri" w:eastAsia="Times New Roman" w:hAnsi="Calibri" w:cs="Calibri"/>
                <w:color w:val="000000"/>
                <w:szCs w:val="18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szCs w:val="18"/>
                <w:lang w:val="en-GB" w:eastAsia="sv-SE"/>
              </w:rPr>
              <w:t>Betamethasone</w:t>
            </w:r>
          </w:p>
        </w:tc>
        <w:tc>
          <w:tcPr>
            <w:tcW w:w="4280" w:type="dxa"/>
          </w:tcPr>
          <w:p w:rsidR="000C3A39" w:rsidRPr="00273589" w:rsidRDefault="000C3A39" w:rsidP="00034111">
            <w:pPr>
              <w:jc w:val="center"/>
              <w:rPr>
                <w:rFonts w:ascii="Calibri" w:eastAsia="Times New Roman" w:hAnsi="Calibri" w:cs="Calibri"/>
                <w:color w:val="000000"/>
                <w:szCs w:val="18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szCs w:val="18"/>
                <w:lang w:val="en-GB" w:eastAsia="sv-SE"/>
              </w:rPr>
              <w:t>67.5</w:t>
            </w:r>
          </w:p>
        </w:tc>
      </w:tr>
      <w:tr w:rsidR="000C3A39" w:rsidRPr="00184136" w:rsidTr="00034111">
        <w:trPr>
          <w:trHeight w:val="315"/>
        </w:trPr>
        <w:tc>
          <w:tcPr>
            <w:tcW w:w="1840" w:type="dxa"/>
          </w:tcPr>
          <w:p w:rsidR="000C3A39" w:rsidRPr="00273589" w:rsidRDefault="000C3A39" w:rsidP="00034111">
            <w:pPr>
              <w:rPr>
                <w:rFonts w:ascii="Calibri" w:eastAsia="Times New Roman" w:hAnsi="Calibri" w:cs="Calibri"/>
                <w:color w:val="000000"/>
                <w:szCs w:val="18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szCs w:val="18"/>
                <w:lang w:val="en-GB" w:eastAsia="sv-SE"/>
              </w:rPr>
              <w:t>Dexamethasone</w:t>
            </w:r>
          </w:p>
        </w:tc>
        <w:tc>
          <w:tcPr>
            <w:tcW w:w="4280" w:type="dxa"/>
          </w:tcPr>
          <w:p w:rsidR="000C3A39" w:rsidRPr="00273589" w:rsidRDefault="000C3A39" w:rsidP="00034111">
            <w:pPr>
              <w:jc w:val="center"/>
              <w:rPr>
                <w:rFonts w:ascii="Calibri" w:eastAsia="Times New Roman" w:hAnsi="Calibri" w:cs="Calibri"/>
                <w:color w:val="000000"/>
                <w:szCs w:val="18"/>
                <w:lang w:val="en-GB" w:eastAsia="sv-SE"/>
              </w:rPr>
            </w:pPr>
            <w:r w:rsidRPr="00273589">
              <w:rPr>
                <w:rFonts w:ascii="Calibri" w:eastAsia="Times New Roman" w:hAnsi="Calibri" w:cs="Calibri"/>
                <w:color w:val="000000"/>
                <w:szCs w:val="18"/>
                <w:lang w:val="en-GB" w:eastAsia="sv-SE"/>
              </w:rPr>
              <w:t>67.5</w:t>
            </w:r>
          </w:p>
        </w:tc>
      </w:tr>
    </w:tbl>
    <w:p w:rsidR="000C3A39" w:rsidRPr="00273589" w:rsidRDefault="000C3A39" w:rsidP="000C3A39">
      <w:pPr>
        <w:rPr>
          <w:b/>
          <w:lang w:val="en-GB"/>
        </w:rPr>
      </w:pPr>
    </w:p>
    <w:p w:rsidR="000C3A39" w:rsidRPr="00273589" w:rsidRDefault="000C3A39" w:rsidP="00C070C2">
      <w:pPr>
        <w:autoSpaceDE w:val="0"/>
        <w:autoSpaceDN w:val="0"/>
        <w:adjustRightInd w:val="0"/>
        <w:spacing w:line="240" w:lineRule="auto"/>
        <w:rPr>
          <w:sz w:val="16"/>
          <w:lang w:val="en-GB"/>
        </w:rPr>
      </w:pPr>
    </w:p>
    <w:p w:rsidR="00273ACC" w:rsidRPr="00273589" w:rsidRDefault="00273ACC">
      <w:pPr>
        <w:rPr>
          <w:lang w:val="en-GB"/>
        </w:rPr>
      </w:pPr>
    </w:p>
    <w:sectPr w:rsidR="00273ACC" w:rsidRPr="00273589" w:rsidSect="00C070C2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0C2" w:rsidRDefault="00C070C2">
      <w:pPr>
        <w:spacing w:after="0" w:line="240" w:lineRule="auto"/>
      </w:pPr>
      <w:r>
        <w:separator/>
      </w:r>
    </w:p>
  </w:endnote>
  <w:endnote w:type="continuationSeparator" w:id="0">
    <w:p w:rsidR="00C070C2" w:rsidRDefault="00C07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74113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70C2" w:rsidRDefault="00C070C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5405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C070C2" w:rsidRDefault="00C070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0C2" w:rsidRDefault="00C070C2">
      <w:pPr>
        <w:spacing w:after="0" w:line="240" w:lineRule="auto"/>
      </w:pPr>
      <w:r>
        <w:separator/>
      </w:r>
    </w:p>
  </w:footnote>
  <w:footnote w:type="continuationSeparator" w:id="0">
    <w:p w:rsidR="00C070C2" w:rsidRDefault="00C070C2">
      <w:pPr>
        <w:spacing w:after="0" w:line="240" w:lineRule="auto"/>
      </w:pPr>
      <w:r>
        <w:continuationSeparator/>
      </w:r>
    </w:p>
  </w:footnote>
  <w:footnote w:id="1">
    <w:p w:rsidR="00C070C2" w:rsidRPr="00C070C2" w:rsidRDefault="00C070C2">
      <w:pPr>
        <w:pStyle w:val="FootnoteText"/>
        <w:rPr>
          <w:lang w:val="sv-SE"/>
        </w:rPr>
      </w:pPr>
      <w:r>
        <w:rPr>
          <w:rStyle w:val="FootnoteReference"/>
        </w:rPr>
        <w:footnoteRef/>
      </w:r>
      <w:r>
        <w:t xml:space="preserve"> </w:t>
      </w:r>
      <w:r w:rsidR="00184136" w:rsidRPr="009A382D">
        <w:rPr>
          <w:rFonts w:cs="Arial"/>
          <w:noProof/>
        </w:rPr>
        <w:t xml:space="preserve">Johnell, O., et al., </w:t>
      </w:r>
      <w:r w:rsidR="00184136" w:rsidRPr="009A382D">
        <w:rPr>
          <w:rFonts w:cs="Arial"/>
          <w:i/>
          <w:noProof/>
        </w:rPr>
        <w:t>The burden of hospitalised fractures in Sweden.</w:t>
      </w:r>
      <w:r w:rsidR="00184136" w:rsidRPr="009A382D">
        <w:rPr>
          <w:rFonts w:cs="Arial"/>
          <w:noProof/>
        </w:rPr>
        <w:t xml:space="preserve"> Osteoporos Int, 2005. </w:t>
      </w:r>
      <w:r w:rsidR="00184136" w:rsidRPr="009A382D">
        <w:rPr>
          <w:rFonts w:cs="Arial"/>
          <w:b/>
          <w:noProof/>
        </w:rPr>
        <w:t>16</w:t>
      </w:r>
      <w:r w:rsidR="00184136" w:rsidRPr="009A382D">
        <w:rPr>
          <w:rFonts w:cs="Arial"/>
          <w:noProof/>
        </w:rPr>
        <w:t>(2): p. 222-8.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0C2" w:rsidRPr="00B443DE" w:rsidRDefault="00C070C2" w:rsidP="00C070C2">
    <w:pPr>
      <w:pStyle w:val="Header"/>
      <w:tabs>
        <w:tab w:val="clear" w:pos="4536"/>
      </w:tabs>
      <w:rPr>
        <w:lang w:val="en-GB"/>
      </w:rPr>
    </w:pPr>
    <w:r>
      <w:rPr>
        <w:lang w:val="en-GB"/>
      </w:rPr>
      <w:t>Pub-Id-055457</w:t>
    </w:r>
    <w:r>
      <w:rPr>
        <w:lang w:val="en-GB"/>
      </w:rPr>
      <w:tab/>
      <w:t>FPR 28April2016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23EF7"/>
    <w:multiLevelType w:val="multilevel"/>
    <w:tmpl w:val="5A3C1F84"/>
    <w:styleLink w:val="QRReportHeadings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68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680"/>
      </w:pPr>
      <w:rPr>
        <w:rFonts w:hint="default"/>
      </w:rPr>
    </w:lvl>
  </w:abstractNum>
  <w:abstractNum w:abstractNumId="1" w15:restartNumberingAfterBreak="0">
    <w:nsid w:val="28521463"/>
    <w:multiLevelType w:val="singleLevel"/>
    <w:tmpl w:val="2C7009F4"/>
    <w:lvl w:ilvl="0">
      <w:start w:val="1"/>
      <w:numFmt w:val="bullet"/>
      <w:pStyle w:val="Tex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D63314"/>
    <w:rsid w:val="000C3A39"/>
    <w:rsid w:val="000E2F53"/>
    <w:rsid w:val="00184136"/>
    <w:rsid w:val="00273589"/>
    <w:rsid w:val="00273ACC"/>
    <w:rsid w:val="0037557D"/>
    <w:rsid w:val="00781E51"/>
    <w:rsid w:val="009F0E5D"/>
    <w:rsid w:val="00C070C2"/>
    <w:rsid w:val="00D24F78"/>
    <w:rsid w:val="00D63314"/>
    <w:rsid w:val="00E15405"/>
    <w:rsid w:val="00E3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D6142"/>
  <w15:chartTrackingRefBased/>
  <w15:docId w15:val="{A556098C-7397-4986-9FDB-C228493AC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63314"/>
    <w:pPr>
      <w:spacing w:after="120" w:line="360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3314"/>
    <w:pPr>
      <w:keepNext/>
      <w:keepLines/>
      <w:spacing w:before="480"/>
      <w:outlineLvl w:val="0"/>
    </w:pPr>
    <w:rPr>
      <w:rFonts w:ascii="Calibri" w:eastAsiaTheme="majorEastAsia" w:hAnsi="Calibri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3314"/>
    <w:pPr>
      <w:keepNext/>
      <w:keepLines/>
      <w:spacing w:before="240"/>
      <w:outlineLvl w:val="1"/>
    </w:pPr>
    <w:rPr>
      <w:rFonts w:ascii="Calibri" w:eastAsiaTheme="majorEastAsia" w:hAnsi="Calibri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3314"/>
    <w:pPr>
      <w:keepNext/>
      <w:keepLines/>
      <w:outlineLvl w:val="2"/>
    </w:pPr>
    <w:rPr>
      <w:rFonts w:eastAsiaTheme="majorEastAsia" w:cstheme="majorBidi"/>
      <w:b/>
      <w:bCs/>
      <w:i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633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3314"/>
    <w:rPr>
      <w:rFonts w:ascii="Calibri" w:eastAsiaTheme="majorEastAsia" w:hAnsi="Calibri" w:cstheme="majorBidi"/>
      <w:b/>
      <w:bCs/>
      <w:sz w:val="32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63314"/>
    <w:rPr>
      <w:rFonts w:ascii="Calibri" w:eastAsiaTheme="majorEastAsia" w:hAnsi="Calibri" w:cstheme="majorBidi"/>
      <w:b/>
      <w:bCs/>
      <w:sz w:val="24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63314"/>
    <w:rPr>
      <w:rFonts w:eastAsiaTheme="majorEastAsia" w:cstheme="majorBidi"/>
      <w:b/>
      <w:bCs/>
      <w:i/>
      <w:color w:val="000000" w:themeColor="text1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D63314"/>
    <w:rPr>
      <w:rFonts w:asciiTheme="majorHAnsi" w:eastAsiaTheme="majorEastAsia" w:hAnsiTheme="majorHAnsi" w:cstheme="majorBidi"/>
      <w:b/>
      <w:bCs/>
      <w:i/>
      <w:iCs/>
      <w:sz w:val="20"/>
      <w:lang w:val="en-US"/>
    </w:rPr>
  </w:style>
  <w:style w:type="paragraph" w:styleId="ListParagraph">
    <w:name w:val="List Paragraph"/>
    <w:basedOn w:val="Normal"/>
    <w:uiPriority w:val="34"/>
    <w:qFormat/>
    <w:rsid w:val="00D63314"/>
    <w:pPr>
      <w:ind w:left="720"/>
      <w:contextualSpacing/>
    </w:pPr>
  </w:style>
  <w:style w:type="character" w:styleId="CommentReference">
    <w:name w:val="annotation reference"/>
    <w:basedOn w:val="DefaultParagraphFont"/>
    <w:unhideWhenUsed/>
    <w:rsid w:val="00D633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33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3314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33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3314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33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314"/>
    <w:rPr>
      <w:rFonts w:ascii="Tahoma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D63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40"/>
    <w:qFormat/>
    <w:rsid w:val="00D63314"/>
    <w:pPr>
      <w:tabs>
        <w:tab w:val="decimal" w:pos="360"/>
      </w:tabs>
      <w:spacing w:after="200"/>
    </w:pPr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D63314"/>
    <w:pPr>
      <w:spacing w:line="240" w:lineRule="auto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63314"/>
    <w:rPr>
      <w:rFonts w:eastAsiaTheme="minorEastAsia"/>
      <w:sz w:val="20"/>
      <w:szCs w:val="20"/>
      <w:lang w:val="en-US"/>
    </w:rPr>
  </w:style>
  <w:style w:type="character" w:styleId="SubtleEmphasis">
    <w:name w:val="Subtle Emphasis"/>
    <w:basedOn w:val="DefaultParagraphFont"/>
    <w:uiPriority w:val="19"/>
    <w:qFormat/>
    <w:rsid w:val="00D63314"/>
    <w:rPr>
      <w:rFonts w:eastAsiaTheme="minorEastAsia" w:cstheme="minorBidi"/>
      <w:bCs w:val="0"/>
      <w:i/>
      <w:iCs/>
      <w:color w:val="808080" w:themeColor="text1" w:themeTint="7F"/>
      <w:szCs w:val="22"/>
      <w:lang w:val="en-US"/>
    </w:rPr>
  </w:style>
  <w:style w:type="table" w:customStyle="1" w:styleId="LightShading-Accent11">
    <w:name w:val="Light Shading - Accent 11"/>
    <w:basedOn w:val="TableNormal"/>
    <w:uiPriority w:val="60"/>
    <w:rsid w:val="00D63314"/>
    <w:pPr>
      <w:spacing w:after="0" w:line="240" w:lineRule="auto"/>
    </w:pPr>
    <w:rPr>
      <w:rFonts w:eastAsiaTheme="minorEastAsia"/>
      <w:color w:val="2E74B5" w:themeColor="accent1" w:themeShade="BF"/>
      <w:lang w:val="en-US" w:bidi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D63314"/>
    <w:pPr>
      <w:spacing w:line="240" w:lineRule="auto"/>
    </w:pPr>
    <w:rPr>
      <w:b/>
      <w:bCs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6331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331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6331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3314"/>
    <w:rPr>
      <w:lang w:val="en-US"/>
    </w:rPr>
  </w:style>
  <w:style w:type="table" w:styleId="LightList-Accent3">
    <w:name w:val="Light List Accent 3"/>
    <w:basedOn w:val="TableNormal"/>
    <w:uiPriority w:val="61"/>
    <w:rsid w:val="00D6331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MediumShading2-Accent3">
    <w:name w:val="Medium Shading 2 Accent 3"/>
    <w:basedOn w:val="TableNormal"/>
    <w:uiPriority w:val="64"/>
    <w:rsid w:val="00D6331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D63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ink">
    <w:name w:val="Hyperlink"/>
    <w:basedOn w:val="DefaultParagraphFont"/>
    <w:uiPriority w:val="99"/>
    <w:unhideWhenUsed/>
    <w:rsid w:val="00D63314"/>
    <w:rPr>
      <w:color w:val="0563C1" w:themeColor="hyperlink"/>
      <w:u w:val="single"/>
    </w:rPr>
  </w:style>
  <w:style w:type="table" w:customStyle="1" w:styleId="MediumList11">
    <w:name w:val="Medium List 11"/>
    <w:basedOn w:val="TableNormal"/>
    <w:uiPriority w:val="65"/>
    <w:rsid w:val="00D633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3">
    <w:name w:val="Medium List 1 Accent 3"/>
    <w:basedOn w:val="TableNormal"/>
    <w:uiPriority w:val="65"/>
    <w:rsid w:val="00D633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Grid1-Accent3">
    <w:name w:val="Medium Grid 1 Accent 3"/>
    <w:basedOn w:val="TableNormal"/>
    <w:uiPriority w:val="67"/>
    <w:rsid w:val="00D63314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character" w:customStyle="1" w:styleId="at">
    <w:name w:val="at"/>
    <w:basedOn w:val="DefaultParagraphFont"/>
    <w:rsid w:val="00D63314"/>
  </w:style>
  <w:style w:type="character" w:styleId="Emphasis">
    <w:name w:val="Emphasis"/>
    <w:basedOn w:val="DefaultParagraphFont"/>
    <w:uiPriority w:val="20"/>
    <w:qFormat/>
    <w:rsid w:val="00D63314"/>
    <w:rPr>
      <w:b/>
      <w:bCs/>
      <w:i w:val="0"/>
      <w:iCs w:val="0"/>
    </w:rPr>
  </w:style>
  <w:style w:type="character" w:customStyle="1" w:styleId="st">
    <w:name w:val="st"/>
    <w:basedOn w:val="DefaultParagraphFont"/>
    <w:rsid w:val="00D63314"/>
  </w:style>
  <w:style w:type="character" w:customStyle="1" w:styleId="st1">
    <w:name w:val="st1"/>
    <w:basedOn w:val="DefaultParagraphFont"/>
    <w:rsid w:val="00D63314"/>
  </w:style>
  <w:style w:type="character" w:styleId="Strong">
    <w:name w:val="Strong"/>
    <w:basedOn w:val="DefaultParagraphFont"/>
    <w:uiPriority w:val="22"/>
    <w:qFormat/>
    <w:rsid w:val="00D63314"/>
    <w:rPr>
      <w:b/>
      <w:bCs/>
    </w:rPr>
  </w:style>
  <w:style w:type="character" w:customStyle="1" w:styleId="apple-converted-space">
    <w:name w:val="apple-converted-space"/>
    <w:basedOn w:val="DefaultParagraphFont"/>
    <w:rsid w:val="00D63314"/>
  </w:style>
  <w:style w:type="paragraph" w:customStyle="1" w:styleId="TableLeftAlign">
    <w:name w:val="TableLeftAlign"/>
    <w:basedOn w:val="Normal"/>
    <w:link w:val="TableLeftAlignChar"/>
    <w:rsid w:val="00D63314"/>
    <w:pPr>
      <w:suppressAutoHyphens/>
      <w:spacing w:before="60" w:after="60" w:line="240" w:lineRule="atLeast"/>
    </w:pPr>
    <w:rPr>
      <w:rFonts w:ascii="Arial" w:eastAsia="Times New Roman" w:hAnsi="Arial" w:cs="Times New Roman"/>
      <w:szCs w:val="20"/>
    </w:rPr>
  </w:style>
  <w:style w:type="character" w:customStyle="1" w:styleId="TableLeftAlignChar">
    <w:name w:val="TableLeftAlign Char"/>
    <w:basedOn w:val="DefaultParagraphFont"/>
    <w:link w:val="TableLeftAlign"/>
    <w:locked/>
    <w:rsid w:val="00D63314"/>
    <w:rPr>
      <w:rFonts w:ascii="Arial" w:eastAsia="Times New Roman" w:hAnsi="Arial" w:cs="Times New Roman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D63314"/>
    <w:pPr>
      <w:suppressAutoHyphens/>
      <w:spacing w:line="240" w:lineRule="auto"/>
    </w:pPr>
    <w:rPr>
      <w:rFonts w:ascii="Arial" w:eastAsia="Times New Roman" w:hAnsi="Arial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D63314"/>
    <w:rPr>
      <w:rFonts w:ascii="Arial" w:eastAsia="Times New Roman" w:hAnsi="Arial" w:cs="Times New Roman"/>
      <w:szCs w:val="20"/>
      <w:lang w:val="en-US"/>
    </w:rPr>
  </w:style>
  <w:style w:type="paragraph" w:styleId="NoSpacing">
    <w:name w:val="No Spacing"/>
    <w:uiPriority w:val="1"/>
    <w:qFormat/>
    <w:rsid w:val="00D63314"/>
    <w:pPr>
      <w:spacing w:after="0" w:line="240" w:lineRule="auto"/>
    </w:pPr>
    <w:rPr>
      <w:sz w:val="18"/>
      <w:lang w:val="en-GB"/>
    </w:rPr>
  </w:style>
  <w:style w:type="character" w:customStyle="1" w:styleId="cwlinkalt21">
    <w:name w:val="cwlink_alt21"/>
    <w:basedOn w:val="DefaultParagraphFont"/>
    <w:rsid w:val="00D63314"/>
    <w:rPr>
      <w:color w:val="3F6D77"/>
    </w:rPr>
  </w:style>
  <w:style w:type="paragraph" w:styleId="Revision">
    <w:name w:val="Revision"/>
    <w:hidden/>
    <w:uiPriority w:val="99"/>
    <w:semiHidden/>
    <w:rsid w:val="00D63314"/>
    <w:pPr>
      <w:spacing w:after="0" w:line="240" w:lineRule="auto"/>
    </w:pPr>
    <w:rPr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D63314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nhideWhenUsed/>
    <w:rsid w:val="00D63314"/>
    <w:rPr>
      <w:vertAlign w:val="superscript"/>
    </w:rPr>
  </w:style>
  <w:style w:type="character" w:customStyle="1" w:styleId="CaptionChar">
    <w:name w:val="Caption Char"/>
    <w:basedOn w:val="DefaultParagraphFont"/>
    <w:link w:val="Caption"/>
    <w:uiPriority w:val="35"/>
    <w:rsid w:val="00D63314"/>
    <w:rPr>
      <w:b/>
      <w:bCs/>
      <w:sz w:val="18"/>
      <w:szCs w:val="18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D63314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63314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63314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63314"/>
    <w:rPr>
      <w:rFonts w:ascii="Calibri" w:hAnsi="Calibri" w:cs="Calibri"/>
      <w:noProof/>
      <w:lang w:val="en-US"/>
    </w:rPr>
  </w:style>
  <w:style w:type="character" w:customStyle="1" w:styleId="telenr">
    <w:name w:val="telenr"/>
    <w:basedOn w:val="DefaultParagraphFont"/>
    <w:rsid w:val="00D63314"/>
  </w:style>
  <w:style w:type="numbering" w:customStyle="1" w:styleId="QRReportHeadings">
    <w:name w:val="QR Report Headings"/>
    <w:uiPriority w:val="99"/>
    <w:rsid w:val="00D63314"/>
    <w:pPr>
      <w:numPr>
        <w:numId w:val="1"/>
      </w:numPr>
    </w:pPr>
  </w:style>
  <w:style w:type="table" w:styleId="ColorfulList-Accent4">
    <w:name w:val="Colorful List Accent 4"/>
    <w:aliases w:val="Report table template"/>
    <w:basedOn w:val="TableNormal"/>
    <w:uiPriority w:val="72"/>
    <w:rsid w:val="00D63314"/>
    <w:pPr>
      <w:spacing w:after="0" w:line="240" w:lineRule="auto"/>
    </w:pPr>
    <w:rPr>
      <w:color w:val="000000" w:themeColor="text1"/>
      <w:sz w:val="20"/>
    </w:rPr>
    <w:tblPr>
      <w:tblStyleRowBandSize w:val="1"/>
      <w:tblStyleColBandSize w:val="1"/>
      <w:tblBorders>
        <w:bottom w:val="single" w:sz="4" w:space="0" w:color="525252" w:themeColor="accent3" w:themeShade="80"/>
      </w:tblBorders>
    </w:tblPr>
    <w:tcPr>
      <w:shd w:val="clear" w:color="auto" w:fill="auto"/>
    </w:tcPr>
    <w:tblStylePr w:type="firstRow">
      <w:rPr>
        <w:b/>
        <w:bCs/>
        <w:color w:val="000000" w:themeColor="text1"/>
      </w:rPr>
      <w:tblPr/>
      <w:tcPr>
        <w:tcBorders>
          <w:top w:val="single" w:sz="4" w:space="0" w:color="525252" w:themeColor="accent3" w:themeShade="80"/>
          <w:left w:val="nil"/>
          <w:bottom w:val="single" w:sz="4" w:space="0" w:color="525252" w:themeColor="accent3" w:themeShade="80"/>
          <w:right w:val="nil"/>
          <w:insideH w:val="nil"/>
          <w:insideV w:val="single" w:sz="8" w:space="0" w:color="DBDBDB" w:themeColor="accent3" w:themeTint="66"/>
          <w:tl2br w:val="nil"/>
          <w:tr2bl w:val="nil"/>
        </w:tcBorders>
        <w:shd w:val="clear" w:color="auto" w:fill="C9C9C9" w:themeFill="accent3" w:themeFillTint="99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rPr>
        <w:sz w:val="18"/>
      </w:rPr>
    </w:tblStylePr>
    <w:tblStylePr w:type="band2Horz">
      <w:rPr>
        <w:sz w:val="18"/>
      </w:rPr>
    </w:tblStylePr>
  </w:style>
  <w:style w:type="paragraph" w:styleId="TOC2">
    <w:name w:val="toc 2"/>
    <w:basedOn w:val="Normal"/>
    <w:next w:val="Normal"/>
    <w:autoRedefine/>
    <w:uiPriority w:val="39"/>
    <w:unhideWhenUsed/>
    <w:qFormat/>
    <w:rsid w:val="00D63314"/>
    <w:pPr>
      <w:spacing w:after="100" w:line="276" w:lineRule="auto"/>
      <w:ind w:left="220"/>
    </w:pPr>
    <w:rPr>
      <w:lang w:val="sv-SE"/>
    </w:rPr>
  </w:style>
  <w:style w:type="paragraph" w:styleId="TOC1">
    <w:name w:val="toc 1"/>
    <w:aliases w:val="QR Report"/>
    <w:basedOn w:val="Normal"/>
    <w:next w:val="Normal"/>
    <w:autoRedefine/>
    <w:uiPriority w:val="39"/>
    <w:unhideWhenUsed/>
    <w:qFormat/>
    <w:rsid w:val="00D63314"/>
    <w:pPr>
      <w:tabs>
        <w:tab w:val="left" w:pos="440"/>
        <w:tab w:val="right" w:leader="dot" w:pos="9062"/>
      </w:tabs>
      <w:spacing w:after="100" w:line="276" w:lineRule="auto"/>
    </w:pPr>
    <w:rPr>
      <w:b/>
      <w:sz w:val="24"/>
      <w:szCs w:val="32"/>
      <w:lang w:val="sv-SE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D63314"/>
    <w:pPr>
      <w:spacing w:after="100" w:line="276" w:lineRule="auto"/>
      <w:ind w:left="440"/>
    </w:pPr>
    <w:rPr>
      <w:lang w:val="sv-SE"/>
    </w:rPr>
  </w:style>
  <w:style w:type="paragraph" w:styleId="Title">
    <w:name w:val="Title"/>
    <w:basedOn w:val="Normal"/>
    <w:next w:val="Normal"/>
    <w:link w:val="TitleChar"/>
    <w:uiPriority w:val="10"/>
    <w:qFormat/>
    <w:rsid w:val="00D63314"/>
    <w:pPr>
      <w:spacing w:after="300" w:line="240" w:lineRule="auto"/>
      <w:contextualSpacing/>
    </w:pPr>
    <w:rPr>
      <w:rFonts w:ascii="Calibri" w:eastAsiaTheme="majorEastAsia" w:hAnsi="Calibri" w:cstheme="majorBidi"/>
      <w:b/>
      <w:spacing w:val="5"/>
      <w:kern w:val="28"/>
      <w:sz w:val="32"/>
      <w:szCs w:val="52"/>
      <w:lang w:val="sv-SE"/>
    </w:rPr>
  </w:style>
  <w:style w:type="character" w:customStyle="1" w:styleId="TitleChar">
    <w:name w:val="Title Char"/>
    <w:basedOn w:val="DefaultParagraphFont"/>
    <w:link w:val="Title"/>
    <w:uiPriority w:val="10"/>
    <w:rsid w:val="00D63314"/>
    <w:rPr>
      <w:rFonts w:ascii="Calibri" w:eastAsiaTheme="majorEastAsia" w:hAnsi="Calibri" w:cstheme="majorBidi"/>
      <w:b/>
      <w:spacing w:val="5"/>
      <w:kern w:val="28"/>
      <w:sz w:val="32"/>
      <w:szCs w:val="52"/>
    </w:rPr>
  </w:style>
  <w:style w:type="paragraph" w:styleId="TableofFigures">
    <w:name w:val="table of figures"/>
    <w:basedOn w:val="Normal"/>
    <w:next w:val="Normal"/>
    <w:uiPriority w:val="99"/>
    <w:unhideWhenUsed/>
    <w:rsid w:val="00D63314"/>
    <w:pPr>
      <w:spacing w:after="0" w:line="276" w:lineRule="auto"/>
    </w:pPr>
    <w:rPr>
      <w:lang w:val="sv-SE"/>
    </w:rPr>
  </w:style>
  <w:style w:type="character" w:customStyle="1" w:styleId="hps">
    <w:name w:val="hps"/>
    <w:basedOn w:val="DefaultParagraphFont"/>
    <w:rsid w:val="00D63314"/>
  </w:style>
  <w:style w:type="character" w:customStyle="1" w:styleId="shorttext">
    <w:name w:val="short_text"/>
    <w:basedOn w:val="DefaultParagraphFont"/>
    <w:rsid w:val="00D63314"/>
  </w:style>
  <w:style w:type="paragraph" w:customStyle="1" w:styleId="Text">
    <w:name w:val="Text"/>
    <w:basedOn w:val="Normal"/>
    <w:link w:val="TextChar"/>
    <w:rsid w:val="00D63314"/>
    <w:pPr>
      <w:spacing w:before="120"/>
    </w:pPr>
    <w:rPr>
      <w:rFonts w:ascii="Arial" w:eastAsia="Times New Roman" w:hAnsi="Arial" w:cs="Times New Roman"/>
      <w:szCs w:val="20"/>
      <w:lang w:val="sv-SE"/>
    </w:rPr>
  </w:style>
  <w:style w:type="character" w:customStyle="1" w:styleId="TextChar">
    <w:name w:val="Text Char"/>
    <w:link w:val="Text"/>
    <w:locked/>
    <w:rsid w:val="00D63314"/>
    <w:rPr>
      <w:rFonts w:ascii="Arial" w:eastAsia="Times New Roman" w:hAnsi="Arial" w:cs="Times New Roman"/>
      <w:szCs w:val="20"/>
    </w:rPr>
  </w:style>
  <w:style w:type="table" w:customStyle="1" w:styleId="LightShading1">
    <w:name w:val="Light Shading1"/>
    <w:basedOn w:val="TableNormal"/>
    <w:uiPriority w:val="60"/>
    <w:rsid w:val="00D63314"/>
    <w:pPr>
      <w:spacing w:after="0" w:line="240" w:lineRule="auto"/>
    </w:pPr>
    <w:rPr>
      <w:rFonts w:ascii="Arial" w:eastAsia="Times New Roman" w:hAnsi="Arial" w:cs="Times New Roman"/>
      <w:color w:val="000000" w:themeColor="text1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D63314"/>
    <w:pPr>
      <w:spacing w:after="0" w:line="276" w:lineRule="auto"/>
      <w:outlineLvl w:val="9"/>
    </w:pPr>
    <w:rPr>
      <w:rFonts w:asciiTheme="majorHAnsi" w:hAnsiTheme="majorHAnsi"/>
      <w:color w:val="2E74B5" w:themeColor="accent1" w:themeShade="BF"/>
      <w:sz w:val="28"/>
      <w:lang w:eastAsia="ja-JP"/>
    </w:rPr>
  </w:style>
  <w:style w:type="table" w:customStyle="1" w:styleId="Reporttabletemplate1">
    <w:name w:val="Report table template1"/>
    <w:basedOn w:val="TableNormal"/>
    <w:uiPriority w:val="72"/>
    <w:rsid w:val="00D63314"/>
    <w:pPr>
      <w:spacing w:after="0" w:line="240" w:lineRule="auto"/>
    </w:pPr>
    <w:rPr>
      <w:color w:val="000000"/>
      <w:sz w:val="20"/>
    </w:rPr>
    <w:tblPr>
      <w:tblStyleRowBandSize w:val="1"/>
      <w:tblStyleColBandSize w:val="1"/>
      <w:tblBorders>
        <w:bottom w:val="single" w:sz="4" w:space="0" w:color="4F6228"/>
      </w:tblBorders>
    </w:tblPr>
    <w:tblStylePr w:type="firstRow">
      <w:rPr>
        <w:b/>
        <w:bCs/>
        <w:color w:val="000000"/>
      </w:rPr>
      <w:tblPr/>
      <w:tcPr>
        <w:tcBorders>
          <w:top w:val="single" w:sz="4" w:space="0" w:color="4F6228"/>
          <w:left w:val="nil"/>
          <w:bottom w:val="single" w:sz="4" w:space="0" w:color="4F6228"/>
          <w:right w:val="nil"/>
          <w:insideH w:val="nil"/>
          <w:insideV w:val="single" w:sz="8" w:space="0" w:color="D6E3BC"/>
          <w:tl2br w:val="nil"/>
          <w:tr2bl w:val="nil"/>
        </w:tcBorders>
        <w:shd w:val="clear" w:color="auto" w:fill="C2D69B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F2F2F2"/>
      </w:tcPr>
    </w:tblStylePr>
    <w:tblStylePr w:type="band1Horz">
      <w:rPr>
        <w:sz w:val="18"/>
        <w:szCs w:val="18"/>
      </w:rPr>
    </w:tblStylePr>
    <w:tblStylePr w:type="band2Horz">
      <w:rPr>
        <w:sz w:val="18"/>
        <w:szCs w:val="18"/>
      </w:rPr>
    </w:tblStylePr>
  </w:style>
  <w:style w:type="paragraph" w:styleId="PlainText">
    <w:name w:val="Plain Text"/>
    <w:basedOn w:val="Normal"/>
    <w:link w:val="PlainTextChar"/>
    <w:uiPriority w:val="99"/>
    <w:unhideWhenUsed/>
    <w:rsid w:val="00D63314"/>
    <w:pPr>
      <w:spacing w:after="0" w:line="240" w:lineRule="auto"/>
    </w:pPr>
    <w:rPr>
      <w:rFonts w:ascii="Calibri" w:hAnsi="Calibri" w:cs="Consolas"/>
      <w:szCs w:val="21"/>
      <w:lang w:val="sv-SE"/>
    </w:rPr>
  </w:style>
  <w:style w:type="character" w:customStyle="1" w:styleId="PlainTextChar">
    <w:name w:val="Plain Text Char"/>
    <w:basedOn w:val="DefaultParagraphFont"/>
    <w:link w:val="PlainText"/>
    <w:uiPriority w:val="99"/>
    <w:rsid w:val="00D63314"/>
    <w:rPr>
      <w:rFonts w:ascii="Calibri" w:hAnsi="Calibri" w:cs="Consolas"/>
      <w:szCs w:val="21"/>
    </w:rPr>
  </w:style>
  <w:style w:type="paragraph" w:customStyle="1" w:styleId="TextBullet">
    <w:name w:val="TextBullet"/>
    <w:basedOn w:val="Normal"/>
    <w:link w:val="TextBulletChar"/>
    <w:rsid w:val="00D63314"/>
    <w:pPr>
      <w:numPr>
        <w:numId w:val="2"/>
      </w:numPr>
      <w:suppressAutoHyphens/>
      <w:spacing w:after="100" w:line="240" w:lineRule="auto"/>
    </w:pPr>
    <w:rPr>
      <w:rFonts w:ascii="Arial" w:eastAsia="Times New Roman" w:hAnsi="Arial" w:cs="Times New Roman"/>
      <w:szCs w:val="20"/>
    </w:rPr>
  </w:style>
  <w:style w:type="character" w:customStyle="1" w:styleId="TextBulletChar">
    <w:name w:val="TextBullet Char"/>
    <w:link w:val="TextBullet"/>
    <w:rsid w:val="00D63314"/>
    <w:rPr>
      <w:rFonts w:ascii="Arial" w:eastAsia="Times New Roman" w:hAnsi="Arial" w:cs="Times New Roman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D63314"/>
    <w:rPr>
      <w:color w:val="808080"/>
    </w:rPr>
  </w:style>
  <w:style w:type="paragraph" w:customStyle="1" w:styleId="Default">
    <w:name w:val="Default"/>
    <w:rsid w:val="00D6331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val="en-US"/>
    </w:rPr>
  </w:style>
  <w:style w:type="table" w:styleId="TableGridLight">
    <w:name w:val="Grid Table Light"/>
    <w:basedOn w:val="TableNormal"/>
    <w:uiPriority w:val="40"/>
    <w:rsid w:val="00D6331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40C07-4B08-4461-B645-FD7ADB4F1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1018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Karlsson</dc:creator>
  <cp:keywords/>
  <dc:description/>
  <cp:lastModifiedBy>Linda Karlsson</cp:lastModifiedBy>
  <cp:revision>3</cp:revision>
  <dcterms:created xsi:type="dcterms:W3CDTF">2017-07-14T12:58:00Z</dcterms:created>
  <dcterms:modified xsi:type="dcterms:W3CDTF">2017-07-14T12:59:00Z</dcterms:modified>
</cp:coreProperties>
</file>