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137D0" w14:textId="1F790955" w:rsidR="00DD5490" w:rsidRPr="001C6BC8" w:rsidRDefault="009906C9" w:rsidP="000E5C4C">
      <w:pPr>
        <w:rPr>
          <w:kern w:val="0"/>
          <w:lang w:eastAsia="ja-JP"/>
        </w:rPr>
      </w:pPr>
      <w:r w:rsidRPr="00F73BEC">
        <w:rPr>
          <w:color w:val="1C1D1E"/>
          <w:kern w:val="0"/>
          <w:shd w:val="clear" w:color="auto" w:fill="FFFFFF"/>
          <w:lang w:eastAsia="ja-JP"/>
        </w:rPr>
        <w:t> </w:t>
      </w:r>
      <w:r w:rsidR="000E5C4C" w:rsidRPr="005E641D">
        <w:rPr>
          <w:b/>
          <w:bCs/>
          <w:sz w:val="28"/>
          <w:szCs w:val="28"/>
        </w:rPr>
        <w:t>Supplemental Figure 1</w:t>
      </w:r>
      <w:r w:rsidR="000E5C4C">
        <w:rPr>
          <w:b/>
          <w:sz w:val="28"/>
          <w:szCs w:val="28"/>
        </w:rPr>
        <w:t>:</w:t>
      </w:r>
      <w:r w:rsidR="000E5C4C" w:rsidRPr="005E641D">
        <w:rPr>
          <w:b/>
          <w:bCs/>
          <w:sz w:val="28"/>
          <w:szCs w:val="28"/>
        </w:rPr>
        <w:t xml:space="preserve"> Results of Deterministic Sensitivity Analyses varying the Annual Incidence Rates of Fractures at age</w:t>
      </w:r>
      <w:r w:rsidR="000E5C4C">
        <w:rPr>
          <w:b/>
          <w:bCs/>
          <w:sz w:val="28"/>
          <w:szCs w:val="28"/>
        </w:rPr>
        <w:t>s</w:t>
      </w:r>
      <w:r w:rsidR="000E5C4C" w:rsidRPr="005E641D">
        <w:rPr>
          <w:b/>
          <w:bCs/>
          <w:sz w:val="28"/>
          <w:szCs w:val="28"/>
        </w:rPr>
        <w:t xml:space="preserve"> </w:t>
      </w:r>
      <w:r w:rsidR="000E5C4C">
        <w:rPr>
          <w:b/>
          <w:bCs/>
          <w:sz w:val="28"/>
          <w:szCs w:val="28"/>
        </w:rPr>
        <w:t xml:space="preserve">75 or </w:t>
      </w:r>
      <w:r w:rsidR="000E5C4C" w:rsidRPr="005E641D">
        <w:rPr>
          <w:b/>
          <w:bCs/>
          <w:sz w:val="28"/>
          <w:szCs w:val="28"/>
        </w:rPr>
        <w:t>80</w:t>
      </w:r>
    </w:p>
    <w:p w14:paraId="3BBAB4DB" w14:textId="5B43A99C" w:rsidR="00DD5490" w:rsidRDefault="00DD5490" w:rsidP="000E5C4C">
      <w:pPr>
        <w:rPr>
          <w:b/>
          <w:bCs/>
          <w:sz w:val="28"/>
          <w:szCs w:val="28"/>
        </w:rPr>
      </w:pPr>
      <w:r>
        <w:rPr>
          <w:b/>
          <w:noProof/>
        </w:rPr>
        <w:drawing>
          <wp:inline distT="0" distB="0" distL="0" distR="0" wp14:anchorId="4BF7DD8F" wp14:editId="7EFBA64A">
            <wp:extent cx="8819640" cy="5759739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9640" cy="5759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59A49" w14:textId="4B4F4945" w:rsidR="002E0F2B" w:rsidRPr="00DD5490" w:rsidRDefault="0009716B" w:rsidP="000E5C4C">
      <w:pPr>
        <w:rPr>
          <w:b/>
          <w:bCs/>
          <w:sz w:val="28"/>
          <w:szCs w:val="28"/>
        </w:rPr>
      </w:pPr>
      <w:r>
        <w:t xml:space="preserve">The figure presents the incremental cost-effectiveness ratios (ICERs) of sequential teriparatide/alendronate compared with alendronate monotherapy as hip and clinical vertebral fracture incidence rates are simultaneously ranged from 50% to 150% of their base case values in 10% increments. </w:t>
      </w:r>
      <w:r w:rsidRPr="00401B1B">
        <w:t>The</w:t>
      </w:r>
      <w:r w:rsidRPr="00207293">
        <w:t xml:space="preserve"> </w:t>
      </w:r>
      <w:r>
        <w:t>horizontal</w:t>
      </w:r>
      <w:r w:rsidRPr="00207293">
        <w:t xml:space="preserve"> hashed line</w:t>
      </w:r>
      <w:r>
        <w:t>s</w:t>
      </w:r>
      <w:r w:rsidRPr="00207293">
        <w:t xml:space="preserve"> represent </w:t>
      </w:r>
      <w:r>
        <w:t xml:space="preserve">the pre-specified willingness-to-pay thresholds of </w:t>
      </w:r>
      <w:r w:rsidRPr="00207293">
        <w:t>$</w:t>
      </w:r>
      <w:r>
        <w:t>47,500</w:t>
      </w:r>
      <w:r w:rsidRPr="00CC5EED">
        <w:t xml:space="preserve"> (</w:t>
      </w:r>
      <w:r w:rsidRPr="00CC5EED">
        <w:rPr>
          <w:kern w:val="0"/>
        </w:rPr>
        <w:t>¥5</w:t>
      </w:r>
      <w:r>
        <w:rPr>
          <w:kern w:val="0"/>
        </w:rPr>
        <w:t xml:space="preserve"> million</w:t>
      </w:r>
      <w:r>
        <w:t xml:space="preserve">) and </w:t>
      </w:r>
      <w:r w:rsidRPr="00207293">
        <w:t>$</w:t>
      </w:r>
      <w:r>
        <w:t>95,000</w:t>
      </w:r>
      <w:r w:rsidRPr="00CC5EED">
        <w:t xml:space="preserve"> (</w:t>
      </w:r>
      <w:r w:rsidRPr="00CC5EED">
        <w:rPr>
          <w:kern w:val="0"/>
        </w:rPr>
        <w:t>¥</w:t>
      </w:r>
      <w:r>
        <w:rPr>
          <w:kern w:val="0"/>
        </w:rPr>
        <w:t>10 million</w:t>
      </w:r>
      <w:r>
        <w:t>)</w:t>
      </w:r>
      <w:r w:rsidRPr="00207293">
        <w:t xml:space="preserve"> per </w:t>
      </w:r>
      <w:r w:rsidRPr="00207293">
        <w:rPr>
          <w:color w:val="262626"/>
          <w:kern w:val="0"/>
        </w:rPr>
        <w:t>quality-adjusted life year</w:t>
      </w:r>
      <w:r>
        <w:rPr>
          <w:color w:val="262626"/>
          <w:kern w:val="0"/>
        </w:rPr>
        <w:t>, respectively</w:t>
      </w:r>
      <w:r w:rsidRPr="00207293">
        <w:t>.</w:t>
      </w:r>
      <w:r>
        <w:t xml:space="preserve"> The ICERs did not become below the pre-specified thresholds of willingness-to-pay at age 70. </w:t>
      </w:r>
    </w:p>
    <w:p w14:paraId="653E6595" w14:textId="08CDFD93" w:rsidR="0009716B" w:rsidRDefault="000E5C4C" w:rsidP="000E5C4C">
      <w:r w:rsidRPr="005E641D">
        <w:rPr>
          <w:b/>
          <w:bCs/>
          <w:sz w:val="28"/>
          <w:szCs w:val="28"/>
        </w:rPr>
        <w:lastRenderedPageBreak/>
        <w:t xml:space="preserve">Supplemental Figure </w:t>
      </w:r>
      <w:r>
        <w:rPr>
          <w:b/>
          <w:bCs/>
          <w:sz w:val="28"/>
          <w:szCs w:val="28"/>
        </w:rPr>
        <w:t>2</w:t>
      </w:r>
      <w:r>
        <w:rPr>
          <w:b/>
          <w:sz w:val="28"/>
          <w:szCs w:val="28"/>
        </w:rPr>
        <w:t>:</w:t>
      </w:r>
      <w:r w:rsidRPr="005E641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The Lifetime Probabilities of Fracture varying </w:t>
      </w:r>
      <w:r w:rsidRPr="005E641D">
        <w:rPr>
          <w:b/>
          <w:bCs/>
          <w:sz w:val="28"/>
          <w:szCs w:val="28"/>
        </w:rPr>
        <w:t xml:space="preserve">the Annual Incidence Rates of Fractures </w:t>
      </w:r>
      <w:r>
        <w:rPr>
          <w:b/>
          <w:bCs/>
          <w:sz w:val="28"/>
          <w:szCs w:val="28"/>
        </w:rPr>
        <w:t>at ages 70, 75, or 80</w:t>
      </w:r>
    </w:p>
    <w:p w14:paraId="19D3BAA8" w14:textId="773010A7" w:rsidR="0009716B" w:rsidRDefault="0009716B" w:rsidP="000E5C4C">
      <w:r>
        <w:rPr>
          <w:noProof/>
        </w:rPr>
        <w:drawing>
          <wp:inline distT="0" distB="0" distL="0" distR="0" wp14:anchorId="09FBCBB6" wp14:editId="1DF8E07C">
            <wp:extent cx="8819640" cy="5759739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9640" cy="5759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3A9BA" w14:textId="5D7CD0F6" w:rsidR="002B0614" w:rsidRDefault="000E5C4C" w:rsidP="002B0614">
      <w:r>
        <w:t>The figure presents lifetime probabilities of hip or clinical vertebral fractures, when the annual incidence rates of hip and vertebral fracture were simultaneously ranged from 50% to 150% of their base case values in 10% increments. The trajectories are superimposed for hip fracture at ages 70, 75, and 80, and for clinical vertebral fracture at ages 70 and 75.</w:t>
      </w:r>
    </w:p>
    <w:p w14:paraId="18696388" w14:textId="1E1C1D0B" w:rsidR="002E0F2B" w:rsidRDefault="002E0F2B" w:rsidP="002B0614"/>
    <w:p w14:paraId="3792F129" w14:textId="1B3A7449" w:rsidR="002E0F2B" w:rsidRDefault="002E0F2B" w:rsidP="002B0614"/>
    <w:p w14:paraId="596D398D" w14:textId="021556EF" w:rsidR="000E5C4C" w:rsidRPr="002B0614" w:rsidRDefault="000E5C4C" w:rsidP="002B0614">
      <w:r>
        <w:rPr>
          <w:b/>
          <w:sz w:val="28"/>
        </w:rPr>
        <w:lastRenderedPageBreak/>
        <w:t xml:space="preserve">Supplemental </w:t>
      </w:r>
      <w:r w:rsidRPr="00207293">
        <w:rPr>
          <w:b/>
          <w:sz w:val="28"/>
        </w:rPr>
        <w:t xml:space="preserve">Figure </w:t>
      </w:r>
      <w:r>
        <w:rPr>
          <w:b/>
          <w:sz w:val="28"/>
          <w:lang w:eastAsia="ja-JP"/>
        </w:rPr>
        <w:t>3</w:t>
      </w:r>
      <w:r>
        <w:rPr>
          <w:b/>
          <w:sz w:val="28"/>
          <w:szCs w:val="28"/>
        </w:rPr>
        <w:t>:</w:t>
      </w:r>
      <w:r w:rsidRPr="00207293">
        <w:rPr>
          <w:b/>
          <w:sz w:val="28"/>
          <w:szCs w:val="28"/>
        </w:rPr>
        <w:t xml:space="preserve"> Results of Deterministic Sensitivity Analyses</w:t>
      </w:r>
      <w:r>
        <w:rPr>
          <w:b/>
          <w:sz w:val="28"/>
          <w:szCs w:val="28"/>
        </w:rPr>
        <w:t xml:space="preserve"> Other Than Costs or Annual Incidence Rates of Fractures</w:t>
      </w:r>
      <w:r w:rsidRPr="00207293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a) </w:t>
      </w:r>
      <w:r w:rsidRPr="00207293">
        <w:rPr>
          <w:b/>
          <w:sz w:val="28"/>
          <w:szCs w:val="28"/>
        </w:rPr>
        <w:t xml:space="preserve">age </w:t>
      </w:r>
      <w:r>
        <w:rPr>
          <w:b/>
          <w:sz w:val="28"/>
          <w:szCs w:val="28"/>
        </w:rPr>
        <w:t xml:space="preserve">75, b) </w:t>
      </w:r>
      <w:r w:rsidRPr="00207293">
        <w:rPr>
          <w:b/>
          <w:sz w:val="28"/>
          <w:szCs w:val="28"/>
        </w:rPr>
        <w:t xml:space="preserve">age </w:t>
      </w:r>
      <w:r>
        <w:rPr>
          <w:b/>
          <w:sz w:val="28"/>
          <w:szCs w:val="28"/>
        </w:rPr>
        <w:t>80</w:t>
      </w:r>
    </w:p>
    <w:p w14:paraId="219C6322" w14:textId="5CACF9A5" w:rsidR="0009716B" w:rsidRDefault="0009716B" w:rsidP="000E5C4C">
      <w:pPr>
        <w:suppressLineNumbers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2F21750" wp14:editId="128D4674">
            <wp:extent cx="8819640" cy="5747767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9640" cy="5747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45956" w14:textId="1B01C24E" w:rsidR="0009716B" w:rsidRDefault="0009716B" w:rsidP="000E5C4C">
      <w:pPr>
        <w:suppressLineNumbers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2D87F677" wp14:editId="7437D057">
            <wp:extent cx="8819640" cy="5747770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9640" cy="574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82D1C" w14:textId="6B20B20B" w:rsidR="00351CD6" w:rsidRPr="002E0F2B" w:rsidRDefault="000E5C4C" w:rsidP="002E0F2B">
      <w:pPr>
        <w:suppressLineNumbers/>
        <w:rPr>
          <w:color w:val="131413"/>
          <w:kern w:val="0"/>
        </w:rPr>
      </w:pPr>
      <w:r w:rsidRPr="00207293">
        <w:t xml:space="preserve">The figures present the </w:t>
      </w:r>
      <w:r w:rsidRPr="00207293">
        <w:rPr>
          <w:color w:val="262626"/>
          <w:kern w:val="0"/>
        </w:rPr>
        <w:t>incremental cost-effectiveness ratios (</w:t>
      </w:r>
      <w:r w:rsidRPr="00207293">
        <w:t xml:space="preserve">ICERs) of </w:t>
      </w:r>
      <w:r>
        <w:t xml:space="preserve">sequential teriparatide/alendronate </w:t>
      </w:r>
      <w:r w:rsidRPr="00207293">
        <w:t>compared with alendronate</w:t>
      </w:r>
      <w:r>
        <w:t xml:space="preserve"> monotherapy</w:t>
      </w:r>
      <w:r w:rsidRPr="00207293">
        <w:t xml:space="preserve">, when the indicated model parameters are varied across their ranges </w:t>
      </w:r>
      <w:r w:rsidRPr="00401B1B">
        <w:t xml:space="preserve">from </w:t>
      </w:r>
      <w:r>
        <w:t>the</w:t>
      </w:r>
      <w:r w:rsidRPr="00401B1B">
        <w:t xml:space="preserve"> </w:t>
      </w:r>
      <w:r>
        <w:t xml:space="preserve">combined public </w:t>
      </w:r>
      <w:r w:rsidRPr="00401B1B">
        <w:rPr>
          <w:bCs/>
        </w:rPr>
        <w:t xml:space="preserve">health care and long-term care </w:t>
      </w:r>
      <w:r>
        <w:rPr>
          <w:bCs/>
        </w:rPr>
        <w:t>payer’s</w:t>
      </w:r>
      <w:r w:rsidRPr="00401B1B">
        <w:rPr>
          <w:bCs/>
        </w:rPr>
        <w:t xml:space="preserve"> perspective</w:t>
      </w:r>
      <w:r w:rsidRPr="00401B1B">
        <w:t>. The</w:t>
      </w:r>
      <w:r w:rsidRPr="00207293">
        <w:t xml:space="preserve"> vertical hashed line</w:t>
      </w:r>
      <w:r>
        <w:t>s</w:t>
      </w:r>
      <w:r w:rsidRPr="00207293">
        <w:t xml:space="preserve"> represent </w:t>
      </w:r>
      <w:r>
        <w:t xml:space="preserve">the pre-specified threshold of willingness-to-pay of </w:t>
      </w:r>
      <w:r w:rsidRPr="00207293">
        <w:t>$</w:t>
      </w:r>
      <w:r>
        <w:t>47,500</w:t>
      </w:r>
      <w:r w:rsidRPr="00CC5EED">
        <w:t xml:space="preserve"> (</w:t>
      </w:r>
      <w:r w:rsidRPr="00CC5EED">
        <w:rPr>
          <w:kern w:val="0"/>
        </w:rPr>
        <w:t>¥5</w:t>
      </w:r>
      <w:r>
        <w:rPr>
          <w:kern w:val="0"/>
        </w:rPr>
        <w:t xml:space="preserve"> million</w:t>
      </w:r>
      <w:r>
        <w:t xml:space="preserve">), and also </w:t>
      </w:r>
      <w:r w:rsidRPr="00207293">
        <w:t>$</w:t>
      </w:r>
      <w:r>
        <w:t>95,000</w:t>
      </w:r>
      <w:r w:rsidRPr="00CC5EED">
        <w:t xml:space="preserve"> (</w:t>
      </w:r>
      <w:r w:rsidRPr="00CC5EED">
        <w:rPr>
          <w:kern w:val="0"/>
        </w:rPr>
        <w:t>¥</w:t>
      </w:r>
      <w:r>
        <w:rPr>
          <w:kern w:val="0"/>
        </w:rPr>
        <w:t>10 million</w:t>
      </w:r>
      <w:r>
        <w:t>)</w:t>
      </w:r>
      <w:r w:rsidRPr="00207293">
        <w:t xml:space="preserve"> per </w:t>
      </w:r>
      <w:r w:rsidRPr="00207293">
        <w:rPr>
          <w:color w:val="262626"/>
          <w:kern w:val="0"/>
        </w:rPr>
        <w:t>quality-adjusted life year</w:t>
      </w:r>
      <w:r w:rsidRPr="00207293">
        <w:t xml:space="preserve">. The ranges of each parameter are presented in Table </w:t>
      </w:r>
      <w:r>
        <w:t>2</w:t>
      </w:r>
      <w:r w:rsidRPr="00207293">
        <w:t xml:space="preserve">. We present the </w:t>
      </w:r>
      <w:r>
        <w:t xml:space="preserve">results of three largest </w:t>
      </w:r>
      <w:r w:rsidRPr="00207293">
        <w:t xml:space="preserve">changes </w:t>
      </w:r>
      <w:r>
        <w:t>in ICERs</w:t>
      </w:r>
      <w:r w:rsidRPr="00207293">
        <w:t xml:space="preserve">. </w:t>
      </w:r>
      <w:r>
        <w:rPr>
          <w:color w:val="131413"/>
          <w:kern w:val="0"/>
        </w:rPr>
        <w:t xml:space="preserve">The results at age 70 are not presented as no changes in parameters make the ICER less than the </w:t>
      </w:r>
      <w:r>
        <w:t>willingness-to-pay</w:t>
      </w:r>
      <w:r>
        <w:rPr>
          <w:color w:val="131413"/>
          <w:kern w:val="0"/>
        </w:rPr>
        <w:t xml:space="preserve"> thresholds.  </w:t>
      </w:r>
    </w:p>
    <w:sectPr w:rsidR="00351CD6" w:rsidRPr="002E0F2B" w:rsidSect="002E0F2B">
      <w:pgSz w:w="15842" w:h="12242" w:orient="landscape"/>
      <w:pgMar w:top="567" w:right="567" w:bottom="567" w:left="567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055937" w14:textId="77777777" w:rsidR="00B01426" w:rsidRDefault="00B01426" w:rsidP="00677995">
      <w:r>
        <w:separator/>
      </w:r>
    </w:p>
  </w:endnote>
  <w:endnote w:type="continuationSeparator" w:id="0">
    <w:p w14:paraId="67A450F8" w14:textId="77777777" w:rsidR="00B01426" w:rsidRDefault="00B01426" w:rsidP="00677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 (Theme Body Asian)">
    <w:altName w:val="Yu Mincho"/>
    <w:panose1 w:val="020B0604020202020204"/>
    <w:charset w:val="8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A3678" w14:textId="77777777" w:rsidR="00B01426" w:rsidRDefault="00B01426" w:rsidP="00677995">
      <w:r>
        <w:separator/>
      </w:r>
    </w:p>
  </w:footnote>
  <w:footnote w:type="continuationSeparator" w:id="0">
    <w:p w14:paraId="269D625F" w14:textId="77777777" w:rsidR="00B01426" w:rsidRDefault="00B01426" w:rsidP="006779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A880A43"/>
    <w:multiLevelType w:val="hybridMultilevel"/>
    <w:tmpl w:val="AFBAF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056A3"/>
    <w:multiLevelType w:val="hybridMultilevel"/>
    <w:tmpl w:val="428EB5A0"/>
    <w:lvl w:ilvl="0" w:tplc="CED67078">
      <w:start w:val="5"/>
      <w:numFmt w:val="bullet"/>
      <w:lvlText w:val="-"/>
      <w:lvlJc w:val="left"/>
      <w:pPr>
        <w:ind w:left="720" w:hanging="360"/>
      </w:pPr>
      <w:rPr>
        <w:rFonts w:ascii="Times New Roman" w:eastAsia="ＭＳ 明朝 (Theme Body Asian)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A1A6D"/>
    <w:multiLevelType w:val="hybridMultilevel"/>
    <w:tmpl w:val="C47677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01365"/>
    <w:multiLevelType w:val="hybridMultilevel"/>
    <w:tmpl w:val="9ECA29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F53B4"/>
    <w:multiLevelType w:val="hybridMultilevel"/>
    <w:tmpl w:val="3F32CE60"/>
    <w:lvl w:ilvl="0" w:tplc="285822CC">
      <w:start w:val="9054"/>
      <w:numFmt w:val="bullet"/>
      <w:lvlText w:val=""/>
      <w:lvlJc w:val="left"/>
      <w:pPr>
        <w:ind w:left="720" w:hanging="360"/>
      </w:pPr>
      <w:rPr>
        <w:rFonts w:ascii="Symbol" w:eastAsia="ＭＳ 明朝 (Theme Body Asian)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3C50AC"/>
    <w:multiLevelType w:val="hybridMultilevel"/>
    <w:tmpl w:val="B22CF43E"/>
    <w:lvl w:ilvl="0" w:tplc="C5723110">
      <w:start w:val="3"/>
      <w:numFmt w:val="bullet"/>
      <w:lvlText w:val=""/>
      <w:lvlJc w:val="left"/>
      <w:pPr>
        <w:ind w:left="720" w:hanging="360"/>
      </w:pPr>
      <w:rPr>
        <w:rFonts w:ascii="Symbol" w:eastAsia="ＭＳ 明朝 (Theme Body Asian)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defaultTabStop w:val="720"/>
  <w:drawingGridHorizontalSpacing w:val="110"/>
  <w:drawingGridVerticalSpacing w:val="30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340"/>
    <w:rsid w:val="00023FF0"/>
    <w:rsid w:val="00024BFF"/>
    <w:rsid w:val="000266AB"/>
    <w:rsid w:val="00027F08"/>
    <w:rsid w:val="00031CE8"/>
    <w:rsid w:val="000333C0"/>
    <w:rsid w:val="00042BA9"/>
    <w:rsid w:val="000440EE"/>
    <w:rsid w:val="0004651C"/>
    <w:rsid w:val="000734BC"/>
    <w:rsid w:val="0008070B"/>
    <w:rsid w:val="00083375"/>
    <w:rsid w:val="00084B4C"/>
    <w:rsid w:val="0008711C"/>
    <w:rsid w:val="0009716B"/>
    <w:rsid w:val="000A0C8E"/>
    <w:rsid w:val="000A1A5F"/>
    <w:rsid w:val="000A5D50"/>
    <w:rsid w:val="000C356B"/>
    <w:rsid w:val="000D4A0C"/>
    <w:rsid w:val="000E0B9C"/>
    <w:rsid w:val="000E1CD4"/>
    <w:rsid w:val="000E1FAF"/>
    <w:rsid w:val="000E3D07"/>
    <w:rsid w:val="000E4567"/>
    <w:rsid w:val="000E5C4C"/>
    <w:rsid w:val="000F3A1E"/>
    <w:rsid w:val="000F539C"/>
    <w:rsid w:val="00100870"/>
    <w:rsid w:val="00102F26"/>
    <w:rsid w:val="001138FF"/>
    <w:rsid w:val="00113976"/>
    <w:rsid w:val="00117379"/>
    <w:rsid w:val="0012054A"/>
    <w:rsid w:val="001420F3"/>
    <w:rsid w:val="001428C4"/>
    <w:rsid w:val="001476CD"/>
    <w:rsid w:val="001524B8"/>
    <w:rsid w:val="00152590"/>
    <w:rsid w:val="00153146"/>
    <w:rsid w:val="0015410C"/>
    <w:rsid w:val="00155A9F"/>
    <w:rsid w:val="00167D03"/>
    <w:rsid w:val="00184313"/>
    <w:rsid w:val="001843F4"/>
    <w:rsid w:val="0018674C"/>
    <w:rsid w:val="001915B1"/>
    <w:rsid w:val="001B3FB8"/>
    <w:rsid w:val="001B4C65"/>
    <w:rsid w:val="001B7568"/>
    <w:rsid w:val="001C6BC8"/>
    <w:rsid w:val="001C78F4"/>
    <w:rsid w:val="001C7EBE"/>
    <w:rsid w:val="001D0F89"/>
    <w:rsid w:val="001D38C4"/>
    <w:rsid w:val="001D5047"/>
    <w:rsid w:val="001D5F7C"/>
    <w:rsid w:val="001D7E22"/>
    <w:rsid w:val="001E1633"/>
    <w:rsid w:val="001E166B"/>
    <w:rsid w:val="001E1BB3"/>
    <w:rsid w:val="001E5E1A"/>
    <w:rsid w:val="001F1F45"/>
    <w:rsid w:val="002057B6"/>
    <w:rsid w:val="0020698D"/>
    <w:rsid w:val="00210340"/>
    <w:rsid w:val="00215651"/>
    <w:rsid w:val="002166CD"/>
    <w:rsid w:val="00223717"/>
    <w:rsid w:val="002248A7"/>
    <w:rsid w:val="002304C9"/>
    <w:rsid w:val="00230A4E"/>
    <w:rsid w:val="00231A99"/>
    <w:rsid w:val="00235D87"/>
    <w:rsid w:val="00240CB3"/>
    <w:rsid w:val="00242862"/>
    <w:rsid w:val="0024397C"/>
    <w:rsid w:val="002449D4"/>
    <w:rsid w:val="00244ABA"/>
    <w:rsid w:val="002476CB"/>
    <w:rsid w:val="00253925"/>
    <w:rsid w:val="00255BF1"/>
    <w:rsid w:val="00266A5F"/>
    <w:rsid w:val="00272CC5"/>
    <w:rsid w:val="00274D27"/>
    <w:rsid w:val="00276043"/>
    <w:rsid w:val="00276FDB"/>
    <w:rsid w:val="0029062D"/>
    <w:rsid w:val="00290F54"/>
    <w:rsid w:val="00297759"/>
    <w:rsid w:val="002B0614"/>
    <w:rsid w:val="002C6CEF"/>
    <w:rsid w:val="002D1364"/>
    <w:rsid w:val="002E0F2B"/>
    <w:rsid w:val="002F2596"/>
    <w:rsid w:val="002F5AD4"/>
    <w:rsid w:val="002F6089"/>
    <w:rsid w:val="002F7074"/>
    <w:rsid w:val="002F73A6"/>
    <w:rsid w:val="00300BCC"/>
    <w:rsid w:val="003112D3"/>
    <w:rsid w:val="00311656"/>
    <w:rsid w:val="00312B7F"/>
    <w:rsid w:val="003155DE"/>
    <w:rsid w:val="00320A53"/>
    <w:rsid w:val="003216F9"/>
    <w:rsid w:val="00324390"/>
    <w:rsid w:val="003307C1"/>
    <w:rsid w:val="00330FF4"/>
    <w:rsid w:val="0033306D"/>
    <w:rsid w:val="00334B8C"/>
    <w:rsid w:val="00337B1D"/>
    <w:rsid w:val="00351CD6"/>
    <w:rsid w:val="003546AE"/>
    <w:rsid w:val="0036030D"/>
    <w:rsid w:val="00361A11"/>
    <w:rsid w:val="003620F4"/>
    <w:rsid w:val="0036666D"/>
    <w:rsid w:val="00370C32"/>
    <w:rsid w:val="0038620C"/>
    <w:rsid w:val="00393134"/>
    <w:rsid w:val="00394659"/>
    <w:rsid w:val="003A0A11"/>
    <w:rsid w:val="003A294A"/>
    <w:rsid w:val="003A43D2"/>
    <w:rsid w:val="003A49AB"/>
    <w:rsid w:val="003B2AFD"/>
    <w:rsid w:val="003B3E83"/>
    <w:rsid w:val="003B41BA"/>
    <w:rsid w:val="003B5EC5"/>
    <w:rsid w:val="003C10FD"/>
    <w:rsid w:val="003C2A11"/>
    <w:rsid w:val="003C5B41"/>
    <w:rsid w:val="003C78A8"/>
    <w:rsid w:val="003D022F"/>
    <w:rsid w:val="003D74A9"/>
    <w:rsid w:val="003E2FAE"/>
    <w:rsid w:val="003E7173"/>
    <w:rsid w:val="003F226B"/>
    <w:rsid w:val="003F3B21"/>
    <w:rsid w:val="003F6A7A"/>
    <w:rsid w:val="0040184C"/>
    <w:rsid w:val="00401B1B"/>
    <w:rsid w:val="00417723"/>
    <w:rsid w:val="00417C18"/>
    <w:rsid w:val="00420583"/>
    <w:rsid w:val="004271CD"/>
    <w:rsid w:val="004412F6"/>
    <w:rsid w:val="00444D30"/>
    <w:rsid w:val="00444DE9"/>
    <w:rsid w:val="0044545D"/>
    <w:rsid w:val="00446F0E"/>
    <w:rsid w:val="00454881"/>
    <w:rsid w:val="004550C3"/>
    <w:rsid w:val="004605D5"/>
    <w:rsid w:val="004648F2"/>
    <w:rsid w:val="00472BFE"/>
    <w:rsid w:val="0047683E"/>
    <w:rsid w:val="00477DE7"/>
    <w:rsid w:val="004811D1"/>
    <w:rsid w:val="0048417C"/>
    <w:rsid w:val="00492543"/>
    <w:rsid w:val="00493E6C"/>
    <w:rsid w:val="004960CE"/>
    <w:rsid w:val="004A0C6C"/>
    <w:rsid w:val="004B001C"/>
    <w:rsid w:val="004D0C2A"/>
    <w:rsid w:val="004D56BC"/>
    <w:rsid w:val="004D7695"/>
    <w:rsid w:val="004D7C70"/>
    <w:rsid w:val="004E13F1"/>
    <w:rsid w:val="004E3445"/>
    <w:rsid w:val="004E37F2"/>
    <w:rsid w:val="004E4CA6"/>
    <w:rsid w:val="004E66C5"/>
    <w:rsid w:val="004F7CB2"/>
    <w:rsid w:val="00500D93"/>
    <w:rsid w:val="00502043"/>
    <w:rsid w:val="0050663E"/>
    <w:rsid w:val="005106EA"/>
    <w:rsid w:val="00511E8D"/>
    <w:rsid w:val="00512A81"/>
    <w:rsid w:val="00522043"/>
    <w:rsid w:val="005234E2"/>
    <w:rsid w:val="0052402F"/>
    <w:rsid w:val="00527A8B"/>
    <w:rsid w:val="00531E26"/>
    <w:rsid w:val="00534A2A"/>
    <w:rsid w:val="00537344"/>
    <w:rsid w:val="00537908"/>
    <w:rsid w:val="005421B8"/>
    <w:rsid w:val="0055051C"/>
    <w:rsid w:val="00551B47"/>
    <w:rsid w:val="005520B9"/>
    <w:rsid w:val="005522DD"/>
    <w:rsid w:val="0055345C"/>
    <w:rsid w:val="00555592"/>
    <w:rsid w:val="005561B4"/>
    <w:rsid w:val="00561FE8"/>
    <w:rsid w:val="005659B9"/>
    <w:rsid w:val="0056664F"/>
    <w:rsid w:val="00566D2B"/>
    <w:rsid w:val="00570EC4"/>
    <w:rsid w:val="00572AE6"/>
    <w:rsid w:val="00573D28"/>
    <w:rsid w:val="00582A9E"/>
    <w:rsid w:val="005872E2"/>
    <w:rsid w:val="00590973"/>
    <w:rsid w:val="00597D64"/>
    <w:rsid w:val="005A06A0"/>
    <w:rsid w:val="005A1FD9"/>
    <w:rsid w:val="005A267A"/>
    <w:rsid w:val="005A79C8"/>
    <w:rsid w:val="005B3EF7"/>
    <w:rsid w:val="005B79EF"/>
    <w:rsid w:val="005C3327"/>
    <w:rsid w:val="005C513D"/>
    <w:rsid w:val="005D02AB"/>
    <w:rsid w:val="005D3883"/>
    <w:rsid w:val="005D388A"/>
    <w:rsid w:val="005E173E"/>
    <w:rsid w:val="005E1F24"/>
    <w:rsid w:val="005F419E"/>
    <w:rsid w:val="005F7460"/>
    <w:rsid w:val="006005D9"/>
    <w:rsid w:val="006029E9"/>
    <w:rsid w:val="00603E63"/>
    <w:rsid w:val="0060535F"/>
    <w:rsid w:val="00607755"/>
    <w:rsid w:val="006165EE"/>
    <w:rsid w:val="00622C1F"/>
    <w:rsid w:val="00626D79"/>
    <w:rsid w:val="0063444E"/>
    <w:rsid w:val="00635326"/>
    <w:rsid w:val="0063794D"/>
    <w:rsid w:val="0064140F"/>
    <w:rsid w:val="006452AA"/>
    <w:rsid w:val="00653379"/>
    <w:rsid w:val="00665197"/>
    <w:rsid w:val="00673096"/>
    <w:rsid w:val="006767DC"/>
    <w:rsid w:val="00677995"/>
    <w:rsid w:val="00681489"/>
    <w:rsid w:val="0068193A"/>
    <w:rsid w:val="00694B5E"/>
    <w:rsid w:val="006A4C94"/>
    <w:rsid w:val="006A5915"/>
    <w:rsid w:val="006A5CEB"/>
    <w:rsid w:val="006C2DAF"/>
    <w:rsid w:val="006C4CBA"/>
    <w:rsid w:val="006D1892"/>
    <w:rsid w:val="006E1685"/>
    <w:rsid w:val="006E28D9"/>
    <w:rsid w:val="006E39FC"/>
    <w:rsid w:val="006F0CF0"/>
    <w:rsid w:val="006F4739"/>
    <w:rsid w:val="006F4D0E"/>
    <w:rsid w:val="00703EB8"/>
    <w:rsid w:val="00707190"/>
    <w:rsid w:val="00707F18"/>
    <w:rsid w:val="00713C5C"/>
    <w:rsid w:val="007142E8"/>
    <w:rsid w:val="007251D1"/>
    <w:rsid w:val="007264C4"/>
    <w:rsid w:val="00734D44"/>
    <w:rsid w:val="00734E3F"/>
    <w:rsid w:val="00735AFD"/>
    <w:rsid w:val="0074399B"/>
    <w:rsid w:val="00745D8C"/>
    <w:rsid w:val="00756901"/>
    <w:rsid w:val="007753C4"/>
    <w:rsid w:val="00783E01"/>
    <w:rsid w:val="00785744"/>
    <w:rsid w:val="007940E5"/>
    <w:rsid w:val="00795577"/>
    <w:rsid w:val="007A3A49"/>
    <w:rsid w:val="007A3E8A"/>
    <w:rsid w:val="007B06DE"/>
    <w:rsid w:val="007B2FE7"/>
    <w:rsid w:val="007B3BF3"/>
    <w:rsid w:val="007B4FE6"/>
    <w:rsid w:val="007B54F1"/>
    <w:rsid w:val="007E0DEC"/>
    <w:rsid w:val="007E234F"/>
    <w:rsid w:val="007E3502"/>
    <w:rsid w:val="007F18DF"/>
    <w:rsid w:val="007F3C3B"/>
    <w:rsid w:val="007F5D12"/>
    <w:rsid w:val="008027F2"/>
    <w:rsid w:val="008123A8"/>
    <w:rsid w:val="00822029"/>
    <w:rsid w:val="00823B3E"/>
    <w:rsid w:val="00823D23"/>
    <w:rsid w:val="008261EF"/>
    <w:rsid w:val="00832340"/>
    <w:rsid w:val="008441A0"/>
    <w:rsid w:val="00844887"/>
    <w:rsid w:val="00850492"/>
    <w:rsid w:val="00850762"/>
    <w:rsid w:val="00850FF9"/>
    <w:rsid w:val="008523D8"/>
    <w:rsid w:val="008573D9"/>
    <w:rsid w:val="00864C8C"/>
    <w:rsid w:val="00864D0B"/>
    <w:rsid w:val="0088022E"/>
    <w:rsid w:val="008904B4"/>
    <w:rsid w:val="008961D6"/>
    <w:rsid w:val="008A2310"/>
    <w:rsid w:val="008B446A"/>
    <w:rsid w:val="008B5648"/>
    <w:rsid w:val="008C4CD3"/>
    <w:rsid w:val="008E4F38"/>
    <w:rsid w:val="008F134A"/>
    <w:rsid w:val="00902C05"/>
    <w:rsid w:val="00906023"/>
    <w:rsid w:val="0090758B"/>
    <w:rsid w:val="0092325A"/>
    <w:rsid w:val="009237C2"/>
    <w:rsid w:val="0092410E"/>
    <w:rsid w:val="00924566"/>
    <w:rsid w:val="00926C2E"/>
    <w:rsid w:val="00927065"/>
    <w:rsid w:val="00936073"/>
    <w:rsid w:val="00963B88"/>
    <w:rsid w:val="00967C31"/>
    <w:rsid w:val="0097004A"/>
    <w:rsid w:val="009711ED"/>
    <w:rsid w:val="00976F03"/>
    <w:rsid w:val="0098480A"/>
    <w:rsid w:val="009851A9"/>
    <w:rsid w:val="009906C9"/>
    <w:rsid w:val="00993D65"/>
    <w:rsid w:val="009A6E4F"/>
    <w:rsid w:val="009B468B"/>
    <w:rsid w:val="009B6169"/>
    <w:rsid w:val="009C0FE0"/>
    <w:rsid w:val="009C25BD"/>
    <w:rsid w:val="009C6605"/>
    <w:rsid w:val="009D2386"/>
    <w:rsid w:val="009D7829"/>
    <w:rsid w:val="009E691A"/>
    <w:rsid w:val="009F4B20"/>
    <w:rsid w:val="009F7EB4"/>
    <w:rsid w:val="00A00964"/>
    <w:rsid w:val="00A0137E"/>
    <w:rsid w:val="00A0382B"/>
    <w:rsid w:val="00A062A3"/>
    <w:rsid w:val="00A1011F"/>
    <w:rsid w:val="00A32A02"/>
    <w:rsid w:val="00A34322"/>
    <w:rsid w:val="00A46ED2"/>
    <w:rsid w:val="00A51236"/>
    <w:rsid w:val="00A74442"/>
    <w:rsid w:val="00A775ED"/>
    <w:rsid w:val="00A84D4C"/>
    <w:rsid w:val="00AA32B2"/>
    <w:rsid w:val="00AB2A1C"/>
    <w:rsid w:val="00AB3D52"/>
    <w:rsid w:val="00AB4D59"/>
    <w:rsid w:val="00AC295C"/>
    <w:rsid w:val="00AD091A"/>
    <w:rsid w:val="00AF0549"/>
    <w:rsid w:val="00AF4B62"/>
    <w:rsid w:val="00AF5CAD"/>
    <w:rsid w:val="00B003E8"/>
    <w:rsid w:val="00B01426"/>
    <w:rsid w:val="00B1062F"/>
    <w:rsid w:val="00B221F8"/>
    <w:rsid w:val="00B3634F"/>
    <w:rsid w:val="00B37218"/>
    <w:rsid w:val="00B37BEC"/>
    <w:rsid w:val="00B40DD3"/>
    <w:rsid w:val="00B5055B"/>
    <w:rsid w:val="00B74D3B"/>
    <w:rsid w:val="00B861D3"/>
    <w:rsid w:val="00B91384"/>
    <w:rsid w:val="00B94A91"/>
    <w:rsid w:val="00B96BDB"/>
    <w:rsid w:val="00BA56AC"/>
    <w:rsid w:val="00BC27EA"/>
    <w:rsid w:val="00BC2826"/>
    <w:rsid w:val="00BC3BC9"/>
    <w:rsid w:val="00BE131E"/>
    <w:rsid w:val="00BE4812"/>
    <w:rsid w:val="00BF2DC9"/>
    <w:rsid w:val="00BF388C"/>
    <w:rsid w:val="00BF4AEC"/>
    <w:rsid w:val="00BF7322"/>
    <w:rsid w:val="00C01F32"/>
    <w:rsid w:val="00C02599"/>
    <w:rsid w:val="00C10200"/>
    <w:rsid w:val="00C116EE"/>
    <w:rsid w:val="00C1173F"/>
    <w:rsid w:val="00C12BEB"/>
    <w:rsid w:val="00C15BC9"/>
    <w:rsid w:val="00C16A7F"/>
    <w:rsid w:val="00C17BF8"/>
    <w:rsid w:val="00C265C4"/>
    <w:rsid w:val="00C34B8D"/>
    <w:rsid w:val="00C363B5"/>
    <w:rsid w:val="00C36623"/>
    <w:rsid w:val="00C3674A"/>
    <w:rsid w:val="00C367E4"/>
    <w:rsid w:val="00C36ADF"/>
    <w:rsid w:val="00C40130"/>
    <w:rsid w:val="00C4067E"/>
    <w:rsid w:val="00C410D3"/>
    <w:rsid w:val="00C5135A"/>
    <w:rsid w:val="00C52A0F"/>
    <w:rsid w:val="00C55C72"/>
    <w:rsid w:val="00C62345"/>
    <w:rsid w:val="00C676C4"/>
    <w:rsid w:val="00C705FD"/>
    <w:rsid w:val="00C7623B"/>
    <w:rsid w:val="00C82E9F"/>
    <w:rsid w:val="00C8629E"/>
    <w:rsid w:val="00C902BE"/>
    <w:rsid w:val="00C908CB"/>
    <w:rsid w:val="00C93356"/>
    <w:rsid w:val="00C97657"/>
    <w:rsid w:val="00CA189C"/>
    <w:rsid w:val="00CA70E7"/>
    <w:rsid w:val="00CA7316"/>
    <w:rsid w:val="00CB0703"/>
    <w:rsid w:val="00CB1BBA"/>
    <w:rsid w:val="00CB5EAF"/>
    <w:rsid w:val="00CB66E4"/>
    <w:rsid w:val="00CC5EED"/>
    <w:rsid w:val="00CD556C"/>
    <w:rsid w:val="00CD5879"/>
    <w:rsid w:val="00CD7849"/>
    <w:rsid w:val="00CE19B7"/>
    <w:rsid w:val="00CE381E"/>
    <w:rsid w:val="00CE6196"/>
    <w:rsid w:val="00CE6FB9"/>
    <w:rsid w:val="00CE7F72"/>
    <w:rsid w:val="00CF73A2"/>
    <w:rsid w:val="00D074AC"/>
    <w:rsid w:val="00D109C7"/>
    <w:rsid w:val="00D14CE8"/>
    <w:rsid w:val="00D2503D"/>
    <w:rsid w:val="00D315BB"/>
    <w:rsid w:val="00D40B90"/>
    <w:rsid w:val="00D41B2A"/>
    <w:rsid w:val="00D45E77"/>
    <w:rsid w:val="00D4725A"/>
    <w:rsid w:val="00D50C6A"/>
    <w:rsid w:val="00D61D3E"/>
    <w:rsid w:val="00D64C9F"/>
    <w:rsid w:val="00D77873"/>
    <w:rsid w:val="00D87044"/>
    <w:rsid w:val="00D910ED"/>
    <w:rsid w:val="00D9566D"/>
    <w:rsid w:val="00D95AC1"/>
    <w:rsid w:val="00DA623B"/>
    <w:rsid w:val="00DA6680"/>
    <w:rsid w:val="00DA6C50"/>
    <w:rsid w:val="00DB4027"/>
    <w:rsid w:val="00DC09B0"/>
    <w:rsid w:val="00DC0EF2"/>
    <w:rsid w:val="00DC27D5"/>
    <w:rsid w:val="00DC5545"/>
    <w:rsid w:val="00DC6014"/>
    <w:rsid w:val="00DD0005"/>
    <w:rsid w:val="00DD4564"/>
    <w:rsid w:val="00DD4FCA"/>
    <w:rsid w:val="00DD5490"/>
    <w:rsid w:val="00DE23BD"/>
    <w:rsid w:val="00DE752B"/>
    <w:rsid w:val="00DE78AE"/>
    <w:rsid w:val="00DF5012"/>
    <w:rsid w:val="00DF5232"/>
    <w:rsid w:val="00DF5593"/>
    <w:rsid w:val="00DF59B7"/>
    <w:rsid w:val="00E03255"/>
    <w:rsid w:val="00E051A4"/>
    <w:rsid w:val="00E10EB6"/>
    <w:rsid w:val="00E10FF4"/>
    <w:rsid w:val="00E12ED4"/>
    <w:rsid w:val="00E15229"/>
    <w:rsid w:val="00E21718"/>
    <w:rsid w:val="00E22778"/>
    <w:rsid w:val="00E22D83"/>
    <w:rsid w:val="00E2544D"/>
    <w:rsid w:val="00E27D4B"/>
    <w:rsid w:val="00E348EA"/>
    <w:rsid w:val="00E34E08"/>
    <w:rsid w:val="00E353D8"/>
    <w:rsid w:val="00E461FD"/>
    <w:rsid w:val="00E53C59"/>
    <w:rsid w:val="00E542D7"/>
    <w:rsid w:val="00E54FB3"/>
    <w:rsid w:val="00E559FC"/>
    <w:rsid w:val="00E55A8C"/>
    <w:rsid w:val="00E61E2B"/>
    <w:rsid w:val="00E61F4B"/>
    <w:rsid w:val="00E66F63"/>
    <w:rsid w:val="00E73AC1"/>
    <w:rsid w:val="00E7678B"/>
    <w:rsid w:val="00E85964"/>
    <w:rsid w:val="00E95212"/>
    <w:rsid w:val="00E9685C"/>
    <w:rsid w:val="00E96B19"/>
    <w:rsid w:val="00E975B6"/>
    <w:rsid w:val="00EA09C9"/>
    <w:rsid w:val="00EA105A"/>
    <w:rsid w:val="00EA36C0"/>
    <w:rsid w:val="00EA42D6"/>
    <w:rsid w:val="00EA5F78"/>
    <w:rsid w:val="00EB2163"/>
    <w:rsid w:val="00EB2E12"/>
    <w:rsid w:val="00EB4357"/>
    <w:rsid w:val="00EB63A5"/>
    <w:rsid w:val="00EC3B1A"/>
    <w:rsid w:val="00EC64BA"/>
    <w:rsid w:val="00EC693E"/>
    <w:rsid w:val="00ED3FB1"/>
    <w:rsid w:val="00ED66DF"/>
    <w:rsid w:val="00ED7A32"/>
    <w:rsid w:val="00EE3CB0"/>
    <w:rsid w:val="00EE4EFC"/>
    <w:rsid w:val="00EE75E0"/>
    <w:rsid w:val="00F0180A"/>
    <w:rsid w:val="00F03806"/>
    <w:rsid w:val="00F05275"/>
    <w:rsid w:val="00F17038"/>
    <w:rsid w:val="00F22788"/>
    <w:rsid w:val="00F25702"/>
    <w:rsid w:val="00F267CA"/>
    <w:rsid w:val="00F278B6"/>
    <w:rsid w:val="00F27F09"/>
    <w:rsid w:val="00F31D55"/>
    <w:rsid w:val="00F34215"/>
    <w:rsid w:val="00F347ED"/>
    <w:rsid w:val="00F41393"/>
    <w:rsid w:val="00F5371C"/>
    <w:rsid w:val="00F57C5E"/>
    <w:rsid w:val="00F717EC"/>
    <w:rsid w:val="00F7198D"/>
    <w:rsid w:val="00F71CEA"/>
    <w:rsid w:val="00F73BEC"/>
    <w:rsid w:val="00F74185"/>
    <w:rsid w:val="00F76B32"/>
    <w:rsid w:val="00F76FC1"/>
    <w:rsid w:val="00F77387"/>
    <w:rsid w:val="00F8611E"/>
    <w:rsid w:val="00F94857"/>
    <w:rsid w:val="00F96385"/>
    <w:rsid w:val="00FA23D1"/>
    <w:rsid w:val="00FA5109"/>
    <w:rsid w:val="00FB543B"/>
    <w:rsid w:val="00FB7F5C"/>
    <w:rsid w:val="00FC12DA"/>
    <w:rsid w:val="00FC7969"/>
    <w:rsid w:val="00FD752C"/>
    <w:rsid w:val="00FE1A49"/>
    <w:rsid w:val="00FE4AAF"/>
    <w:rsid w:val="00FE4F45"/>
    <w:rsid w:val="00FE5A6F"/>
    <w:rsid w:val="00FE70D4"/>
    <w:rsid w:val="00FE7D19"/>
    <w:rsid w:val="00FF1CC5"/>
    <w:rsid w:val="00FF6A06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5CDD52"/>
  <w15:chartTrackingRefBased/>
  <w15:docId w15:val="{8FEF2F4D-5680-764A-A72E-FCAF1B1B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6F9"/>
    <w:rPr>
      <w:rFonts w:ascii="Times New Roman" w:eastAsia="Times New Roman" w:hAnsi="Times New Roman" w:cs="Times New Roman"/>
      <w:kern w:val="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210340"/>
    <w:rPr>
      <w:rFonts w:eastAsia="MS Mincho"/>
      <w:kern w:val="0"/>
      <w:szCs w:val="20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210340"/>
    <w:rPr>
      <w:rFonts w:ascii="Times New Roman" w:eastAsia="MS Mincho" w:hAnsi="Times New Roman" w:cs="Times New Roman"/>
      <w:szCs w:val="20"/>
    </w:rPr>
  </w:style>
  <w:style w:type="character" w:styleId="Hyperlink">
    <w:name w:val="Hyperlink"/>
    <w:basedOn w:val="DefaultParagraphFont"/>
    <w:uiPriority w:val="99"/>
    <w:unhideWhenUsed/>
    <w:rsid w:val="0021034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03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03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0340"/>
    <w:rPr>
      <w:rFonts w:ascii="Times New Roman" w:eastAsia="ＭＳ 明朝 (Theme Body Asian)" w:hAnsi="Times New Roman" w:cs="Times New Roman"/>
      <w:kern w:val="2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3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340"/>
    <w:rPr>
      <w:rFonts w:ascii="Times New Roman" w:eastAsia="ＭＳ 明朝 (Theme Body Asian)" w:hAnsi="Times New Roman" w:cs="Times New Roman"/>
      <w:b/>
      <w:bCs/>
      <w:kern w:val="2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340"/>
    <w:rPr>
      <w:rFonts w:ascii="Tahoma" w:eastAsia="ＭＳ 明朝 (Theme Body Asian)" w:hAnsi="Tahoma" w:cs="Tahoma"/>
      <w:kern w:val="2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1034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1034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10340"/>
    <w:rPr>
      <w:rFonts w:ascii="Times New Roman" w:eastAsia="ＭＳ 明朝 (Theme Body Asian)" w:hAnsi="Times New Roman" w:cs="Times New Roman"/>
      <w:kern w:val="2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034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0340"/>
    <w:rPr>
      <w:rFonts w:ascii="Consolas" w:eastAsia="ＭＳ 明朝 (Theme Body Asian)" w:hAnsi="Consolas" w:cs="Consolas"/>
      <w:kern w:val="2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1034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0340"/>
    <w:rPr>
      <w:rFonts w:ascii="Times New Roman" w:eastAsia="ＭＳ 明朝 (Theme Body Asian)" w:hAnsi="Times New Roman" w:cs="Times New Roman"/>
      <w:kern w:val="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210340"/>
  </w:style>
  <w:style w:type="paragraph" w:styleId="Header">
    <w:name w:val="header"/>
    <w:basedOn w:val="Normal"/>
    <w:link w:val="HeaderChar"/>
    <w:uiPriority w:val="99"/>
    <w:unhideWhenUsed/>
    <w:rsid w:val="0021034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0340"/>
    <w:rPr>
      <w:rFonts w:ascii="Times New Roman" w:eastAsia="ＭＳ 明朝 (Theme Body Asian)" w:hAnsi="Times New Roman" w:cs="Times New Roman"/>
      <w:kern w:val="2"/>
      <w:lang w:eastAsia="en-US"/>
    </w:rPr>
  </w:style>
  <w:style w:type="table" w:styleId="TableGrid">
    <w:name w:val="Table Grid"/>
    <w:basedOn w:val="TableNormal"/>
    <w:uiPriority w:val="59"/>
    <w:rsid w:val="00210340"/>
    <w:rPr>
      <w:rFonts w:ascii="Times New Roman" w:eastAsia="ＭＳ 明朝 (Theme Body Asian)" w:hAnsi="Times New Roman" w:cs="Times New Roman"/>
      <w:kern w:val="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1">
    <w:name w:val="Body Text Char1"/>
    <w:basedOn w:val="DefaultParagraphFont"/>
    <w:uiPriority w:val="99"/>
    <w:semiHidden/>
    <w:rsid w:val="00210340"/>
  </w:style>
  <w:style w:type="character" w:customStyle="1" w:styleId="HTMLPreformattedChar1">
    <w:name w:val="HTML Preformatted Char1"/>
    <w:basedOn w:val="DefaultParagraphFont"/>
    <w:uiPriority w:val="99"/>
    <w:semiHidden/>
    <w:rsid w:val="00210340"/>
    <w:rPr>
      <w:rFonts w:ascii="Courier" w:hAnsi="Courier"/>
      <w:sz w:val="20"/>
      <w:szCs w:val="20"/>
    </w:rPr>
  </w:style>
  <w:style w:type="character" w:customStyle="1" w:styleId="FooterChar1">
    <w:name w:val="Footer Char1"/>
    <w:basedOn w:val="DefaultParagraphFont"/>
    <w:uiPriority w:val="99"/>
    <w:semiHidden/>
    <w:rsid w:val="00210340"/>
  </w:style>
  <w:style w:type="character" w:customStyle="1" w:styleId="HeaderChar1">
    <w:name w:val="Header Char1"/>
    <w:basedOn w:val="DefaultParagraphFont"/>
    <w:uiPriority w:val="99"/>
    <w:semiHidden/>
    <w:rsid w:val="00210340"/>
  </w:style>
  <w:style w:type="character" w:customStyle="1" w:styleId="CommentSubjectChar1">
    <w:name w:val="Comment Subject Char1"/>
    <w:basedOn w:val="CommentTextChar"/>
    <w:uiPriority w:val="99"/>
    <w:semiHidden/>
    <w:rsid w:val="00210340"/>
    <w:rPr>
      <w:rFonts w:ascii="Times New Roman" w:eastAsia="ＭＳ 明朝 (Theme Body Asian)" w:hAnsi="Times New Roman" w:cs="Times New Roman"/>
      <w:b/>
      <w:bCs/>
      <w:kern w:val="2"/>
      <w:sz w:val="20"/>
      <w:szCs w:val="20"/>
      <w:lang w:eastAsia="en-US"/>
    </w:rPr>
  </w:style>
  <w:style w:type="paragraph" w:styleId="NormalWeb">
    <w:name w:val="Normal (Web)"/>
    <w:basedOn w:val="Normal"/>
    <w:uiPriority w:val="99"/>
    <w:unhideWhenUsed/>
    <w:rsid w:val="00210340"/>
    <w:pPr>
      <w:spacing w:before="100" w:beforeAutospacing="1" w:after="100" w:afterAutospacing="1"/>
    </w:pPr>
    <w:rPr>
      <w:rFonts w:ascii="Times" w:hAnsi="Times"/>
      <w:kern w:val="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210340"/>
    <w:rPr>
      <w:i/>
      <w:iCs/>
      <w:color w:val="808080" w:themeColor="text1" w:themeTint="7F"/>
    </w:rPr>
  </w:style>
  <w:style w:type="character" w:styleId="UnresolvedMention">
    <w:name w:val="Unresolved Mention"/>
    <w:basedOn w:val="DefaultParagraphFont"/>
    <w:uiPriority w:val="99"/>
    <w:semiHidden/>
    <w:unhideWhenUsed/>
    <w:rsid w:val="00210340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210340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210340"/>
    <w:rPr>
      <w:rFonts w:ascii="Times New Roman" w:eastAsia="ＭＳ 明朝 (Theme Body Asian)" w:hAnsi="Times New Roman" w:cs="Times New Roman"/>
      <w:kern w:val="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210340"/>
  </w:style>
  <w:style w:type="character" w:customStyle="1" w:styleId="EndNoteBibliographyChar">
    <w:name w:val="EndNote Bibliography Char"/>
    <w:basedOn w:val="DefaultParagraphFont"/>
    <w:link w:val="EndNoteBibliography"/>
    <w:rsid w:val="00210340"/>
    <w:rPr>
      <w:rFonts w:ascii="Times New Roman" w:eastAsia="ＭＳ 明朝 (Theme Body Asian)" w:hAnsi="Times New Roman" w:cs="Times New Roman"/>
      <w:kern w:val="2"/>
      <w:lang w:eastAsia="en-US"/>
    </w:rPr>
  </w:style>
  <w:style w:type="character" w:customStyle="1" w:styleId="apple-converted-space">
    <w:name w:val="apple-converted-space"/>
    <w:basedOn w:val="DefaultParagraphFont"/>
    <w:rsid w:val="00CA70E7"/>
  </w:style>
  <w:style w:type="table" w:styleId="TableGridLight">
    <w:name w:val="Grid Table Light"/>
    <w:basedOn w:val="TableNormal"/>
    <w:uiPriority w:val="40"/>
    <w:rsid w:val="00CE1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yle1">
    <w:name w:val="Style1"/>
    <w:basedOn w:val="Normal"/>
    <w:qFormat/>
    <w:rsid w:val="003216F9"/>
    <w:rPr>
      <w:b/>
      <w:sz w:val="28"/>
      <w:szCs w:val="28"/>
    </w:rPr>
  </w:style>
  <w:style w:type="paragraph" w:customStyle="1" w:styleId="Style2">
    <w:name w:val="Style2"/>
    <w:basedOn w:val="Normal"/>
    <w:qFormat/>
    <w:rsid w:val="003216F9"/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9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0AB4AF-0A14-415A-B410-00EA3BE5C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Takahiro Mori</dc:creator>
  <cp:keywords/>
  <dc:description/>
  <cp:lastModifiedBy>Takahiro Mori</cp:lastModifiedBy>
  <cp:revision>3</cp:revision>
  <dcterms:created xsi:type="dcterms:W3CDTF">2021-04-05T00:29:00Z</dcterms:created>
  <dcterms:modified xsi:type="dcterms:W3CDTF">2021-04-05T00:31:00Z</dcterms:modified>
</cp:coreProperties>
</file>