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6127E" w14:textId="481C748D" w:rsidR="005875C1" w:rsidRDefault="005875C1" w:rsidP="005875C1">
      <w:pPr>
        <w:rPr>
          <w:rFonts w:ascii="Times New Roman" w:eastAsia="Times New Roman" w:hAnsi="Times New Roman" w:cs="Times New Roman"/>
          <w:color w:val="333333"/>
          <w:spacing w:val="2"/>
          <w:lang w:val="en"/>
        </w:rPr>
      </w:pPr>
      <w:r w:rsidRPr="005875C1">
        <w:rPr>
          <w:rFonts w:ascii="Times New Roman" w:eastAsia="Times New Roman" w:hAnsi="Times New Roman" w:cs="Times New Roman"/>
          <w:color w:val="333333"/>
          <w:spacing w:val="2"/>
          <w:lang w:val="en"/>
        </w:rPr>
        <w:t>Osteoporosis-specific checklist</w:t>
      </w:r>
      <w:r w:rsidR="00AE295C">
        <w:rPr>
          <w:rFonts w:ascii="Times New Roman" w:eastAsia="Times New Roman" w:hAnsi="Times New Roman" w:cs="Times New Roman"/>
          <w:color w:val="333333"/>
          <w:spacing w:val="2"/>
          <w:lang w:val="en"/>
        </w:rPr>
        <w:t xml:space="preserve">: </w:t>
      </w:r>
      <w:r w:rsidRPr="005875C1">
        <w:rPr>
          <w:rFonts w:ascii="Times New Roman" w:eastAsia="Times New Roman" w:hAnsi="Times New Roman" w:cs="Times New Roman"/>
          <w:color w:val="333333"/>
          <w:spacing w:val="2"/>
          <w:lang w:val="en"/>
        </w:rPr>
        <w:t>specific items to include when reporting economic evaluations on osteoporosi</w:t>
      </w:r>
      <w:r w:rsidR="00361331">
        <w:rPr>
          <w:rFonts w:ascii="Times New Roman" w:eastAsia="Times New Roman" w:hAnsi="Times New Roman" w:cs="Times New Roman"/>
          <w:color w:val="333333"/>
          <w:spacing w:val="2"/>
          <w:lang w:val="en"/>
        </w:rPr>
        <w:t>s</w:t>
      </w:r>
    </w:p>
    <w:p w14:paraId="66F0514D" w14:textId="77777777" w:rsidR="00361331" w:rsidRPr="005875C1" w:rsidRDefault="00361331" w:rsidP="005875C1">
      <w:pPr>
        <w:rPr>
          <w:rFonts w:ascii="Times New Roman" w:eastAsia="Times New Roman" w:hAnsi="Times New Roman" w:cs="Times New Roman"/>
          <w:color w:val="333333"/>
          <w:spacing w:val="2"/>
          <w:lang w:val="en"/>
        </w:rPr>
      </w:pPr>
    </w:p>
    <w:tbl>
      <w:tblPr>
        <w:tblStyle w:val="TableGridLight"/>
        <w:tblW w:w="8923" w:type="dxa"/>
        <w:tblLook w:val="04A0" w:firstRow="1" w:lastRow="0" w:firstColumn="1" w:lastColumn="0" w:noHBand="0" w:noVBand="1"/>
      </w:tblPr>
      <w:tblGrid>
        <w:gridCol w:w="2513"/>
        <w:gridCol w:w="696"/>
        <w:gridCol w:w="3487"/>
        <w:gridCol w:w="2227"/>
      </w:tblGrid>
      <w:tr w:rsidR="005875C1" w:rsidRPr="005875C1" w14:paraId="68F278C1" w14:textId="77777777" w:rsidTr="007F349A">
        <w:trPr>
          <w:trHeight w:val="779"/>
        </w:trPr>
        <w:tc>
          <w:tcPr>
            <w:tcW w:w="2544" w:type="dxa"/>
            <w:hideMark/>
          </w:tcPr>
          <w:p w14:paraId="2C6BD589" w14:textId="77777777" w:rsidR="005875C1" w:rsidRPr="005875C1" w:rsidRDefault="005875C1" w:rsidP="005875C1">
            <w:pPr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r w:rsidRPr="005875C1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Item</w:t>
            </w:r>
          </w:p>
        </w:tc>
        <w:tc>
          <w:tcPr>
            <w:tcW w:w="567" w:type="dxa"/>
            <w:hideMark/>
          </w:tcPr>
          <w:p w14:paraId="3FEBA516" w14:textId="77777777" w:rsidR="005875C1" w:rsidRPr="005875C1" w:rsidRDefault="005875C1" w:rsidP="005875C1">
            <w:pPr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r w:rsidRPr="005875C1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Item no.</w:t>
            </w:r>
          </w:p>
        </w:tc>
        <w:tc>
          <w:tcPr>
            <w:tcW w:w="3544" w:type="dxa"/>
            <w:hideMark/>
          </w:tcPr>
          <w:p w14:paraId="4E291F4C" w14:textId="77777777" w:rsidR="005875C1" w:rsidRPr="005875C1" w:rsidRDefault="005875C1" w:rsidP="005875C1">
            <w:pPr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r w:rsidRPr="005875C1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Recommendation</w:t>
            </w:r>
          </w:p>
        </w:tc>
        <w:tc>
          <w:tcPr>
            <w:tcW w:w="2268" w:type="dxa"/>
            <w:hideMark/>
          </w:tcPr>
          <w:p w14:paraId="1AA28C71" w14:textId="77777777" w:rsidR="005875C1" w:rsidRPr="005875C1" w:rsidRDefault="005875C1" w:rsidP="005875C1">
            <w:pPr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r w:rsidRPr="005875C1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Reported on page no./line no.</w:t>
            </w:r>
          </w:p>
        </w:tc>
      </w:tr>
      <w:tr w:rsidR="005875C1" w:rsidRPr="005875C1" w14:paraId="1AC61C57" w14:textId="77777777" w:rsidTr="007F349A">
        <w:trPr>
          <w:trHeight w:val="779"/>
        </w:trPr>
        <w:tc>
          <w:tcPr>
            <w:tcW w:w="2544" w:type="dxa"/>
            <w:hideMark/>
          </w:tcPr>
          <w:p w14:paraId="390F7CAC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Transition probabilities</w:t>
            </w:r>
          </w:p>
        </w:tc>
        <w:tc>
          <w:tcPr>
            <w:tcW w:w="567" w:type="dxa"/>
            <w:hideMark/>
          </w:tcPr>
          <w:p w14:paraId="222EB64A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1</w:t>
            </w:r>
          </w:p>
        </w:tc>
        <w:tc>
          <w:tcPr>
            <w:tcW w:w="3544" w:type="dxa"/>
            <w:hideMark/>
          </w:tcPr>
          <w:p w14:paraId="75140C9F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Report the transition probabilities and how they were estimated (including increased fracture risk)</w:t>
            </w:r>
          </w:p>
        </w:tc>
        <w:tc>
          <w:tcPr>
            <w:tcW w:w="2268" w:type="dxa"/>
            <w:hideMark/>
          </w:tcPr>
          <w:p w14:paraId="1D352481" w14:textId="5938A202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2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2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2</w:t>
            </w:r>
            <w:r w:rsidR="004F50FD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7DB6158B" w14:textId="77777777" w:rsidTr="007F349A">
        <w:trPr>
          <w:trHeight w:val="512"/>
        </w:trPr>
        <w:tc>
          <w:tcPr>
            <w:tcW w:w="2544" w:type="dxa"/>
            <w:hideMark/>
          </w:tcPr>
          <w:p w14:paraId="3D3A0747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Excess mortality after fractures</w:t>
            </w:r>
          </w:p>
        </w:tc>
        <w:tc>
          <w:tcPr>
            <w:tcW w:w="567" w:type="dxa"/>
            <w:hideMark/>
          </w:tcPr>
          <w:p w14:paraId="7636082E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2</w:t>
            </w:r>
          </w:p>
        </w:tc>
        <w:tc>
          <w:tcPr>
            <w:tcW w:w="3544" w:type="dxa"/>
            <w:hideMark/>
          </w:tcPr>
          <w:p w14:paraId="11E4C14D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the excess mortality after fractures</w:t>
            </w:r>
          </w:p>
        </w:tc>
        <w:tc>
          <w:tcPr>
            <w:tcW w:w="2268" w:type="dxa"/>
            <w:hideMark/>
          </w:tcPr>
          <w:p w14:paraId="0FD872BA" w14:textId="273C50B1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8E02E2">
              <w:rPr>
                <w:rFonts w:ascii="Times New Roman" w:eastAsia="Times New Roman" w:hAnsi="Times New Roman" w:cs="Times New Roman"/>
                <w:color w:val="666666"/>
              </w:rPr>
              <w:t>3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8E02E2">
              <w:rPr>
                <w:rFonts w:ascii="Times New Roman" w:eastAsia="Times New Roman" w:hAnsi="Times New Roman" w:cs="Times New Roman"/>
                <w:color w:val="666666"/>
              </w:rPr>
              <w:t>5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6CBFCFB8" w14:textId="77777777" w:rsidTr="007F349A">
        <w:trPr>
          <w:trHeight w:val="522"/>
        </w:trPr>
        <w:tc>
          <w:tcPr>
            <w:tcW w:w="2544" w:type="dxa"/>
            <w:hideMark/>
          </w:tcPr>
          <w:p w14:paraId="4D657CBE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Fractures costs</w:t>
            </w:r>
          </w:p>
        </w:tc>
        <w:tc>
          <w:tcPr>
            <w:tcW w:w="567" w:type="dxa"/>
            <w:hideMark/>
          </w:tcPr>
          <w:p w14:paraId="496F599E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3</w:t>
            </w:r>
          </w:p>
        </w:tc>
        <w:tc>
          <w:tcPr>
            <w:tcW w:w="3544" w:type="dxa"/>
            <w:hideMark/>
          </w:tcPr>
          <w:p w14:paraId="4FCDDF02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fractures costs</w:t>
            </w:r>
          </w:p>
        </w:tc>
        <w:tc>
          <w:tcPr>
            <w:tcW w:w="2268" w:type="dxa"/>
            <w:hideMark/>
          </w:tcPr>
          <w:p w14:paraId="27F13D0C" w14:textId="0546F2CF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54345E">
              <w:rPr>
                <w:rFonts w:ascii="Times New Roman" w:eastAsia="Times New Roman" w:hAnsi="Times New Roman" w:cs="Times New Roman"/>
                <w:color w:val="666666"/>
              </w:rPr>
              <w:t>5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54345E">
              <w:rPr>
                <w:rFonts w:ascii="Times New Roman" w:eastAsia="Times New Roman" w:hAnsi="Times New Roman" w:cs="Times New Roman"/>
                <w:color w:val="666666"/>
              </w:rPr>
              <w:t>27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2CDA5FC5" w14:textId="77777777" w:rsidTr="007F349A">
        <w:trPr>
          <w:trHeight w:val="512"/>
        </w:trPr>
        <w:tc>
          <w:tcPr>
            <w:tcW w:w="2544" w:type="dxa"/>
            <w:hideMark/>
          </w:tcPr>
          <w:p w14:paraId="1590C84C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Fractures effects on utility</w:t>
            </w:r>
          </w:p>
        </w:tc>
        <w:tc>
          <w:tcPr>
            <w:tcW w:w="567" w:type="dxa"/>
            <w:hideMark/>
          </w:tcPr>
          <w:p w14:paraId="6E60C839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4</w:t>
            </w:r>
          </w:p>
        </w:tc>
        <w:tc>
          <w:tcPr>
            <w:tcW w:w="3544" w:type="dxa"/>
            <w:hideMark/>
          </w:tcPr>
          <w:p w14:paraId="11EE30E4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the effects of fractures on utility</w:t>
            </w:r>
          </w:p>
        </w:tc>
        <w:tc>
          <w:tcPr>
            <w:tcW w:w="2268" w:type="dxa"/>
            <w:hideMark/>
          </w:tcPr>
          <w:p w14:paraId="79D649CE" w14:textId="411AC65B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54345E">
              <w:rPr>
                <w:rFonts w:ascii="Times New Roman" w:eastAsia="Times New Roman" w:hAnsi="Times New Roman" w:cs="Times New Roman"/>
                <w:color w:val="666666"/>
              </w:rPr>
              <w:t>3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54345E">
              <w:rPr>
                <w:rFonts w:ascii="Times New Roman" w:eastAsia="Times New Roman" w:hAnsi="Times New Roman" w:cs="Times New Roman"/>
                <w:color w:val="666666"/>
              </w:rPr>
              <w:t>32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3C4AB355" w14:textId="77777777" w:rsidTr="007F349A">
        <w:trPr>
          <w:trHeight w:val="779"/>
        </w:trPr>
        <w:tc>
          <w:tcPr>
            <w:tcW w:w="2544" w:type="dxa"/>
            <w:hideMark/>
          </w:tcPr>
          <w:p w14:paraId="5098CCD3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Treatment effect during treatment</w:t>
            </w:r>
          </w:p>
        </w:tc>
        <w:tc>
          <w:tcPr>
            <w:tcW w:w="567" w:type="dxa"/>
            <w:hideMark/>
          </w:tcPr>
          <w:p w14:paraId="10F6A6B4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5</w:t>
            </w:r>
          </w:p>
        </w:tc>
        <w:tc>
          <w:tcPr>
            <w:tcW w:w="3544" w:type="dxa"/>
            <w:hideMark/>
          </w:tcPr>
          <w:p w14:paraId="6165F804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fully the methods used for the identification, selection, and synthesis of clinical effectiveness data (per fracture site)</w:t>
            </w:r>
          </w:p>
        </w:tc>
        <w:tc>
          <w:tcPr>
            <w:tcW w:w="2268" w:type="dxa"/>
            <w:hideMark/>
          </w:tcPr>
          <w:p w14:paraId="1FE8AD3D" w14:textId="3D600B10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9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54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2864988A" w14:textId="77777777" w:rsidTr="007F349A">
        <w:trPr>
          <w:trHeight w:val="779"/>
        </w:trPr>
        <w:tc>
          <w:tcPr>
            <w:tcW w:w="2544" w:type="dxa"/>
            <w:hideMark/>
          </w:tcPr>
          <w:p w14:paraId="18CEAA3C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Treatment effect after</w:t>
            </w:r>
            <w:r w:rsidR="00690338">
              <w:rPr>
                <w:rFonts w:ascii="Times New Roman" w:eastAsia="Times New Roman" w:hAnsi="Times New Roman" w:cs="Times New Roman"/>
                <w:color w:val="666666"/>
              </w:rPr>
              <w:t xml:space="preserve"> </w:t>
            </w: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discontinuation</w:t>
            </w:r>
          </w:p>
        </w:tc>
        <w:tc>
          <w:tcPr>
            <w:tcW w:w="567" w:type="dxa"/>
            <w:hideMark/>
          </w:tcPr>
          <w:p w14:paraId="4B6577EB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6</w:t>
            </w:r>
          </w:p>
        </w:tc>
        <w:tc>
          <w:tcPr>
            <w:tcW w:w="3544" w:type="dxa"/>
            <w:hideMark/>
          </w:tcPr>
          <w:p w14:paraId="0EB64E16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fully the methods used for the treatment effect after discontinuation</w:t>
            </w:r>
          </w:p>
        </w:tc>
        <w:tc>
          <w:tcPr>
            <w:tcW w:w="2268" w:type="dxa"/>
            <w:hideMark/>
          </w:tcPr>
          <w:p w14:paraId="02DE620F" w14:textId="7C0AECAC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49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5A75293C" w14:textId="77777777" w:rsidTr="007F349A">
        <w:trPr>
          <w:trHeight w:val="512"/>
        </w:trPr>
        <w:tc>
          <w:tcPr>
            <w:tcW w:w="2544" w:type="dxa"/>
            <w:hideMark/>
          </w:tcPr>
          <w:p w14:paraId="363CBDBA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Medication adherence</w:t>
            </w:r>
          </w:p>
        </w:tc>
        <w:tc>
          <w:tcPr>
            <w:tcW w:w="567" w:type="dxa"/>
            <w:hideMark/>
          </w:tcPr>
          <w:p w14:paraId="53476003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7</w:t>
            </w:r>
          </w:p>
        </w:tc>
        <w:tc>
          <w:tcPr>
            <w:tcW w:w="3544" w:type="dxa"/>
            <w:hideMark/>
          </w:tcPr>
          <w:p w14:paraId="743B2BF4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modeling medication adherence</w:t>
            </w:r>
          </w:p>
        </w:tc>
        <w:tc>
          <w:tcPr>
            <w:tcW w:w="2268" w:type="dxa"/>
            <w:hideMark/>
          </w:tcPr>
          <w:p w14:paraId="1D1219D1" w14:textId="570D7516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17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3342C9D6" w14:textId="77777777" w:rsidTr="007F349A">
        <w:trPr>
          <w:trHeight w:val="522"/>
        </w:trPr>
        <w:tc>
          <w:tcPr>
            <w:tcW w:w="2544" w:type="dxa"/>
            <w:hideMark/>
          </w:tcPr>
          <w:p w14:paraId="5BBBD97B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Treatment costs</w:t>
            </w:r>
          </w:p>
        </w:tc>
        <w:tc>
          <w:tcPr>
            <w:tcW w:w="567" w:type="dxa"/>
            <w:hideMark/>
          </w:tcPr>
          <w:p w14:paraId="50933918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8</w:t>
            </w:r>
          </w:p>
        </w:tc>
        <w:tc>
          <w:tcPr>
            <w:tcW w:w="3544" w:type="dxa"/>
            <w:hideMark/>
          </w:tcPr>
          <w:p w14:paraId="3B023FC3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therapy costs</w:t>
            </w:r>
          </w:p>
        </w:tc>
        <w:tc>
          <w:tcPr>
            <w:tcW w:w="2268" w:type="dxa"/>
            <w:hideMark/>
          </w:tcPr>
          <w:p w14:paraId="6054E0D9" w14:textId="5F95B53B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4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2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  <w:tr w:rsidR="005875C1" w:rsidRPr="005875C1" w14:paraId="3E99BB4D" w14:textId="77777777" w:rsidTr="007F349A">
        <w:trPr>
          <w:trHeight w:val="779"/>
        </w:trPr>
        <w:tc>
          <w:tcPr>
            <w:tcW w:w="2544" w:type="dxa"/>
            <w:hideMark/>
          </w:tcPr>
          <w:p w14:paraId="2445EAE4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Treatment side effects</w:t>
            </w:r>
          </w:p>
        </w:tc>
        <w:tc>
          <w:tcPr>
            <w:tcW w:w="567" w:type="dxa"/>
            <w:hideMark/>
          </w:tcPr>
          <w:p w14:paraId="2950DFA2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9</w:t>
            </w:r>
          </w:p>
        </w:tc>
        <w:tc>
          <w:tcPr>
            <w:tcW w:w="3544" w:type="dxa"/>
            <w:hideMark/>
          </w:tcPr>
          <w:p w14:paraId="1EA0032D" w14:textId="77777777" w:rsidR="005875C1" w:rsidRPr="005875C1" w:rsidRDefault="005875C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 w:rsidRPr="005875C1">
              <w:rPr>
                <w:rFonts w:ascii="Times New Roman" w:eastAsia="Times New Roman" w:hAnsi="Times New Roman" w:cs="Times New Roman"/>
                <w:color w:val="666666"/>
              </w:rPr>
              <w:t>Describe approaches and data sources used for costs and utilities effects of adverse events</w:t>
            </w:r>
          </w:p>
        </w:tc>
        <w:tc>
          <w:tcPr>
            <w:tcW w:w="2268" w:type="dxa"/>
            <w:hideMark/>
          </w:tcPr>
          <w:p w14:paraId="7BA68719" w14:textId="6371E232" w:rsidR="005875C1" w:rsidRPr="005875C1" w:rsidRDefault="00361331" w:rsidP="005875C1">
            <w:pPr>
              <w:rPr>
                <w:rFonts w:ascii="Times New Roman" w:eastAsia="Times New Roman" w:hAnsi="Times New Roman" w:cs="Times New Roman"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Page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</w:t>
            </w:r>
            <w:r w:rsidR="004A3489">
              <w:rPr>
                <w:rFonts w:ascii="Times New Roman" w:eastAsia="Times New Roman" w:hAnsi="Times New Roman" w:cs="Times New Roman"/>
                <w:color w:val="666666"/>
              </w:rPr>
              <w:t>5</w:t>
            </w:r>
            <w:r>
              <w:rPr>
                <w:rFonts w:ascii="Times New Roman" w:eastAsia="Times New Roman" w:hAnsi="Times New Roman" w:cs="Times New Roman"/>
                <w:color w:val="666666"/>
              </w:rPr>
              <w:t xml:space="preserve">, line </w:t>
            </w:r>
            <w:r w:rsidR="00692D56">
              <w:rPr>
                <w:rFonts w:ascii="Times New Roman" w:eastAsia="Times New Roman" w:hAnsi="Times New Roman" w:cs="Times New Roman"/>
                <w:color w:val="666666"/>
              </w:rPr>
              <w:t>17</w:t>
            </w:r>
            <w:r w:rsidR="00222E1A">
              <w:rPr>
                <w:rFonts w:ascii="Times New Roman" w:eastAsia="Times New Roman" w:hAnsi="Times New Roman" w:cs="Times New Roman"/>
                <w:color w:val="666666"/>
              </w:rPr>
              <w:t>-</w:t>
            </w:r>
          </w:p>
        </w:tc>
      </w:tr>
    </w:tbl>
    <w:p w14:paraId="2AB33E22" w14:textId="77777777" w:rsidR="005875C1" w:rsidRPr="005875C1" w:rsidRDefault="005875C1" w:rsidP="005875C1">
      <w:pPr>
        <w:rPr>
          <w:rFonts w:ascii="Georgia" w:eastAsia="Times New Roman" w:hAnsi="Georgia" w:cs="Times New Roman"/>
          <w:color w:val="333333"/>
          <w:spacing w:val="2"/>
          <w:sz w:val="26"/>
          <w:szCs w:val="26"/>
        </w:rPr>
      </w:pPr>
    </w:p>
    <w:p w14:paraId="39636AEE" w14:textId="77777777" w:rsidR="002F6089" w:rsidRDefault="002F6089"/>
    <w:sectPr w:rsidR="002F6089" w:rsidSect="005C3327">
      <w:pgSz w:w="12242" w:h="15842"/>
      <w:pgMar w:top="567" w:right="1418" w:bottom="567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6"/>
  <w:bordersDoNotSurroundHeader/>
  <w:bordersDoNotSurroundFooter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C1"/>
    <w:rsid w:val="00023FF0"/>
    <w:rsid w:val="00024BFF"/>
    <w:rsid w:val="00031CE8"/>
    <w:rsid w:val="000440EE"/>
    <w:rsid w:val="0004651C"/>
    <w:rsid w:val="000A0C8E"/>
    <w:rsid w:val="000A5D50"/>
    <w:rsid w:val="000C356B"/>
    <w:rsid w:val="000E0B9C"/>
    <w:rsid w:val="000E1FAF"/>
    <w:rsid w:val="00100870"/>
    <w:rsid w:val="00113976"/>
    <w:rsid w:val="0012054A"/>
    <w:rsid w:val="001420F3"/>
    <w:rsid w:val="001428C4"/>
    <w:rsid w:val="001476CD"/>
    <w:rsid w:val="001524B8"/>
    <w:rsid w:val="00152590"/>
    <w:rsid w:val="00153146"/>
    <w:rsid w:val="00155A9F"/>
    <w:rsid w:val="001843F4"/>
    <w:rsid w:val="001915B1"/>
    <w:rsid w:val="001B7568"/>
    <w:rsid w:val="001C78F4"/>
    <w:rsid w:val="001C7EBE"/>
    <w:rsid w:val="001D5047"/>
    <w:rsid w:val="001E166B"/>
    <w:rsid w:val="001E1BB3"/>
    <w:rsid w:val="002166CD"/>
    <w:rsid w:val="00222E1A"/>
    <w:rsid w:val="00223717"/>
    <w:rsid w:val="00230A4E"/>
    <w:rsid w:val="00231A99"/>
    <w:rsid w:val="00235D87"/>
    <w:rsid w:val="0024397C"/>
    <w:rsid w:val="002449D4"/>
    <w:rsid w:val="002476CB"/>
    <w:rsid w:val="00274D27"/>
    <w:rsid w:val="00276FDB"/>
    <w:rsid w:val="00297759"/>
    <w:rsid w:val="002F2596"/>
    <w:rsid w:val="002F6089"/>
    <w:rsid w:val="002F7074"/>
    <w:rsid w:val="00300BCC"/>
    <w:rsid w:val="003112D3"/>
    <w:rsid w:val="00311656"/>
    <w:rsid w:val="003155DE"/>
    <w:rsid w:val="00320A53"/>
    <w:rsid w:val="00330FF4"/>
    <w:rsid w:val="0036030D"/>
    <w:rsid w:val="00361331"/>
    <w:rsid w:val="00361A11"/>
    <w:rsid w:val="0036666D"/>
    <w:rsid w:val="0038620C"/>
    <w:rsid w:val="00393134"/>
    <w:rsid w:val="003B2AFD"/>
    <w:rsid w:val="003B3E83"/>
    <w:rsid w:val="003B41BA"/>
    <w:rsid w:val="003B5EC5"/>
    <w:rsid w:val="003C10FD"/>
    <w:rsid w:val="003C5B41"/>
    <w:rsid w:val="003C78A8"/>
    <w:rsid w:val="003D74A9"/>
    <w:rsid w:val="003E7173"/>
    <w:rsid w:val="003F226B"/>
    <w:rsid w:val="003F3B21"/>
    <w:rsid w:val="003F6A7A"/>
    <w:rsid w:val="00444D30"/>
    <w:rsid w:val="00446F0E"/>
    <w:rsid w:val="0045228E"/>
    <w:rsid w:val="00472BFE"/>
    <w:rsid w:val="00477DE7"/>
    <w:rsid w:val="004811D1"/>
    <w:rsid w:val="0048417C"/>
    <w:rsid w:val="004960CE"/>
    <w:rsid w:val="004A0C6C"/>
    <w:rsid w:val="004A3489"/>
    <w:rsid w:val="004D7695"/>
    <w:rsid w:val="004D7C70"/>
    <w:rsid w:val="004E3445"/>
    <w:rsid w:val="004E4CA6"/>
    <w:rsid w:val="004F50FD"/>
    <w:rsid w:val="004F7CB2"/>
    <w:rsid w:val="00502043"/>
    <w:rsid w:val="005106EA"/>
    <w:rsid w:val="00522043"/>
    <w:rsid w:val="005234E2"/>
    <w:rsid w:val="00527A8B"/>
    <w:rsid w:val="00534A2A"/>
    <w:rsid w:val="00537908"/>
    <w:rsid w:val="005421B8"/>
    <w:rsid w:val="0054345E"/>
    <w:rsid w:val="00551B47"/>
    <w:rsid w:val="0055345C"/>
    <w:rsid w:val="00555592"/>
    <w:rsid w:val="005659B9"/>
    <w:rsid w:val="00566D2B"/>
    <w:rsid w:val="00572AE6"/>
    <w:rsid w:val="00573D28"/>
    <w:rsid w:val="005872E2"/>
    <w:rsid w:val="005875C1"/>
    <w:rsid w:val="00597D64"/>
    <w:rsid w:val="005A06A0"/>
    <w:rsid w:val="005A1FD9"/>
    <w:rsid w:val="005A267A"/>
    <w:rsid w:val="005A79C8"/>
    <w:rsid w:val="005C3327"/>
    <w:rsid w:val="005C513D"/>
    <w:rsid w:val="005D388A"/>
    <w:rsid w:val="005E173E"/>
    <w:rsid w:val="005E1F24"/>
    <w:rsid w:val="005F419E"/>
    <w:rsid w:val="005F7460"/>
    <w:rsid w:val="006005D9"/>
    <w:rsid w:val="0060535F"/>
    <w:rsid w:val="006165EE"/>
    <w:rsid w:val="00635326"/>
    <w:rsid w:val="0063794D"/>
    <w:rsid w:val="0064140F"/>
    <w:rsid w:val="006452AA"/>
    <w:rsid w:val="00653379"/>
    <w:rsid w:val="00665197"/>
    <w:rsid w:val="006767DC"/>
    <w:rsid w:val="00690338"/>
    <w:rsid w:val="00692D56"/>
    <w:rsid w:val="006A4C94"/>
    <w:rsid w:val="006A5CEB"/>
    <w:rsid w:val="006C4CBA"/>
    <w:rsid w:val="006D1892"/>
    <w:rsid w:val="006E1685"/>
    <w:rsid w:val="006E28D9"/>
    <w:rsid w:val="006E39FC"/>
    <w:rsid w:val="006F4739"/>
    <w:rsid w:val="00703EB8"/>
    <w:rsid w:val="00707190"/>
    <w:rsid w:val="007142E8"/>
    <w:rsid w:val="00734D44"/>
    <w:rsid w:val="00734E3F"/>
    <w:rsid w:val="00735AFD"/>
    <w:rsid w:val="0074399B"/>
    <w:rsid w:val="00745D8C"/>
    <w:rsid w:val="007753C4"/>
    <w:rsid w:val="00785744"/>
    <w:rsid w:val="007940E5"/>
    <w:rsid w:val="007A3E8A"/>
    <w:rsid w:val="007B2FE7"/>
    <w:rsid w:val="007B3BF3"/>
    <w:rsid w:val="007B4FE6"/>
    <w:rsid w:val="007B54F1"/>
    <w:rsid w:val="007D2F91"/>
    <w:rsid w:val="007E234F"/>
    <w:rsid w:val="007F18DF"/>
    <w:rsid w:val="007F349A"/>
    <w:rsid w:val="007F5D12"/>
    <w:rsid w:val="008027F2"/>
    <w:rsid w:val="00823B3E"/>
    <w:rsid w:val="008261EF"/>
    <w:rsid w:val="00850762"/>
    <w:rsid w:val="00850FF9"/>
    <w:rsid w:val="008904B4"/>
    <w:rsid w:val="008961D6"/>
    <w:rsid w:val="008B446A"/>
    <w:rsid w:val="008C1664"/>
    <w:rsid w:val="008E02E2"/>
    <w:rsid w:val="00906023"/>
    <w:rsid w:val="0090758B"/>
    <w:rsid w:val="009237C2"/>
    <w:rsid w:val="0092410E"/>
    <w:rsid w:val="00926C2E"/>
    <w:rsid w:val="00927065"/>
    <w:rsid w:val="00967C31"/>
    <w:rsid w:val="00976F03"/>
    <w:rsid w:val="0098480A"/>
    <w:rsid w:val="009A6E4F"/>
    <w:rsid w:val="009B468B"/>
    <w:rsid w:val="009C25BD"/>
    <w:rsid w:val="009F4B20"/>
    <w:rsid w:val="00A00964"/>
    <w:rsid w:val="00A0382B"/>
    <w:rsid w:val="00A062A3"/>
    <w:rsid w:val="00A1011F"/>
    <w:rsid w:val="00A34322"/>
    <w:rsid w:val="00A46ED2"/>
    <w:rsid w:val="00A51236"/>
    <w:rsid w:val="00A74442"/>
    <w:rsid w:val="00A775ED"/>
    <w:rsid w:val="00AB3D52"/>
    <w:rsid w:val="00AD091A"/>
    <w:rsid w:val="00AE295C"/>
    <w:rsid w:val="00B003E8"/>
    <w:rsid w:val="00B37BEC"/>
    <w:rsid w:val="00B5055B"/>
    <w:rsid w:val="00B91384"/>
    <w:rsid w:val="00B96BDB"/>
    <w:rsid w:val="00BA56AC"/>
    <w:rsid w:val="00BC27EA"/>
    <w:rsid w:val="00BE131E"/>
    <w:rsid w:val="00BF4AEC"/>
    <w:rsid w:val="00BF7322"/>
    <w:rsid w:val="00C01F32"/>
    <w:rsid w:val="00C02599"/>
    <w:rsid w:val="00C1173F"/>
    <w:rsid w:val="00C12BEB"/>
    <w:rsid w:val="00C16A7F"/>
    <w:rsid w:val="00C17BF8"/>
    <w:rsid w:val="00C36623"/>
    <w:rsid w:val="00C3674A"/>
    <w:rsid w:val="00C367E4"/>
    <w:rsid w:val="00C40130"/>
    <w:rsid w:val="00C408E3"/>
    <w:rsid w:val="00C410D3"/>
    <w:rsid w:val="00C55C72"/>
    <w:rsid w:val="00C62345"/>
    <w:rsid w:val="00C676C4"/>
    <w:rsid w:val="00C7623B"/>
    <w:rsid w:val="00C8629E"/>
    <w:rsid w:val="00C902BE"/>
    <w:rsid w:val="00C908CB"/>
    <w:rsid w:val="00C93356"/>
    <w:rsid w:val="00C97657"/>
    <w:rsid w:val="00CA189C"/>
    <w:rsid w:val="00CA7316"/>
    <w:rsid w:val="00CB1BBA"/>
    <w:rsid w:val="00CB5EAF"/>
    <w:rsid w:val="00CB66E4"/>
    <w:rsid w:val="00CD5879"/>
    <w:rsid w:val="00CD7849"/>
    <w:rsid w:val="00CF17C2"/>
    <w:rsid w:val="00CF73A2"/>
    <w:rsid w:val="00D074AC"/>
    <w:rsid w:val="00D2503D"/>
    <w:rsid w:val="00D41B2A"/>
    <w:rsid w:val="00D50C6A"/>
    <w:rsid w:val="00D61D3E"/>
    <w:rsid w:val="00D64C9F"/>
    <w:rsid w:val="00D77873"/>
    <w:rsid w:val="00D87044"/>
    <w:rsid w:val="00D910ED"/>
    <w:rsid w:val="00DA623B"/>
    <w:rsid w:val="00DA6680"/>
    <w:rsid w:val="00DA6C50"/>
    <w:rsid w:val="00DC0EF2"/>
    <w:rsid w:val="00DC27D5"/>
    <w:rsid w:val="00DC5545"/>
    <w:rsid w:val="00DC6014"/>
    <w:rsid w:val="00DE23BD"/>
    <w:rsid w:val="00DE752B"/>
    <w:rsid w:val="00DF5232"/>
    <w:rsid w:val="00DF59B7"/>
    <w:rsid w:val="00E03255"/>
    <w:rsid w:val="00E051A4"/>
    <w:rsid w:val="00E15229"/>
    <w:rsid w:val="00E22778"/>
    <w:rsid w:val="00E22D83"/>
    <w:rsid w:val="00E2544D"/>
    <w:rsid w:val="00E348EA"/>
    <w:rsid w:val="00E34E08"/>
    <w:rsid w:val="00E461FD"/>
    <w:rsid w:val="00E54FB3"/>
    <w:rsid w:val="00E55A8C"/>
    <w:rsid w:val="00E61E2B"/>
    <w:rsid w:val="00E66F63"/>
    <w:rsid w:val="00E73AC1"/>
    <w:rsid w:val="00E975B6"/>
    <w:rsid w:val="00EB2163"/>
    <w:rsid w:val="00EB2E12"/>
    <w:rsid w:val="00ED3FB1"/>
    <w:rsid w:val="00EE3CB0"/>
    <w:rsid w:val="00EE4EFC"/>
    <w:rsid w:val="00EE75E0"/>
    <w:rsid w:val="00F0180A"/>
    <w:rsid w:val="00F03806"/>
    <w:rsid w:val="00F267CA"/>
    <w:rsid w:val="00F31D55"/>
    <w:rsid w:val="00F34215"/>
    <w:rsid w:val="00F347ED"/>
    <w:rsid w:val="00F5371C"/>
    <w:rsid w:val="00F717EC"/>
    <w:rsid w:val="00F7198D"/>
    <w:rsid w:val="00F71CEA"/>
    <w:rsid w:val="00F76B32"/>
    <w:rsid w:val="00F76FC1"/>
    <w:rsid w:val="00F8611E"/>
    <w:rsid w:val="00F94857"/>
    <w:rsid w:val="00FA23D1"/>
    <w:rsid w:val="00FC12DA"/>
    <w:rsid w:val="00FD752C"/>
    <w:rsid w:val="00FE1A49"/>
    <w:rsid w:val="00FE5A6F"/>
    <w:rsid w:val="00FE70D4"/>
    <w:rsid w:val="00FE7D19"/>
    <w:rsid w:val="00FF6A06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89E1B3"/>
  <w15:chartTrackingRefBased/>
  <w15:docId w15:val="{96A4E6C3-4D08-E14D-A93E-B23CA70C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number">
    <w:name w:val="captionnumber"/>
    <w:basedOn w:val="DefaultParagraphFont"/>
    <w:rsid w:val="005875C1"/>
  </w:style>
  <w:style w:type="paragraph" w:customStyle="1" w:styleId="simplepara">
    <w:name w:val="simplepara"/>
    <w:basedOn w:val="Normal"/>
    <w:rsid w:val="005875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itationref">
    <w:name w:val="citationref"/>
    <w:basedOn w:val="DefaultParagraphFont"/>
    <w:rsid w:val="005875C1"/>
  </w:style>
  <w:style w:type="character" w:styleId="Hyperlink">
    <w:name w:val="Hyperlink"/>
    <w:basedOn w:val="DefaultParagraphFont"/>
    <w:uiPriority w:val="99"/>
    <w:semiHidden/>
    <w:unhideWhenUsed/>
    <w:rsid w:val="005875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95C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95C"/>
    <w:rPr>
      <w:rFonts w:ascii="MS Mincho" w:eastAsia="MS Mincho"/>
      <w:sz w:val="18"/>
      <w:szCs w:val="18"/>
    </w:rPr>
  </w:style>
  <w:style w:type="table" w:styleId="TableGridLight">
    <w:name w:val="Grid Table Light"/>
    <w:basedOn w:val="TableNormal"/>
    <w:uiPriority w:val="40"/>
    <w:rsid w:val="007F3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9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4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420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Takahiro Mori</dc:creator>
  <cp:keywords/>
  <dc:description/>
  <cp:lastModifiedBy>Takahiro Mori</cp:lastModifiedBy>
  <cp:revision>4</cp:revision>
  <dcterms:created xsi:type="dcterms:W3CDTF">2021-01-14T03:53:00Z</dcterms:created>
  <dcterms:modified xsi:type="dcterms:W3CDTF">2021-01-14T03:56:00Z</dcterms:modified>
</cp:coreProperties>
</file>