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0492" w14:textId="18A8B22A" w:rsidR="005C797B" w:rsidRDefault="0010114D">
      <w:pPr>
        <w:rPr>
          <w:sz w:val="20"/>
        </w:rPr>
      </w:pPr>
      <w:r>
        <w:rPr>
          <w:b/>
          <w:sz w:val="20"/>
        </w:rPr>
        <w:t>Supplemental Table 1: Previous studies estimating medical expenditures for hip fracture in Japan</w:t>
      </w:r>
    </w:p>
    <w:tbl>
      <w:tblPr>
        <w:tblStyle w:val="TableGrid"/>
        <w:tblW w:w="0" w:type="auto"/>
        <w:tblLook w:val="04A0" w:firstRow="1" w:lastRow="0" w:firstColumn="1" w:lastColumn="0" w:noHBand="0" w:noVBand="1"/>
      </w:tblPr>
      <w:tblGrid>
        <w:gridCol w:w="403"/>
        <w:gridCol w:w="1435"/>
        <w:gridCol w:w="4889"/>
        <w:gridCol w:w="2973"/>
        <w:gridCol w:w="3250"/>
      </w:tblGrid>
      <w:tr w:rsidR="005C797B" w14:paraId="6D4400A2" w14:textId="77777777" w:rsidTr="00D33D53">
        <w:trPr>
          <w:trHeight w:val="192"/>
        </w:trPr>
        <w:tc>
          <w:tcPr>
            <w:tcW w:w="403" w:type="dxa"/>
          </w:tcPr>
          <w:p w14:paraId="3AA91DCC" w14:textId="77777777" w:rsidR="005C797B" w:rsidRDefault="005C797B">
            <w:pPr>
              <w:tabs>
                <w:tab w:val="left" w:pos="2772"/>
              </w:tabs>
              <w:rPr>
                <w:b/>
                <w:sz w:val="16"/>
              </w:rPr>
            </w:pPr>
          </w:p>
        </w:tc>
        <w:tc>
          <w:tcPr>
            <w:tcW w:w="1435" w:type="dxa"/>
          </w:tcPr>
          <w:p w14:paraId="04E8DCE6" w14:textId="77777777" w:rsidR="005C797B" w:rsidRDefault="0010114D">
            <w:pPr>
              <w:tabs>
                <w:tab w:val="left" w:pos="2772"/>
              </w:tabs>
              <w:rPr>
                <w:b/>
                <w:sz w:val="16"/>
              </w:rPr>
            </w:pPr>
            <w:r>
              <w:rPr>
                <w:b/>
                <w:sz w:val="16"/>
              </w:rPr>
              <w:t>First author (year published)</w:t>
            </w:r>
          </w:p>
        </w:tc>
        <w:tc>
          <w:tcPr>
            <w:tcW w:w="4889" w:type="dxa"/>
          </w:tcPr>
          <w:p w14:paraId="746F2976" w14:textId="77777777" w:rsidR="005C797B" w:rsidRDefault="0010114D">
            <w:pPr>
              <w:tabs>
                <w:tab w:val="left" w:pos="2772"/>
              </w:tabs>
              <w:rPr>
                <w:b/>
                <w:sz w:val="16"/>
              </w:rPr>
            </w:pPr>
            <w:r>
              <w:rPr>
                <w:b/>
                <w:sz w:val="16"/>
              </w:rPr>
              <w:t>Study period, population (n)</w:t>
            </w:r>
          </w:p>
        </w:tc>
        <w:tc>
          <w:tcPr>
            <w:tcW w:w="2973" w:type="dxa"/>
          </w:tcPr>
          <w:p w14:paraId="67967FC3" w14:textId="74539681" w:rsidR="005C797B" w:rsidRPr="004E7B98" w:rsidRDefault="0010114D">
            <w:pPr>
              <w:tabs>
                <w:tab w:val="left" w:pos="2772"/>
              </w:tabs>
              <w:rPr>
                <w:b/>
                <w:sz w:val="16"/>
              </w:rPr>
            </w:pPr>
            <w:r w:rsidRPr="004E7B98">
              <w:rPr>
                <w:b/>
                <w:sz w:val="16"/>
              </w:rPr>
              <w:t>Mean expenditure</w:t>
            </w:r>
            <w:r w:rsidR="00D33D53" w:rsidRPr="004E7B98">
              <w:rPr>
                <w:b/>
                <w:sz w:val="16"/>
              </w:rPr>
              <w:t>s</w:t>
            </w:r>
            <w:r w:rsidR="00031FDA" w:rsidRPr="004E7B98">
              <w:rPr>
                <w:b/>
                <w:sz w:val="16"/>
              </w:rPr>
              <w:t xml:space="preserve"> per patient</w:t>
            </w:r>
            <w:r w:rsidRPr="004E7B98">
              <w:rPr>
                <w:b/>
                <w:sz w:val="16"/>
              </w:rPr>
              <w:t>*</w:t>
            </w:r>
            <w:r w:rsidR="00D33D53" w:rsidRPr="004E7B98">
              <w:rPr>
                <w:b/>
                <w:sz w:val="16"/>
              </w:rPr>
              <w:t xml:space="preserve"> (unit: </w:t>
            </w:r>
            <w:r w:rsidRPr="004E7B98">
              <w:rPr>
                <w:b/>
                <w:sz w:val="16"/>
              </w:rPr>
              <w:t>10 thousand</w:t>
            </w:r>
            <w:r w:rsidR="00EF03E1" w:rsidRPr="004E7B98">
              <w:rPr>
                <w:b/>
                <w:sz w:val="16"/>
              </w:rPr>
              <w:t>s</w:t>
            </w:r>
            <w:r w:rsidRPr="004E7B98">
              <w:rPr>
                <w:b/>
                <w:sz w:val="16"/>
              </w:rPr>
              <w:t xml:space="preserve"> yen</w:t>
            </w:r>
            <w:r w:rsidR="00D33D53" w:rsidRPr="004E7B98">
              <w:rPr>
                <w:b/>
                <w:sz w:val="16"/>
              </w:rPr>
              <w:t xml:space="preserve">, </w:t>
            </w:r>
            <w:r w:rsidRPr="004E7B98">
              <w:rPr>
                <w:b/>
                <w:sz w:val="16"/>
              </w:rPr>
              <w:t>110 yen=$1)**</w:t>
            </w:r>
          </w:p>
        </w:tc>
        <w:tc>
          <w:tcPr>
            <w:tcW w:w="3250" w:type="dxa"/>
          </w:tcPr>
          <w:p w14:paraId="13B04B43" w14:textId="77777777" w:rsidR="005C797B" w:rsidRPr="004E7B98" w:rsidRDefault="0010114D">
            <w:pPr>
              <w:tabs>
                <w:tab w:val="left" w:pos="2772"/>
              </w:tabs>
              <w:rPr>
                <w:b/>
                <w:sz w:val="16"/>
              </w:rPr>
            </w:pPr>
            <w:r w:rsidRPr="004E7B98">
              <w:rPr>
                <w:b/>
                <w:sz w:val="16"/>
              </w:rPr>
              <w:t>Method</w:t>
            </w:r>
          </w:p>
        </w:tc>
      </w:tr>
      <w:tr w:rsidR="005C797B" w14:paraId="213000AC" w14:textId="77777777">
        <w:tc>
          <w:tcPr>
            <w:tcW w:w="403" w:type="dxa"/>
          </w:tcPr>
          <w:p w14:paraId="64D94900" w14:textId="77777777" w:rsidR="005C797B" w:rsidRDefault="0010114D">
            <w:pPr>
              <w:tabs>
                <w:tab w:val="left" w:pos="2772"/>
              </w:tabs>
              <w:rPr>
                <w:sz w:val="16"/>
              </w:rPr>
            </w:pPr>
            <w:r>
              <w:rPr>
                <w:sz w:val="16"/>
              </w:rPr>
              <w:t>(1)</w:t>
            </w:r>
          </w:p>
        </w:tc>
        <w:tc>
          <w:tcPr>
            <w:tcW w:w="1435" w:type="dxa"/>
          </w:tcPr>
          <w:p w14:paraId="7ED27277" w14:textId="5D4D0573" w:rsidR="005C797B" w:rsidRDefault="0010114D">
            <w:pPr>
              <w:tabs>
                <w:tab w:val="left" w:pos="2772"/>
              </w:tabs>
              <w:rPr>
                <w:sz w:val="16"/>
              </w:rPr>
            </w:pPr>
            <w:r>
              <w:rPr>
                <w:sz w:val="16"/>
              </w:rPr>
              <w:t>Ishizaki et al. [1]</w:t>
            </w:r>
          </w:p>
          <w:p w14:paraId="49B022ED" w14:textId="77777777" w:rsidR="005C797B" w:rsidRDefault="005C797B">
            <w:pPr>
              <w:tabs>
                <w:tab w:val="left" w:pos="2772"/>
              </w:tabs>
              <w:rPr>
                <w:sz w:val="16"/>
              </w:rPr>
            </w:pPr>
          </w:p>
        </w:tc>
        <w:tc>
          <w:tcPr>
            <w:tcW w:w="4889" w:type="dxa"/>
          </w:tcPr>
          <w:p w14:paraId="0538A7E8" w14:textId="77777777" w:rsidR="005C797B" w:rsidRDefault="0010114D">
            <w:pPr>
              <w:tabs>
                <w:tab w:val="left" w:pos="2772"/>
              </w:tabs>
              <w:rPr>
                <w:sz w:val="16"/>
              </w:rPr>
            </w:pPr>
            <w:r>
              <w:rPr>
                <w:sz w:val="16"/>
              </w:rPr>
              <w:t xml:space="preserve">Jan 1996 to Aug 2000, </w:t>
            </w:r>
          </w:p>
          <w:p w14:paraId="698E1F88" w14:textId="77777777" w:rsidR="005C797B" w:rsidRDefault="0010114D">
            <w:pPr>
              <w:tabs>
                <w:tab w:val="left" w:pos="2772"/>
              </w:tabs>
              <w:rPr>
                <w:sz w:val="16"/>
              </w:rPr>
            </w:pPr>
            <w:r>
              <w:rPr>
                <w:sz w:val="16"/>
              </w:rPr>
              <w:t>four privately owned leading teaching hospitals (n=778)</w:t>
            </w:r>
          </w:p>
        </w:tc>
        <w:tc>
          <w:tcPr>
            <w:tcW w:w="2973" w:type="dxa"/>
          </w:tcPr>
          <w:p w14:paraId="0C5CA3B7" w14:textId="77777777" w:rsidR="005C797B" w:rsidRPr="004E7B98" w:rsidRDefault="0010114D">
            <w:pPr>
              <w:tabs>
                <w:tab w:val="left" w:pos="2772"/>
              </w:tabs>
              <w:rPr>
                <w:sz w:val="16"/>
              </w:rPr>
            </w:pPr>
            <w:r w:rsidRPr="004E7B98">
              <w:rPr>
                <w:sz w:val="16"/>
              </w:rPr>
              <w:t>173.9 ($19,130)</w:t>
            </w:r>
          </w:p>
        </w:tc>
        <w:tc>
          <w:tcPr>
            <w:tcW w:w="3250" w:type="dxa"/>
          </w:tcPr>
          <w:p w14:paraId="590147E5" w14:textId="77777777" w:rsidR="005C797B" w:rsidRPr="004E7B98" w:rsidRDefault="0010114D">
            <w:pPr>
              <w:rPr>
                <w:sz w:val="16"/>
              </w:rPr>
            </w:pPr>
            <w:r w:rsidRPr="004E7B98">
              <w:rPr>
                <w:sz w:val="16"/>
              </w:rPr>
              <w:t>Total charges were calculated by summing any charge billed during the hospital stay.</w:t>
            </w:r>
          </w:p>
        </w:tc>
      </w:tr>
      <w:tr w:rsidR="005C797B" w14:paraId="27827976" w14:textId="77777777">
        <w:tc>
          <w:tcPr>
            <w:tcW w:w="403" w:type="dxa"/>
          </w:tcPr>
          <w:p w14:paraId="49969037" w14:textId="77777777" w:rsidR="005C797B" w:rsidRDefault="0010114D">
            <w:pPr>
              <w:tabs>
                <w:tab w:val="left" w:pos="2772"/>
              </w:tabs>
              <w:rPr>
                <w:sz w:val="16"/>
              </w:rPr>
            </w:pPr>
            <w:r>
              <w:rPr>
                <w:sz w:val="16"/>
              </w:rPr>
              <w:t>(2)</w:t>
            </w:r>
          </w:p>
        </w:tc>
        <w:tc>
          <w:tcPr>
            <w:tcW w:w="1435" w:type="dxa"/>
          </w:tcPr>
          <w:p w14:paraId="30275DA1" w14:textId="2DE67B99" w:rsidR="005C797B" w:rsidRDefault="0010114D">
            <w:pPr>
              <w:tabs>
                <w:tab w:val="left" w:pos="2772"/>
              </w:tabs>
              <w:rPr>
                <w:sz w:val="16"/>
              </w:rPr>
            </w:pPr>
            <w:r>
              <w:rPr>
                <w:sz w:val="16"/>
              </w:rPr>
              <w:t>Hirose et al. [2]</w:t>
            </w:r>
          </w:p>
          <w:p w14:paraId="36B0D9A1" w14:textId="77777777" w:rsidR="005C797B" w:rsidRDefault="005C797B">
            <w:pPr>
              <w:tabs>
                <w:tab w:val="left" w:pos="2772"/>
              </w:tabs>
              <w:rPr>
                <w:sz w:val="16"/>
              </w:rPr>
            </w:pPr>
          </w:p>
        </w:tc>
        <w:tc>
          <w:tcPr>
            <w:tcW w:w="4889" w:type="dxa"/>
          </w:tcPr>
          <w:p w14:paraId="3999B733" w14:textId="77777777" w:rsidR="005C797B" w:rsidRDefault="0010114D">
            <w:pPr>
              <w:tabs>
                <w:tab w:val="left" w:pos="2772"/>
              </w:tabs>
              <w:rPr>
                <w:sz w:val="16"/>
              </w:rPr>
            </w:pPr>
            <w:r>
              <w:rPr>
                <w:sz w:val="16"/>
              </w:rPr>
              <w:t>Sept 2003 to Dec 2005,  seven member</w:t>
            </w:r>
          </w:p>
          <w:p w14:paraId="591604D4" w14:textId="77777777" w:rsidR="005C797B" w:rsidRDefault="0010114D">
            <w:pPr>
              <w:tabs>
                <w:tab w:val="left" w:pos="2772"/>
              </w:tabs>
              <w:rPr>
                <w:sz w:val="16"/>
              </w:rPr>
            </w:pPr>
            <w:r>
              <w:rPr>
                <w:sz w:val="16"/>
              </w:rPr>
              <w:t>hospitals of the Japanese National Hospital Organization (n=813)</w:t>
            </w:r>
          </w:p>
        </w:tc>
        <w:tc>
          <w:tcPr>
            <w:tcW w:w="2973" w:type="dxa"/>
          </w:tcPr>
          <w:p w14:paraId="3CC42909" w14:textId="118F4BF8" w:rsidR="005C797B" w:rsidRPr="004E7B98" w:rsidRDefault="0010114D">
            <w:pPr>
              <w:tabs>
                <w:tab w:val="left" w:pos="2772"/>
              </w:tabs>
              <w:rPr>
                <w:sz w:val="16"/>
              </w:rPr>
            </w:pPr>
            <w:r w:rsidRPr="004E7B98">
              <w:rPr>
                <w:sz w:val="16"/>
              </w:rPr>
              <w:t>$15,800 (only the amount in US dollars is presented</w:t>
            </w:r>
            <w:r w:rsidR="00333545" w:rsidRPr="004E7B98">
              <w:rPr>
                <w:sz w:val="16"/>
              </w:rPr>
              <w:t>,</w:t>
            </w:r>
            <w:r w:rsidRPr="004E7B98">
              <w:rPr>
                <w:sz w:val="16"/>
              </w:rPr>
              <w:t xml:space="preserve"> and currency exchange rate is not available)</w:t>
            </w:r>
          </w:p>
        </w:tc>
        <w:tc>
          <w:tcPr>
            <w:tcW w:w="3250" w:type="dxa"/>
          </w:tcPr>
          <w:p w14:paraId="4C6706F3" w14:textId="77777777" w:rsidR="005C797B" w:rsidRPr="004E7B98" w:rsidRDefault="0010114D">
            <w:pPr>
              <w:tabs>
                <w:tab w:val="left" w:pos="2772"/>
              </w:tabs>
              <w:rPr>
                <w:sz w:val="16"/>
              </w:rPr>
            </w:pPr>
            <w:r w:rsidRPr="004E7B98">
              <w:rPr>
                <w:sz w:val="16"/>
              </w:rPr>
              <w:t>Hospitalization costs included all charges for the operation, laboratory tests, diagnostic imaging, ward costs, and expenditures incurred for treatment of postoperative complications.</w:t>
            </w:r>
          </w:p>
        </w:tc>
      </w:tr>
      <w:tr w:rsidR="005C797B" w14:paraId="71DAFE54" w14:textId="77777777">
        <w:tc>
          <w:tcPr>
            <w:tcW w:w="403" w:type="dxa"/>
          </w:tcPr>
          <w:p w14:paraId="537A6DE5" w14:textId="77777777" w:rsidR="005C797B" w:rsidRDefault="0010114D">
            <w:pPr>
              <w:tabs>
                <w:tab w:val="left" w:pos="2772"/>
              </w:tabs>
              <w:rPr>
                <w:sz w:val="16"/>
              </w:rPr>
            </w:pPr>
            <w:r>
              <w:rPr>
                <w:sz w:val="16"/>
              </w:rPr>
              <w:t>(3)</w:t>
            </w:r>
          </w:p>
        </w:tc>
        <w:tc>
          <w:tcPr>
            <w:tcW w:w="1435" w:type="dxa"/>
          </w:tcPr>
          <w:p w14:paraId="1AD6D5B7" w14:textId="3D048F13" w:rsidR="005C797B" w:rsidRDefault="0010114D">
            <w:pPr>
              <w:tabs>
                <w:tab w:val="left" w:pos="2772"/>
              </w:tabs>
              <w:rPr>
                <w:sz w:val="16"/>
              </w:rPr>
            </w:pPr>
            <w:r>
              <w:rPr>
                <w:sz w:val="16"/>
              </w:rPr>
              <w:t>Kondo et al. [3]</w:t>
            </w:r>
          </w:p>
        </w:tc>
        <w:tc>
          <w:tcPr>
            <w:tcW w:w="4889" w:type="dxa"/>
          </w:tcPr>
          <w:p w14:paraId="0A0FFD5B" w14:textId="3AA82018" w:rsidR="005C797B" w:rsidRDefault="0010114D">
            <w:pPr>
              <w:tabs>
                <w:tab w:val="left" w:pos="2772"/>
              </w:tabs>
              <w:rPr>
                <w:sz w:val="16"/>
              </w:rPr>
            </w:pPr>
            <w:r>
              <w:rPr>
                <w:sz w:val="16"/>
              </w:rPr>
              <w:t>Aug 2005 to Sept 2007, three hospitals including a university hospital and two private general community hospitals (bed size ranged from 200 to 700) (n=113)</w:t>
            </w:r>
          </w:p>
        </w:tc>
        <w:tc>
          <w:tcPr>
            <w:tcW w:w="2973" w:type="dxa"/>
          </w:tcPr>
          <w:p w14:paraId="22773F9D" w14:textId="77777777" w:rsidR="005C797B" w:rsidRPr="004E7B98" w:rsidRDefault="0010114D">
            <w:pPr>
              <w:tabs>
                <w:tab w:val="left" w:pos="2772"/>
              </w:tabs>
              <w:rPr>
                <w:sz w:val="16"/>
              </w:rPr>
            </w:pPr>
            <w:r w:rsidRPr="004E7B98">
              <w:rPr>
                <w:sz w:val="16"/>
              </w:rPr>
              <w:t xml:space="preserve">220.8 ($24,290)  </w:t>
            </w:r>
          </w:p>
        </w:tc>
        <w:tc>
          <w:tcPr>
            <w:tcW w:w="3250" w:type="dxa"/>
          </w:tcPr>
          <w:p w14:paraId="53D01C50" w14:textId="5EE40DE9" w:rsidR="005C797B" w:rsidRPr="004E7B98" w:rsidRDefault="00333545">
            <w:pPr>
              <w:tabs>
                <w:tab w:val="left" w:pos="2772"/>
              </w:tabs>
              <w:rPr>
                <w:sz w:val="16"/>
              </w:rPr>
            </w:pPr>
            <w:r w:rsidRPr="004E7B98">
              <w:rPr>
                <w:sz w:val="16"/>
              </w:rPr>
              <w:t>A</w:t>
            </w:r>
            <w:r w:rsidR="0010114D" w:rsidRPr="004E7B98">
              <w:rPr>
                <w:sz w:val="16"/>
              </w:rPr>
              <w:t>pproximate cost was calculated by the number of hospitalization days and average insurance payment per day.</w:t>
            </w:r>
          </w:p>
        </w:tc>
      </w:tr>
      <w:tr w:rsidR="005C797B" w14:paraId="43E780D6" w14:textId="77777777">
        <w:tc>
          <w:tcPr>
            <w:tcW w:w="403" w:type="dxa"/>
          </w:tcPr>
          <w:p w14:paraId="795BD17A" w14:textId="77777777" w:rsidR="005C797B" w:rsidRDefault="0010114D">
            <w:pPr>
              <w:tabs>
                <w:tab w:val="left" w:pos="2772"/>
              </w:tabs>
              <w:rPr>
                <w:sz w:val="16"/>
              </w:rPr>
            </w:pPr>
            <w:r>
              <w:rPr>
                <w:sz w:val="16"/>
              </w:rPr>
              <w:t>(4)</w:t>
            </w:r>
          </w:p>
        </w:tc>
        <w:tc>
          <w:tcPr>
            <w:tcW w:w="1435" w:type="dxa"/>
          </w:tcPr>
          <w:p w14:paraId="528023FD" w14:textId="3817A23C" w:rsidR="005C797B" w:rsidRDefault="0010114D">
            <w:pPr>
              <w:tabs>
                <w:tab w:val="left" w:pos="2772"/>
              </w:tabs>
              <w:rPr>
                <w:sz w:val="16"/>
              </w:rPr>
            </w:pPr>
            <w:r>
              <w:rPr>
                <w:sz w:val="16"/>
              </w:rPr>
              <w:t>Mori et al. [4]</w:t>
            </w:r>
          </w:p>
          <w:p w14:paraId="04A2968B" w14:textId="77777777" w:rsidR="005C797B" w:rsidRDefault="005C797B">
            <w:pPr>
              <w:tabs>
                <w:tab w:val="left" w:pos="2772"/>
              </w:tabs>
              <w:rPr>
                <w:sz w:val="16"/>
              </w:rPr>
            </w:pPr>
          </w:p>
        </w:tc>
        <w:tc>
          <w:tcPr>
            <w:tcW w:w="4889" w:type="dxa"/>
          </w:tcPr>
          <w:p w14:paraId="6C7611A9" w14:textId="6DF691A3" w:rsidR="005C797B" w:rsidRDefault="0010114D">
            <w:pPr>
              <w:tabs>
                <w:tab w:val="left" w:pos="2772"/>
              </w:tabs>
              <w:rPr>
                <w:sz w:val="16"/>
              </w:rPr>
            </w:pPr>
            <w:r>
              <w:rPr>
                <w:sz w:val="16"/>
              </w:rPr>
              <w:t xml:space="preserve">Apr 2012 to Sept 2013, </w:t>
            </w:r>
            <w:r w:rsidR="00333545">
              <w:rPr>
                <w:sz w:val="16"/>
              </w:rPr>
              <w:t>h</w:t>
            </w:r>
            <w:r>
              <w:rPr>
                <w:sz w:val="16"/>
              </w:rPr>
              <w:t>ealthcare insurance claims data for adults aged ≥ 75 years in the City of Kashiwa (n=78)</w:t>
            </w:r>
          </w:p>
        </w:tc>
        <w:tc>
          <w:tcPr>
            <w:tcW w:w="2973" w:type="dxa"/>
          </w:tcPr>
          <w:p w14:paraId="08905EF5" w14:textId="77777777" w:rsidR="005C797B" w:rsidRPr="004E7B98" w:rsidRDefault="0010114D">
            <w:pPr>
              <w:tabs>
                <w:tab w:val="left" w:pos="2772"/>
              </w:tabs>
              <w:rPr>
                <w:sz w:val="16"/>
              </w:rPr>
            </w:pPr>
            <w:r w:rsidRPr="004E7B98">
              <w:rPr>
                <w:sz w:val="16"/>
              </w:rPr>
              <w:t xml:space="preserve">260.0 ($28,600) </w:t>
            </w:r>
          </w:p>
        </w:tc>
        <w:tc>
          <w:tcPr>
            <w:tcW w:w="3250" w:type="dxa"/>
          </w:tcPr>
          <w:p w14:paraId="25979979" w14:textId="25B182E3" w:rsidR="005C797B" w:rsidRPr="004E7B98" w:rsidRDefault="00031FDA">
            <w:pPr>
              <w:tabs>
                <w:tab w:val="left" w:pos="2772"/>
              </w:tabs>
              <w:rPr>
                <w:sz w:val="16"/>
              </w:rPr>
            </w:pPr>
            <w:r w:rsidRPr="004E7B98">
              <w:rPr>
                <w:sz w:val="16"/>
              </w:rPr>
              <w:t xml:space="preserve">Medical </w:t>
            </w:r>
            <w:r w:rsidR="0010114D" w:rsidRPr="004E7B98">
              <w:rPr>
                <w:sz w:val="16"/>
              </w:rPr>
              <w:t xml:space="preserve">expenditures were calculated by the difference between total payments six months before and after hip fracture </w:t>
            </w:r>
            <w:r w:rsidR="00333545" w:rsidRPr="004E7B98">
              <w:rPr>
                <w:sz w:val="16"/>
              </w:rPr>
              <w:t xml:space="preserve">in </w:t>
            </w:r>
            <w:r w:rsidR="0010114D" w:rsidRPr="004E7B98">
              <w:rPr>
                <w:sz w:val="16"/>
              </w:rPr>
              <w:t>the same individuals.</w:t>
            </w:r>
          </w:p>
        </w:tc>
      </w:tr>
      <w:tr w:rsidR="005C797B" w14:paraId="4A79C1C9" w14:textId="77777777">
        <w:tc>
          <w:tcPr>
            <w:tcW w:w="403" w:type="dxa"/>
          </w:tcPr>
          <w:p w14:paraId="23466F54" w14:textId="77777777" w:rsidR="005C797B" w:rsidRDefault="0010114D">
            <w:pPr>
              <w:tabs>
                <w:tab w:val="left" w:pos="2772"/>
              </w:tabs>
              <w:rPr>
                <w:sz w:val="16"/>
              </w:rPr>
            </w:pPr>
            <w:r>
              <w:rPr>
                <w:sz w:val="16"/>
              </w:rPr>
              <w:t>(5)</w:t>
            </w:r>
          </w:p>
        </w:tc>
        <w:tc>
          <w:tcPr>
            <w:tcW w:w="1435" w:type="dxa"/>
          </w:tcPr>
          <w:p w14:paraId="6029BE55" w14:textId="0B268BE4" w:rsidR="005C797B" w:rsidRDefault="0010114D">
            <w:pPr>
              <w:tabs>
                <w:tab w:val="left" w:pos="2772"/>
              </w:tabs>
              <w:rPr>
                <w:sz w:val="16"/>
              </w:rPr>
            </w:pPr>
            <w:r>
              <w:rPr>
                <w:sz w:val="16"/>
              </w:rPr>
              <w:t>Taguchi et al. [5]</w:t>
            </w:r>
          </w:p>
          <w:p w14:paraId="575067A6" w14:textId="77777777" w:rsidR="005C797B" w:rsidRDefault="005C797B">
            <w:pPr>
              <w:tabs>
                <w:tab w:val="left" w:pos="2772"/>
              </w:tabs>
              <w:rPr>
                <w:sz w:val="16"/>
              </w:rPr>
            </w:pPr>
          </w:p>
        </w:tc>
        <w:tc>
          <w:tcPr>
            <w:tcW w:w="4889" w:type="dxa"/>
          </w:tcPr>
          <w:p w14:paraId="42A526CB" w14:textId="77777777" w:rsidR="005C797B" w:rsidRDefault="0010114D">
            <w:pPr>
              <w:tabs>
                <w:tab w:val="left" w:pos="2772"/>
              </w:tabs>
              <w:rPr>
                <w:sz w:val="16"/>
              </w:rPr>
            </w:pPr>
            <w:r>
              <w:rPr>
                <w:sz w:val="16"/>
              </w:rPr>
              <w:t>Apr 2008 to Dec 2016, the medical claim database provided by Medical Data Vision Co. Ltd. (MDV; Tokyo, Japan) in more than 240 acute-care hospitals (n=12,898; 2143 male, 10755 female)</w:t>
            </w:r>
          </w:p>
        </w:tc>
        <w:tc>
          <w:tcPr>
            <w:tcW w:w="2973" w:type="dxa"/>
          </w:tcPr>
          <w:p w14:paraId="54CE0B44" w14:textId="757B2782" w:rsidR="005C797B" w:rsidRDefault="0010114D">
            <w:pPr>
              <w:tabs>
                <w:tab w:val="left" w:pos="2772"/>
              </w:tabs>
              <w:rPr>
                <w:sz w:val="16"/>
              </w:rPr>
            </w:pPr>
            <w:r>
              <w:rPr>
                <w:sz w:val="16"/>
              </w:rPr>
              <w:t>160.3 ($17,630) in male, 172.6 ($18,990) in female</w:t>
            </w:r>
            <w:r w:rsidR="00333545">
              <w:rPr>
                <w:sz w:val="16"/>
              </w:rPr>
              <w:t xml:space="preserve"> patients</w:t>
            </w:r>
          </w:p>
        </w:tc>
        <w:tc>
          <w:tcPr>
            <w:tcW w:w="3250" w:type="dxa"/>
          </w:tcPr>
          <w:p w14:paraId="7F932184" w14:textId="77777777" w:rsidR="005C797B" w:rsidRDefault="0010114D">
            <w:pPr>
              <w:rPr>
                <w:sz w:val="16"/>
              </w:rPr>
            </w:pPr>
            <w:r>
              <w:rPr>
                <w:sz w:val="16"/>
              </w:rPr>
              <w:t>The total medical cost was estimated by subtracting the treatment costs within one year before index fracture from the treatment costs within one year after index fracture. Costs were calculated by multiplying the amount used by the unit price for each resource use record from public health care payer’s perspective.</w:t>
            </w:r>
          </w:p>
        </w:tc>
      </w:tr>
    </w:tbl>
    <w:p w14:paraId="3C0C072C" w14:textId="317CF09D" w:rsidR="005C797B" w:rsidRDefault="0010114D">
      <w:pPr>
        <w:tabs>
          <w:tab w:val="left" w:pos="2772"/>
        </w:tabs>
        <w:rPr>
          <w:sz w:val="20"/>
        </w:rPr>
      </w:pPr>
      <w:r>
        <w:rPr>
          <w:sz w:val="20"/>
        </w:rPr>
        <w:t>* Costs were not adjusted to yen in a specific year. The consumer index price during the study periods ranged from 97% to 103% compared with the price in the fiscal year 2015. (reference: Statistics Bureau, Ministry of Internal Affairs and Communications. Consumer Price Index. https://www.stat.go.jp/data/cpi/2015/).</w:t>
      </w:r>
    </w:p>
    <w:p w14:paraId="347C03F1" w14:textId="77777777" w:rsidR="005C797B" w:rsidRDefault="0010114D">
      <w:pPr>
        <w:tabs>
          <w:tab w:val="left" w:pos="2772"/>
        </w:tabs>
        <w:rPr>
          <w:sz w:val="20"/>
        </w:rPr>
      </w:pPr>
      <w:r>
        <w:rPr>
          <w:sz w:val="20"/>
        </w:rPr>
        <w:t xml:space="preserve">** Unless otherwise specified. </w:t>
      </w:r>
    </w:p>
    <w:p w14:paraId="41642128" w14:textId="7DB1B8D3" w:rsidR="005C797B" w:rsidRDefault="0010114D">
      <w:pPr>
        <w:tabs>
          <w:tab w:val="left" w:pos="2772"/>
        </w:tabs>
        <w:rPr>
          <w:sz w:val="20"/>
        </w:rPr>
      </w:pPr>
      <w:r>
        <w:rPr>
          <w:sz w:val="20"/>
        </w:rPr>
        <w:t xml:space="preserve">(1) </w:t>
      </w:r>
      <w:r w:rsidR="00F87868" w:rsidRPr="00F87868">
        <w:rPr>
          <w:sz w:val="20"/>
        </w:rPr>
        <w:t xml:space="preserve">Ishizaki T, Imanaka Y, Oh E, Kuwabara K, Hirose M, Hayashida K, Harada Y </w:t>
      </w:r>
      <w:r>
        <w:rPr>
          <w:sz w:val="20"/>
        </w:rPr>
        <w:t xml:space="preserve">(2004) Association of hospital resource use with comorbidity status and patient age among hip fracture patients in Japan. Health Policy 69(2):179–187. </w:t>
      </w:r>
      <w:hyperlink r:id="rId6" w:history="1">
        <w:r>
          <w:rPr>
            <w:rStyle w:val="Hyperlink"/>
            <w:sz w:val="20"/>
          </w:rPr>
          <w:t>https://doi.org/10.1016/j.healthpol.2003.12.018</w:t>
        </w:r>
      </w:hyperlink>
    </w:p>
    <w:p w14:paraId="3958C6FC" w14:textId="6F3244AA" w:rsidR="005C797B" w:rsidRDefault="0010114D">
      <w:pPr>
        <w:tabs>
          <w:tab w:val="left" w:pos="2772"/>
        </w:tabs>
        <w:rPr>
          <w:sz w:val="20"/>
        </w:rPr>
      </w:pPr>
      <w:r>
        <w:rPr>
          <w:sz w:val="20"/>
        </w:rPr>
        <w:t xml:space="preserve">(2) Hirose J, Mizuta H, Ide J, Nakamura E, Takada K (2008) E-PASS for predicting postoperative risk with hip fracture: a multicenter study. Clin Orthop Relat Res 466(11):2833–2841. </w:t>
      </w:r>
      <w:hyperlink r:id="rId7" w:history="1">
        <w:r>
          <w:rPr>
            <w:rStyle w:val="Hyperlink"/>
            <w:sz w:val="20"/>
          </w:rPr>
          <w:t>https://doi.org/10.1007/s11999-008-0377-2</w:t>
        </w:r>
      </w:hyperlink>
    </w:p>
    <w:p w14:paraId="1DD68804" w14:textId="2F41FD1C" w:rsidR="005C797B" w:rsidRDefault="0010114D">
      <w:pPr>
        <w:tabs>
          <w:tab w:val="left" w:pos="2772"/>
        </w:tabs>
        <w:rPr>
          <w:sz w:val="20"/>
        </w:rPr>
      </w:pPr>
      <w:r>
        <w:rPr>
          <w:sz w:val="20"/>
        </w:rPr>
        <w:t xml:space="preserve">(3) Kondo A, Zierler BK, Isokawa Y, Hagino H, Ito Y (2009) Comparison of outcomes and costs after hip fracture surgery in three hospitals that have different care systems in Japan. Health Policy 91(2):204–210. </w:t>
      </w:r>
      <w:hyperlink r:id="rId8" w:history="1">
        <w:r>
          <w:rPr>
            <w:rStyle w:val="Hyperlink"/>
            <w:sz w:val="20"/>
          </w:rPr>
          <w:t>https://doi.org/10.1016/j.healthpol.2008.12.006</w:t>
        </w:r>
      </w:hyperlink>
    </w:p>
    <w:p w14:paraId="4A2CCC75" w14:textId="6E2C7C29" w:rsidR="005C797B" w:rsidRDefault="0010114D">
      <w:pPr>
        <w:tabs>
          <w:tab w:val="left" w:pos="2772"/>
        </w:tabs>
        <w:rPr>
          <w:sz w:val="20"/>
        </w:rPr>
      </w:pPr>
      <w:r>
        <w:rPr>
          <w:sz w:val="20"/>
        </w:rPr>
        <w:t xml:space="preserve">(4) </w:t>
      </w:r>
      <w:r w:rsidR="00F87868" w:rsidRPr="003D24BD">
        <w:rPr>
          <w:sz w:val="20"/>
        </w:rPr>
        <w:t xml:space="preserve">Mori T, Tamiya N, Jin X, Jeon B, Yoshie S, Iijima K, Ishizaki T </w:t>
      </w:r>
      <w:r>
        <w:rPr>
          <w:sz w:val="20"/>
        </w:rPr>
        <w:t xml:space="preserve">(2018) Estimated expenditures for hip fractures using merged healthcare insurance data for individuals aged≥ 75 years and long-term care insurance claims data in Japan. Arch Osteoporos 13(1):37. </w:t>
      </w:r>
      <w:hyperlink r:id="rId9" w:history="1">
        <w:r>
          <w:rPr>
            <w:rStyle w:val="Hyperlink"/>
            <w:sz w:val="20"/>
          </w:rPr>
          <w:t>https://doi.org/10.1007/s11657-018-0448-2</w:t>
        </w:r>
      </w:hyperlink>
    </w:p>
    <w:p w14:paraId="33AC7787" w14:textId="18190398" w:rsidR="005C797B" w:rsidRDefault="0010114D">
      <w:pPr>
        <w:tabs>
          <w:tab w:val="left" w:pos="2772"/>
        </w:tabs>
        <w:rPr>
          <w:sz w:val="20"/>
        </w:rPr>
      </w:pPr>
      <w:r>
        <w:rPr>
          <w:sz w:val="20"/>
        </w:rPr>
        <w:t xml:space="preserve">(5) Taguchi Y, Inoue Y, Kido T, Arai N (2018) Treatment costs and cost drivers among osteoporotic fracture patients in Japan: a retrospective database analysis. Arch Osteoporos 13(1):45. </w:t>
      </w:r>
      <w:hyperlink r:id="rId10" w:history="1">
        <w:r>
          <w:rPr>
            <w:rStyle w:val="Hyperlink"/>
            <w:sz w:val="20"/>
          </w:rPr>
          <w:t>https://doi.org/10.1007/s11657-018-0456-2</w:t>
        </w:r>
      </w:hyperlink>
    </w:p>
    <w:p w14:paraId="7A723368" w14:textId="77777777" w:rsidR="005C797B" w:rsidRDefault="005C797B">
      <w:pPr>
        <w:tabs>
          <w:tab w:val="left" w:pos="2772"/>
        </w:tabs>
        <w:rPr>
          <w:b/>
          <w:sz w:val="28"/>
        </w:rPr>
      </w:pPr>
    </w:p>
    <w:p w14:paraId="0A2B13EC" w14:textId="77777777" w:rsidR="005C797B" w:rsidRDefault="0010114D">
      <w:pPr>
        <w:rPr>
          <w:b/>
          <w:sz w:val="28"/>
        </w:rPr>
      </w:pPr>
      <w:r>
        <w:br w:type="page"/>
      </w:r>
    </w:p>
    <w:p w14:paraId="31A7F105" w14:textId="77777777" w:rsidR="005C797B" w:rsidRDefault="0010114D">
      <w:pPr>
        <w:tabs>
          <w:tab w:val="left" w:pos="2772"/>
        </w:tabs>
        <w:rPr>
          <w:sz w:val="20"/>
        </w:rPr>
      </w:pPr>
      <w:r>
        <w:rPr>
          <w:b/>
          <w:sz w:val="20"/>
        </w:rPr>
        <w:lastRenderedPageBreak/>
        <w:t>Supplemental Table 2: Disease and surgical procedure codes to identify hip fractures</w:t>
      </w:r>
    </w:p>
    <w:tbl>
      <w:tblPr>
        <w:tblStyle w:val="TableGrid"/>
        <w:tblW w:w="0" w:type="auto"/>
        <w:tblLook w:val="04A0" w:firstRow="1" w:lastRow="0" w:firstColumn="1" w:lastColumn="0" w:noHBand="0" w:noVBand="1"/>
      </w:tblPr>
      <w:tblGrid>
        <w:gridCol w:w="5949"/>
        <w:gridCol w:w="5670"/>
      </w:tblGrid>
      <w:tr w:rsidR="005C797B" w14:paraId="68433130" w14:textId="77777777">
        <w:tc>
          <w:tcPr>
            <w:tcW w:w="5949" w:type="dxa"/>
          </w:tcPr>
          <w:p w14:paraId="12D60DB5" w14:textId="38CB34DF" w:rsidR="005C797B" w:rsidRDefault="0070106C">
            <w:pPr>
              <w:jc w:val="center"/>
              <w:rPr>
                <w:b/>
                <w:sz w:val="16"/>
              </w:rPr>
            </w:pPr>
            <w:r>
              <w:rPr>
                <w:b/>
                <w:sz w:val="16"/>
              </w:rPr>
              <w:t>Disease codes</w:t>
            </w:r>
          </w:p>
        </w:tc>
        <w:tc>
          <w:tcPr>
            <w:tcW w:w="5670" w:type="dxa"/>
          </w:tcPr>
          <w:p w14:paraId="38D897C5" w14:textId="66B81EE2" w:rsidR="005C797B" w:rsidRDefault="0070106C">
            <w:pPr>
              <w:jc w:val="center"/>
              <w:rPr>
                <w:b/>
                <w:sz w:val="16"/>
              </w:rPr>
            </w:pPr>
            <w:r>
              <w:rPr>
                <w:b/>
                <w:sz w:val="16"/>
              </w:rPr>
              <w:t>Names of fractures</w:t>
            </w:r>
          </w:p>
        </w:tc>
      </w:tr>
      <w:tr w:rsidR="0070106C" w14:paraId="532C16D7" w14:textId="77777777" w:rsidTr="001F4058">
        <w:tc>
          <w:tcPr>
            <w:tcW w:w="11619" w:type="dxa"/>
            <w:gridSpan w:val="2"/>
          </w:tcPr>
          <w:p w14:paraId="747F4FFA" w14:textId="1BCD7A9A" w:rsidR="0070106C" w:rsidRDefault="0070106C">
            <w:pPr>
              <w:jc w:val="center"/>
              <w:rPr>
                <w:sz w:val="16"/>
              </w:rPr>
            </w:pPr>
            <w:r>
              <w:rPr>
                <w:b/>
                <w:sz w:val="16"/>
              </w:rPr>
              <w:t>Femoral neck</w:t>
            </w:r>
          </w:p>
        </w:tc>
      </w:tr>
      <w:tr w:rsidR="005C797B" w14:paraId="6C528816" w14:textId="77777777">
        <w:tc>
          <w:tcPr>
            <w:tcW w:w="5949" w:type="dxa"/>
          </w:tcPr>
          <w:p w14:paraId="01972A0E" w14:textId="77777777" w:rsidR="00180970" w:rsidRDefault="00180970" w:rsidP="00180970">
            <w:pPr>
              <w:jc w:val="center"/>
              <w:rPr>
                <w:sz w:val="16"/>
              </w:rPr>
            </w:pPr>
            <w:r>
              <w:rPr>
                <w:sz w:val="16"/>
              </w:rPr>
              <w:t>8208009</w:t>
            </w:r>
          </w:p>
          <w:p w14:paraId="03C6F3B4" w14:textId="1F351F59" w:rsidR="005C797B" w:rsidRDefault="00180970" w:rsidP="00180970">
            <w:pPr>
              <w:jc w:val="center"/>
              <w:rPr>
                <w:sz w:val="16"/>
              </w:rPr>
            </w:pPr>
            <w:r>
              <w:rPr>
                <w:sz w:val="16"/>
              </w:rPr>
              <w:t>8837297</w:t>
            </w:r>
            <w:r>
              <w:br/>
            </w:r>
            <w:r>
              <w:rPr>
                <w:sz w:val="16"/>
              </w:rPr>
              <w:t>8837303</w:t>
            </w:r>
            <w:r>
              <w:br/>
            </w:r>
            <w:r>
              <w:rPr>
                <w:sz w:val="16"/>
              </w:rPr>
              <w:t>8837305</w:t>
            </w:r>
            <w:r>
              <w:br/>
            </w:r>
            <w:r>
              <w:rPr>
                <w:sz w:val="16"/>
              </w:rPr>
              <w:t>8837311</w:t>
            </w:r>
          </w:p>
        </w:tc>
        <w:tc>
          <w:tcPr>
            <w:tcW w:w="5670" w:type="dxa"/>
          </w:tcPr>
          <w:p w14:paraId="509480BF" w14:textId="77777777" w:rsidR="00180970" w:rsidRDefault="00180970" w:rsidP="00180970">
            <w:pPr>
              <w:jc w:val="center"/>
              <w:rPr>
                <w:sz w:val="16"/>
              </w:rPr>
            </w:pPr>
            <w:r>
              <w:rPr>
                <w:sz w:val="16"/>
              </w:rPr>
              <w:t xml:space="preserve">Femoral neck </w:t>
            </w:r>
            <w:r>
              <w:br/>
            </w:r>
            <w:r>
              <w:rPr>
                <w:sz w:val="16"/>
              </w:rPr>
              <w:t xml:space="preserve">Transcervical femoral neck </w:t>
            </w:r>
            <w:r>
              <w:br/>
            </w:r>
            <w:r>
              <w:rPr>
                <w:sz w:val="16"/>
              </w:rPr>
              <w:t>Medial femoral neck</w:t>
            </w:r>
          </w:p>
          <w:p w14:paraId="6C1C08F5" w14:textId="77777777" w:rsidR="00180970" w:rsidRDefault="00180970" w:rsidP="00180970">
            <w:pPr>
              <w:jc w:val="center"/>
              <w:rPr>
                <w:sz w:val="16"/>
              </w:rPr>
            </w:pPr>
            <w:r>
              <w:rPr>
                <w:sz w:val="16"/>
              </w:rPr>
              <w:t>Subcapital femur</w:t>
            </w:r>
          </w:p>
          <w:p w14:paraId="029013C1" w14:textId="0A909C96" w:rsidR="005C797B" w:rsidRDefault="00180970" w:rsidP="00180970">
            <w:pPr>
              <w:jc w:val="center"/>
              <w:rPr>
                <w:sz w:val="16"/>
              </w:rPr>
            </w:pPr>
            <w:r>
              <w:rPr>
                <w:sz w:val="16"/>
              </w:rPr>
              <w:t>Lateral femoral neck</w:t>
            </w:r>
          </w:p>
        </w:tc>
      </w:tr>
      <w:tr w:rsidR="0070106C" w14:paraId="4E99449C" w14:textId="77777777" w:rsidTr="005C030F">
        <w:tc>
          <w:tcPr>
            <w:tcW w:w="11619" w:type="dxa"/>
            <w:gridSpan w:val="2"/>
          </w:tcPr>
          <w:p w14:paraId="353BB4F1" w14:textId="37066C65" w:rsidR="0070106C" w:rsidRDefault="0070106C">
            <w:pPr>
              <w:jc w:val="center"/>
              <w:rPr>
                <w:b/>
                <w:sz w:val="16"/>
              </w:rPr>
            </w:pPr>
            <w:r>
              <w:rPr>
                <w:b/>
                <w:sz w:val="16"/>
              </w:rPr>
              <w:t>Extracapsular (intertrochanteric and subtrochanteric)</w:t>
            </w:r>
          </w:p>
        </w:tc>
      </w:tr>
      <w:tr w:rsidR="005C797B" w14:paraId="3C37EC7A" w14:textId="77777777">
        <w:tc>
          <w:tcPr>
            <w:tcW w:w="5949" w:type="dxa"/>
          </w:tcPr>
          <w:p w14:paraId="5945740A" w14:textId="77777777" w:rsidR="00180970" w:rsidRDefault="00180970" w:rsidP="00180970">
            <w:pPr>
              <w:jc w:val="center"/>
              <w:rPr>
                <w:sz w:val="16"/>
              </w:rPr>
            </w:pPr>
            <w:r>
              <w:rPr>
                <w:sz w:val="16"/>
              </w:rPr>
              <w:t>8837314</w:t>
            </w:r>
          </w:p>
          <w:p w14:paraId="58819599" w14:textId="77777777" w:rsidR="00180970" w:rsidRDefault="00180970" w:rsidP="00180970">
            <w:pPr>
              <w:jc w:val="center"/>
              <w:rPr>
                <w:sz w:val="16"/>
              </w:rPr>
            </w:pPr>
            <w:r>
              <w:rPr>
                <w:sz w:val="16"/>
              </w:rPr>
              <w:t>8837298</w:t>
            </w:r>
          </w:p>
          <w:p w14:paraId="7E54F2FC" w14:textId="77777777" w:rsidR="00180970" w:rsidRDefault="00180970" w:rsidP="00180970">
            <w:pPr>
              <w:jc w:val="center"/>
              <w:rPr>
                <w:sz w:val="16"/>
              </w:rPr>
            </w:pPr>
            <w:r>
              <w:rPr>
                <w:sz w:val="16"/>
              </w:rPr>
              <w:t>8837299</w:t>
            </w:r>
          </w:p>
          <w:p w14:paraId="1BFA96AC" w14:textId="77777777" w:rsidR="00180970" w:rsidRDefault="00180970" w:rsidP="00180970">
            <w:pPr>
              <w:jc w:val="center"/>
              <w:rPr>
                <w:sz w:val="16"/>
              </w:rPr>
            </w:pPr>
            <w:r>
              <w:rPr>
                <w:sz w:val="16"/>
              </w:rPr>
              <w:t>8837300</w:t>
            </w:r>
          </w:p>
          <w:p w14:paraId="77731853" w14:textId="77777777" w:rsidR="00180970" w:rsidRDefault="00180970" w:rsidP="00180970">
            <w:pPr>
              <w:jc w:val="center"/>
              <w:rPr>
                <w:sz w:val="16"/>
              </w:rPr>
            </w:pPr>
            <w:r>
              <w:rPr>
                <w:sz w:val="16"/>
              </w:rPr>
              <w:t>8837943</w:t>
            </w:r>
          </w:p>
          <w:p w14:paraId="1579322C" w14:textId="77777777" w:rsidR="00180970" w:rsidRDefault="00180970" w:rsidP="00180970">
            <w:pPr>
              <w:jc w:val="center"/>
              <w:rPr>
                <w:sz w:val="16"/>
              </w:rPr>
            </w:pPr>
            <w:r>
              <w:rPr>
                <w:sz w:val="16"/>
              </w:rPr>
              <w:t>8837944</w:t>
            </w:r>
          </w:p>
          <w:p w14:paraId="331B2FFD" w14:textId="65868BF0" w:rsidR="005C797B" w:rsidRDefault="00180970" w:rsidP="00180970">
            <w:pPr>
              <w:jc w:val="center"/>
              <w:rPr>
                <w:sz w:val="16"/>
              </w:rPr>
            </w:pPr>
            <w:r>
              <w:rPr>
                <w:sz w:val="16"/>
              </w:rPr>
              <w:t>8837945</w:t>
            </w:r>
          </w:p>
        </w:tc>
        <w:tc>
          <w:tcPr>
            <w:tcW w:w="5670" w:type="dxa"/>
          </w:tcPr>
          <w:p w14:paraId="4A2460FA" w14:textId="77777777" w:rsidR="00180970" w:rsidRDefault="00180970" w:rsidP="00180970">
            <w:pPr>
              <w:jc w:val="center"/>
              <w:rPr>
                <w:sz w:val="16"/>
              </w:rPr>
            </w:pPr>
            <w:r>
              <w:rPr>
                <w:sz w:val="16"/>
              </w:rPr>
              <w:t>Trochanteric</w:t>
            </w:r>
          </w:p>
          <w:p w14:paraId="70A93527" w14:textId="77777777" w:rsidR="00180970" w:rsidRDefault="00180970" w:rsidP="00180970">
            <w:pPr>
              <w:jc w:val="center"/>
              <w:rPr>
                <w:sz w:val="16"/>
              </w:rPr>
            </w:pPr>
            <w:r>
              <w:rPr>
                <w:sz w:val="16"/>
              </w:rPr>
              <w:t>Pertrochanteric</w:t>
            </w:r>
          </w:p>
          <w:p w14:paraId="26690D4F" w14:textId="77777777" w:rsidR="00180970" w:rsidRDefault="00180970" w:rsidP="00180970">
            <w:pPr>
              <w:jc w:val="center"/>
              <w:rPr>
                <w:sz w:val="16"/>
              </w:rPr>
            </w:pPr>
            <w:r>
              <w:rPr>
                <w:sz w:val="16"/>
              </w:rPr>
              <w:t>Intertrochanteric</w:t>
            </w:r>
          </w:p>
          <w:p w14:paraId="27305828" w14:textId="77777777" w:rsidR="00180970" w:rsidRDefault="00180970" w:rsidP="00180970">
            <w:pPr>
              <w:jc w:val="center"/>
              <w:rPr>
                <w:sz w:val="16"/>
              </w:rPr>
            </w:pPr>
            <w:r>
              <w:rPr>
                <w:sz w:val="16"/>
              </w:rPr>
              <w:t>Basicervical</w:t>
            </w:r>
          </w:p>
          <w:p w14:paraId="04B2C2D0" w14:textId="77777777" w:rsidR="00180970" w:rsidRDefault="00180970" w:rsidP="00180970">
            <w:pPr>
              <w:jc w:val="center"/>
              <w:rPr>
                <w:sz w:val="16"/>
              </w:rPr>
            </w:pPr>
            <w:r>
              <w:rPr>
                <w:sz w:val="16"/>
              </w:rPr>
              <w:t>Subtrochanteric</w:t>
            </w:r>
          </w:p>
          <w:p w14:paraId="58E85597" w14:textId="77777777" w:rsidR="00180970" w:rsidRDefault="00180970" w:rsidP="00180970">
            <w:pPr>
              <w:jc w:val="center"/>
              <w:rPr>
                <w:sz w:val="16"/>
              </w:rPr>
            </w:pPr>
            <w:r>
              <w:rPr>
                <w:sz w:val="16"/>
              </w:rPr>
              <w:t>Intertrochanteric</w:t>
            </w:r>
          </w:p>
          <w:p w14:paraId="4521C964" w14:textId="64286C40" w:rsidR="005C797B" w:rsidRDefault="00180970" w:rsidP="00180970">
            <w:pPr>
              <w:jc w:val="center"/>
              <w:rPr>
                <w:sz w:val="16"/>
              </w:rPr>
            </w:pPr>
            <w:r>
              <w:rPr>
                <w:sz w:val="16"/>
              </w:rPr>
              <w:t>Pertrochanteric</w:t>
            </w:r>
          </w:p>
        </w:tc>
      </w:tr>
      <w:tr w:rsidR="005C797B" w14:paraId="381CED61" w14:textId="77777777">
        <w:tc>
          <w:tcPr>
            <w:tcW w:w="11619" w:type="dxa"/>
            <w:gridSpan w:val="2"/>
          </w:tcPr>
          <w:p w14:paraId="4877D46B" w14:textId="77777777" w:rsidR="005C797B" w:rsidRDefault="005C797B">
            <w:pPr>
              <w:jc w:val="center"/>
              <w:rPr>
                <w:sz w:val="16"/>
              </w:rPr>
            </w:pPr>
          </w:p>
        </w:tc>
      </w:tr>
      <w:tr w:rsidR="005C797B" w14:paraId="5885CF33" w14:textId="77777777">
        <w:tc>
          <w:tcPr>
            <w:tcW w:w="5949" w:type="dxa"/>
          </w:tcPr>
          <w:p w14:paraId="48CB7A47" w14:textId="1085A27E" w:rsidR="005C797B" w:rsidRDefault="0070106C">
            <w:pPr>
              <w:jc w:val="center"/>
              <w:rPr>
                <w:b/>
                <w:sz w:val="16"/>
              </w:rPr>
            </w:pPr>
            <w:r>
              <w:rPr>
                <w:b/>
                <w:sz w:val="16"/>
              </w:rPr>
              <w:t>Procedure codes</w:t>
            </w:r>
          </w:p>
        </w:tc>
        <w:tc>
          <w:tcPr>
            <w:tcW w:w="5670" w:type="dxa"/>
          </w:tcPr>
          <w:p w14:paraId="411EE00B" w14:textId="71B7802E" w:rsidR="005C797B" w:rsidRDefault="0070106C">
            <w:pPr>
              <w:jc w:val="center"/>
              <w:rPr>
                <w:b/>
                <w:sz w:val="16"/>
              </w:rPr>
            </w:pPr>
            <w:r>
              <w:rPr>
                <w:b/>
                <w:sz w:val="16"/>
              </w:rPr>
              <w:t>Names of surgical procedures</w:t>
            </w:r>
          </w:p>
        </w:tc>
      </w:tr>
      <w:tr w:rsidR="00180970" w14:paraId="50DE3DC4" w14:textId="77777777">
        <w:tc>
          <w:tcPr>
            <w:tcW w:w="5949" w:type="dxa"/>
          </w:tcPr>
          <w:p w14:paraId="206AC320" w14:textId="5444130F" w:rsidR="00180970" w:rsidRDefault="00180970" w:rsidP="00180970">
            <w:pPr>
              <w:jc w:val="center"/>
              <w:rPr>
                <w:sz w:val="16"/>
              </w:rPr>
            </w:pPr>
            <w:r>
              <w:rPr>
                <w:sz w:val="16"/>
              </w:rPr>
              <w:t>150050410</w:t>
            </w:r>
          </w:p>
        </w:tc>
        <w:tc>
          <w:tcPr>
            <w:tcW w:w="5670" w:type="dxa"/>
          </w:tcPr>
          <w:p w14:paraId="3ACC762C" w14:textId="6630EEF0" w:rsidR="00180970" w:rsidRDefault="00180970" w:rsidP="00180970">
            <w:pPr>
              <w:jc w:val="center"/>
              <w:rPr>
                <w:b/>
                <w:sz w:val="16"/>
              </w:rPr>
            </w:pPr>
            <w:r>
              <w:rPr>
                <w:sz w:val="16"/>
              </w:rPr>
              <w:t>Total hip replacement</w:t>
            </w:r>
          </w:p>
        </w:tc>
      </w:tr>
      <w:tr w:rsidR="00180970" w14:paraId="2CF321DB" w14:textId="77777777">
        <w:tc>
          <w:tcPr>
            <w:tcW w:w="5949" w:type="dxa"/>
          </w:tcPr>
          <w:p w14:paraId="78F4627D" w14:textId="47BAF1EC" w:rsidR="00180970" w:rsidRDefault="00180970" w:rsidP="00180970">
            <w:pPr>
              <w:jc w:val="center"/>
              <w:rPr>
                <w:sz w:val="16"/>
              </w:rPr>
            </w:pPr>
            <w:r>
              <w:rPr>
                <w:sz w:val="16"/>
              </w:rPr>
              <w:t>150049510</w:t>
            </w:r>
          </w:p>
        </w:tc>
        <w:tc>
          <w:tcPr>
            <w:tcW w:w="5670" w:type="dxa"/>
          </w:tcPr>
          <w:p w14:paraId="527350E4" w14:textId="7E4B696A" w:rsidR="00180970" w:rsidRDefault="00180970" w:rsidP="00180970">
            <w:pPr>
              <w:jc w:val="center"/>
              <w:rPr>
                <w:sz w:val="16"/>
              </w:rPr>
            </w:pPr>
            <w:r>
              <w:rPr>
                <w:sz w:val="16"/>
              </w:rPr>
              <w:t>Bipolar hip arthroplasty</w:t>
            </w:r>
          </w:p>
        </w:tc>
      </w:tr>
      <w:tr w:rsidR="00180970" w14:paraId="707A5EA0" w14:textId="77777777">
        <w:tc>
          <w:tcPr>
            <w:tcW w:w="5949" w:type="dxa"/>
          </w:tcPr>
          <w:p w14:paraId="06669F09" w14:textId="499BE088" w:rsidR="00180970" w:rsidRDefault="00180970" w:rsidP="00180970">
            <w:pPr>
              <w:jc w:val="center"/>
              <w:rPr>
                <w:sz w:val="16"/>
              </w:rPr>
            </w:pPr>
            <w:r>
              <w:rPr>
                <w:sz w:val="16"/>
              </w:rPr>
              <w:t>150019210</w:t>
            </w:r>
          </w:p>
        </w:tc>
        <w:tc>
          <w:tcPr>
            <w:tcW w:w="5670" w:type="dxa"/>
          </w:tcPr>
          <w:p w14:paraId="29EFD2E5" w14:textId="2E180DDB" w:rsidR="00180970" w:rsidRDefault="00180970" w:rsidP="00180970">
            <w:pPr>
              <w:jc w:val="center"/>
              <w:rPr>
                <w:sz w:val="16"/>
              </w:rPr>
            </w:pPr>
            <w:r>
              <w:rPr>
                <w:sz w:val="16"/>
              </w:rPr>
              <w:t>Open surgery for femur fracture</w:t>
            </w:r>
          </w:p>
        </w:tc>
      </w:tr>
      <w:tr w:rsidR="00180970" w14:paraId="2F78F800" w14:textId="77777777">
        <w:tc>
          <w:tcPr>
            <w:tcW w:w="5949" w:type="dxa"/>
          </w:tcPr>
          <w:p w14:paraId="218D0C40" w14:textId="27BD5EB2" w:rsidR="00180970" w:rsidRDefault="00180970" w:rsidP="00180970">
            <w:pPr>
              <w:jc w:val="center"/>
              <w:rPr>
                <w:sz w:val="16"/>
              </w:rPr>
            </w:pPr>
          </w:p>
        </w:tc>
        <w:tc>
          <w:tcPr>
            <w:tcW w:w="5670" w:type="dxa"/>
          </w:tcPr>
          <w:p w14:paraId="3B1BAAEC" w14:textId="6BD85842" w:rsidR="00180970" w:rsidRDefault="00180970" w:rsidP="00180970">
            <w:pPr>
              <w:jc w:val="center"/>
              <w:rPr>
                <w:sz w:val="16"/>
              </w:rPr>
            </w:pPr>
            <w:r>
              <w:rPr>
                <w:sz w:val="16"/>
              </w:rPr>
              <w:t>Conservative management</w:t>
            </w:r>
          </w:p>
        </w:tc>
      </w:tr>
      <w:tr w:rsidR="005C797B" w14:paraId="2A4EF661" w14:textId="77777777">
        <w:tc>
          <w:tcPr>
            <w:tcW w:w="5949" w:type="dxa"/>
          </w:tcPr>
          <w:p w14:paraId="379056A2" w14:textId="77777777" w:rsidR="00180970" w:rsidRDefault="00180970" w:rsidP="00180970">
            <w:pPr>
              <w:jc w:val="center"/>
              <w:rPr>
                <w:sz w:val="16"/>
              </w:rPr>
            </w:pPr>
            <w:r>
              <w:rPr>
                <w:sz w:val="16"/>
              </w:rPr>
              <w:t>150016710</w:t>
            </w:r>
          </w:p>
          <w:p w14:paraId="3758557A" w14:textId="77777777" w:rsidR="00180970" w:rsidRDefault="00180970" w:rsidP="00180970">
            <w:pPr>
              <w:jc w:val="center"/>
              <w:rPr>
                <w:sz w:val="16"/>
              </w:rPr>
            </w:pPr>
            <w:r>
              <w:rPr>
                <w:sz w:val="16"/>
              </w:rPr>
              <w:t>150243010</w:t>
            </w:r>
          </w:p>
          <w:p w14:paraId="52D3EDE1" w14:textId="77777777" w:rsidR="00180970" w:rsidRDefault="00180970" w:rsidP="00180970">
            <w:pPr>
              <w:jc w:val="center"/>
              <w:rPr>
                <w:sz w:val="16"/>
              </w:rPr>
            </w:pPr>
            <w:r>
              <w:rPr>
                <w:sz w:val="16"/>
              </w:rPr>
              <w:t>140029210</w:t>
            </w:r>
          </w:p>
          <w:p w14:paraId="47308A09" w14:textId="2759B24C" w:rsidR="005C797B" w:rsidRDefault="00180970" w:rsidP="00180970">
            <w:pPr>
              <w:jc w:val="center"/>
              <w:rPr>
                <w:sz w:val="16"/>
              </w:rPr>
            </w:pPr>
            <w:r>
              <w:rPr>
                <w:sz w:val="16"/>
              </w:rPr>
              <w:t>140048010</w:t>
            </w:r>
          </w:p>
        </w:tc>
        <w:tc>
          <w:tcPr>
            <w:tcW w:w="5670" w:type="dxa"/>
          </w:tcPr>
          <w:p w14:paraId="710978AA" w14:textId="77777777" w:rsidR="00180970" w:rsidRDefault="00180970" w:rsidP="00180970">
            <w:pPr>
              <w:jc w:val="center"/>
              <w:rPr>
                <w:sz w:val="16"/>
              </w:rPr>
            </w:pPr>
            <w:r>
              <w:rPr>
                <w:sz w:val="16"/>
              </w:rPr>
              <w:t>Closed reduction</w:t>
            </w:r>
          </w:p>
          <w:p w14:paraId="1366FD0F" w14:textId="77777777" w:rsidR="00180970" w:rsidRDefault="00180970" w:rsidP="00180970">
            <w:pPr>
              <w:jc w:val="center"/>
              <w:rPr>
                <w:sz w:val="16"/>
              </w:rPr>
            </w:pPr>
            <w:r>
              <w:rPr>
                <w:sz w:val="16"/>
              </w:rPr>
              <w:t>Direct traction with wire (day 1)</w:t>
            </w:r>
          </w:p>
          <w:p w14:paraId="7106E01E" w14:textId="77777777" w:rsidR="00180970" w:rsidRDefault="00180970" w:rsidP="00180970">
            <w:pPr>
              <w:jc w:val="center"/>
              <w:rPr>
                <w:sz w:val="16"/>
              </w:rPr>
            </w:pPr>
            <w:r>
              <w:rPr>
                <w:sz w:val="16"/>
              </w:rPr>
              <w:t>Direct traction with wire (day 2 and beyond)</w:t>
            </w:r>
          </w:p>
          <w:p w14:paraId="73D0BF7C" w14:textId="2FD0DD87" w:rsidR="005C797B" w:rsidRDefault="00180970" w:rsidP="00180970">
            <w:pPr>
              <w:jc w:val="center"/>
              <w:rPr>
                <w:sz w:val="16"/>
              </w:rPr>
            </w:pPr>
            <w:r>
              <w:rPr>
                <w:sz w:val="16"/>
              </w:rPr>
              <w:t>Indirect traction</w:t>
            </w:r>
          </w:p>
        </w:tc>
      </w:tr>
    </w:tbl>
    <w:p w14:paraId="324EA44E" w14:textId="77777777" w:rsidR="005C797B" w:rsidRDefault="005C797B">
      <w:pPr>
        <w:rPr>
          <w:b/>
          <w:sz w:val="28"/>
        </w:rPr>
      </w:pPr>
    </w:p>
    <w:p w14:paraId="0E021F9A" w14:textId="77777777" w:rsidR="005C797B" w:rsidRDefault="0010114D">
      <w:pPr>
        <w:rPr>
          <w:b/>
          <w:sz w:val="28"/>
        </w:rPr>
      </w:pPr>
      <w:r>
        <w:br w:type="page"/>
      </w:r>
    </w:p>
    <w:p w14:paraId="5E9F48B1" w14:textId="77777777" w:rsidR="00D33D53" w:rsidRDefault="0010114D">
      <w:pPr>
        <w:rPr>
          <w:b/>
          <w:sz w:val="20"/>
        </w:rPr>
      </w:pPr>
      <w:r>
        <w:rPr>
          <w:b/>
          <w:sz w:val="20"/>
        </w:rPr>
        <w:lastRenderedPageBreak/>
        <w:t>Supplemental Table 3: Mean and median medical expenditures for fragility hip fracture per patient, stratified by age range and sex</w:t>
      </w:r>
      <w:r w:rsidR="00D33D53">
        <w:rPr>
          <w:b/>
          <w:sz w:val="20"/>
        </w:rPr>
        <w:t xml:space="preserve"> </w:t>
      </w:r>
    </w:p>
    <w:p w14:paraId="02831391" w14:textId="6AF609B5" w:rsidR="005C797B" w:rsidRDefault="00D33D53">
      <w:pPr>
        <w:rPr>
          <w:b/>
          <w:sz w:val="20"/>
        </w:rPr>
      </w:pPr>
      <w:r>
        <w:rPr>
          <w:b/>
          <w:sz w:val="20"/>
        </w:rPr>
        <w:t>(</w:t>
      </w:r>
      <w:r w:rsidR="0010114D">
        <w:rPr>
          <w:b/>
          <w:sz w:val="20"/>
        </w:rPr>
        <w:t>unit</w:t>
      </w:r>
      <w:r>
        <w:rPr>
          <w:b/>
          <w:sz w:val="20"/>
        </w:rPr>
        <w:t>:</w:t>
      </w:r>
      <w:r w:rsidR="0010114D">
        <w:rPr>
          <w:b/>
          <w:sz w:val="20"/>
        </w:rPr>
        <w:t xml:space="preserve"> 10 thousand</w:t>
      </w:r>
      <w:r w:rsidR="00EF03E1">
        <w:rPr>
          <w:b/>
          <w:sz w:val="20"/>
        </w:rPr>
        <w:t>s</w:t>
      </w:r>
      <w:r w:rsidR="0010114D">
        <w:rPr>
          <w:b/>
          <w:sz w:val="20"/>
        </w:rPr>
        <w:t xml:space="preserve"> yen</w:t>
      </w:r>
      <w:r>
        <w:rPr>
          <w:b/>
          <w:sz w:val="20"/>
        </w:rPr>
        <w:t xml:space="preserve">, </w:t>
      </w:r>
      <w:r w:rsidR="0010114D">
        <w:rPr>
          <w:b/>
          <w:sz w:val="20"/>
        </w:rPr>
        <w:t>110 yen=</w:t>
      </w:r>
      <w:r w:rsidR="0010114D" w:rsidRPr="00031FDA">
        <w:rPr>
          <w:b/>
          <w:sz w:val="20"/>
        </w:rPr>
        <w:t>1</w:t>
      </w:r>
      <w:r w:rsidR="00D355A1" w:rsidRPr="00031FDA">
        <w:rPr>
          <w:b/>
          <w:sz w:val="20"/>
        </w:rPr>
        <w:t xml:space="preserve"> US dollars [$]</w:t>
      </w:r>
      <w:r w:rsidR="0010114D" w:rsidRPr="00031FDA">
        <w:rPr>
          <w:b/>
          <w:sz w:val="20"/>
        </w:rPr>
        <w:t>)</w:t>
      </w:r>
    </w:p>
    <w:tbl>
      <w:tblPr>
        <w:tblStyle w:val="TableGrid"/>
        <w:tblW w:w="0" w:type="auto"/>
        <w:tblLook w:val="04A0" w:firstRow="1" w:lastRow="0" w:firstColumn="1" w:lastColumn="0" w:noHBand="0" w:noVBand="1"/>
      </w:tblPr>
      <w:tblGrid>
        <w:gridCol w:w="2155"/>
        <w:gridCol w:w="2155"/>
        <w:gridCol w:w="2155"/>
        <w:gridCol w:w="2155"/>
        <w:gridCol w:w="2155"/>
      </w:tblGrid>
      <w:tr w:rsidR="005C797B" w14:paraId="361A6043" w14:textId="77777777">
        <w:trPr>
          <w:trHeight w:val="454"/>
        </w:trPr>
        <w:tc>
          <w:tcPr>
            <w:tcW w:w="2155" w:type="dxa"/>
          </w:tcPr>
          <w:p w14:paraId="79925320" w14:textId="77777777" w:rsidR="005C797B" w:rsidRDefault="005C797B">
            <w:pPr>
              <w:jc w:val="center"/>
              <w:rPr>
                <w:b/>
                <w:sz w:val="16"/>
              </w:rPr>
            </w:pPr>
          </w:p>
        </w:tc>
        <w:tc>
          <w:tcPr>
            <w:tcW w:w="4310" w:type="dxa"/>
            <w:gridSpan w:val="2"/>
          </w:tcPr>
          <w:p w14:paraId="7D8BEE55" w14:textId="77777777" w:rsidR="005C797B" w:rsidRDefault="0010114D">
            <w:pPr>
              <w:jc w:val="center"/>
              <w:rPr>
                <w:b/>
                <w:sz w:val="16"/>
              </w:rPr>
            </w:pPr>
            <w:r>
              <w:rPr>
                <w:b/>
                <w:sz w:val="16"/>
              </w:rPr>
              <w:t>Male (n=28,868)</w:t>
            </w:r>
          </w:p>
        </w:tc>
        <w:tc>
          <w:tcPr>
            <w:tcW w:w="4310" w:type="dxa"/>
            <w:gridSpan w:val="2"/>
          </w:tcPr>
          <w:p w14:paraId="7C431F72" w14:textId="77777777" w:rsidR="005C797B" w:rsidRDefault="0010114D">
            <w:pPr>
              <w:jc w:val="center"/>
              <w:rPr>
                <w:b/>
                <w:sz w:val="16"/>
              </w:rPr>
            </w:pPr>
            <w:r>
              <w:rPr>
                <w:b/>
                <w:sz w:val="16"/>
              </w:rPr>
              <w:t>Female (n=113,493)</w:t>
            </w:r>
          </w:p>
        </w:tc>
      </w:tr>
      <w:tr w:rsidR="005C797B" w14:paraId="2126E257" w14:textId="77777777">
        <w:trPr>
          <w:trHeight w:val="454"/>
        </w:trPr>
        <w:tc>
          <w:tcPr>
            <w:tcW w:w="2155" w:type="dxa"/>
          </w:tcPr>
          <w:p w14:paraId="2CEBA9F5" w14:textId="77777777" w:rsidR="005C797B" w:rsidRDefault="0010114D">
            <w:pPr>
              <w:jc w:val="center"/>
              <w:rPr>
                <w:b/>
                <w:sz w:val="16"/>
              </w:rPr>
            </w:pPr>
            <w:r>
              <w:rPr>
                <w:b/>
                <w:sz w:val="16"/>
              </w:rPr>
              <w:t>Age range</w:t>
            </w:r>
          </w:p>
        </w:tc>
        <w:tc>
          <w:tcPr>
            <w:tcW w:w="2155" w:type="dxa"/>
          </w:tcPr>
          <w:p w14:paraId="67E3D7A5" w14:textId="77777777" w:rsidR="005C797B" w:rsidRDefault="0010114D">
            <w:pPr>
              <w:jc w:val="center"/>
              <w:rPr>
                <w:b/>
                <w:sz w:val="16"/>
              </w:rPr>
            </w:pPr>
            <w:r>
              <w:rPr>
                <w:b/>
                <w:sz w:val="16"/>
              </w:rPr>
              <w:t>Mean</w:t>
            </w:r>
          </w:p>
        </w:tc>
        <w:tc>
          <w:tcPr>
            <w:tcW w:w="2155" w:type="dxa"/>
          </w:tcPr>
          <w:p w14:paraId="2AD4C543" w14:textId="77777777" w:rsidR="005C797B" w:rsidRDefault="0010114D">
            <w:pPr>
              <w:jc w:val="center"/>
              <w:rPr>
                <w:b/>
                <w:sz w:val="16"/>
              </w:rPr>
            </w:pPr>
            <w:r>
              <w:rPr>
                <w:b/>
                <w:sz w:val="16"/>
              </w:rPr>
              <w:t>Median</w:t>
            </w:r>
          </w:p>
        </w:tc>
        <w:tc>
          <w:tcPr>
            <w:tcW w:w="2155" w:type="dxa"/>
          </w:tcPr>
          <w:p w14:paraId="3FA05988" w14:textId="77777777" w:rsidR="005C797B" w:rsidRDefault="0010114D">
            <w:pPr>
              <w:jc w:val="center"/>
              <w:rPr>
                <w:b/>
                <w:sz w:val="16"/>
              </w:rPr>
            </w:pPr>
            <w:r>
              <w:rPr>
                <w:b/>
                <w:sz w:val="16"/>
              </w:rPr>
              <w:t>Mean</w:t>
            </w:r>
          </w:p>
        </w:tc>
        <w:tc>
          <w:tcPr>
            <w:tcW w:w="2155" w:type="dxa"/>
          </w:tcPr>
          <w:p w14:paraId="0597871C" w14:textId="77777777" w:rsidR="005C797B" w:rsidRDefault="0010114D">
            <w:pPr>
              <w:jc w:val="center"/>
              <w:rPr>
                <w:b/>
                <w:sz w:val="16"/>
              </w:rPr>
            </w:pPr>
            <w:r>
              <w:rPr>
                <w:b/>
                <w:sz w:val="16"/>
              </w:rPr>
              <w:t>Median</w:t>
            </w:r>
          </w:p>
        </w:tc>
      </w:tr>
      <w:tr w:rsidR="005C797B" w14:paraId="0C82AB5D" w14:textId="77777777">
        <w:trPr>
          <w:trHeight w:val="454"/>
        </w:trPr>
        <w:tc>
          <w:tcPr>
            <w:tcW w:w="2155" w:type="dxa"/>
            <w:vAlign w:val="center"/>
          </w:tcPr>
          <w:p w14:paraId="6BC5DAAD" w14:textId="77777777" w:rsidR="005C797B" w:rsidRDefault="0010114D">
            <w:pPr>
              <w:jc w:val="center"/>
              <w:rPr>
                <w:sz w:val="16"/>
              </w:rPr>
            </w:pPr>
            <w:r>
              <w:rPr>
                <w:sz w:val="16"/>
              </w:rPr>
              <w:t>60–64</w:t>
            </w:r>
          </w:p>
        </w:tc>
        <w:tc>
          <w:tcPr>
            <w:tcW w:w="2155" w:type="dxa"/>
            <w:vAlign w:val="center"/>
          </w:tcPr>
          <w:p w14:paraId="20630C18" w14:textId="77777777" w:rsidR="005C797B" w:rsidRDefault="0010114D">
            <w:pPr>
              <w:jc w:val="center"/>
              <w:rPr>
                <w:sz w:val="16"/>
              </w:rPr>
            </w:pPr>
            <w:r>
              <w:rPr>
                <w:sz w:val="16"/>
              </w:rPr>
              <w:t>225.7 ($20,520)</w:t>
            </w:r>
          </w:p>
        </w:tc>
        <w:tc>
          <w:tcPr>
            <w:tcW w:w="2155" w:type="dxa"/>
            <w:vAlign w:val="center"/>
          </w:tcPr>
          <w:p w14:paraId="12D3C844" w14:textId="77777777" w:rsidR="005C797B" w:rsidRDefault="0010114D">
            <w:pPr>
              <w:jc w:val="center"/>
              <w:rPr>
                <w:sz w:val="16"/>
              </w:rPr>
            </w:pPr>
            <w:r>
              <w:rPr>
                <w:sz w:val="16"/>
              </w:rPr>
              <w:t>197.9 ($17,990)</w:t>
            </w:r>
          </w:p>
        </w:tc>
        <w:tc>
          <w:tcPr>
            <w:tcW w:w="2155" w:type="dxa"/>
            <w:vAlign w:val="center"/>
          </w:tcPr>
          <w:p w14:paraId="61B6A07C" w14:textId="77777777" w:rsidR="005C797B" w:rsidRDefault="0010114D">
            <w:pPr>
              <w:jc w:val="center"/>
              <w:rPr>
                <w:sz w:val="16"/>
              </w:rPr>
            </w:pPr>
            <w:r>
              <w:rPr>
                <w:sz w:val="16"/>
              </w:rPr>
              <w:t>207.5 ($18,870)</w:t>
            </w:r>
          </w:p>
        </w:tc>
        <w:tc>
          <w:tcPr>
            <w:tcW w:w="2155" w:type="dxa"/>
            <w:vAlign w:val="center"/>
          </w:tcPr>
          <w:p w14:paraId="36378F56" w14:textId="77777777" w:rsidR="005C797B" w:rsidRDefault="0010114D">
            <w:pPr>
              <w:jc w:val="center"/>
              <w:rPr>
                <w:sz w:val="16"/>
              </w:rPr>
            </w:pPr>
            <w:r>
              <w:rPr>
                <w:sz w:val="16"/>
              </w:rPr>
              <w:t>190.5 ($17,320)</w:t>
            </w:r>
          </w:p>
        </w:tc>
      </w:tr>
      <w:tr w:rsidR="005C797B" w14:paraId="00750092" w14:textId="77777777">
        <w:trPr>
          <w:trHeight w:val="454"/>
        </w:trPr>
        <w:tc>
          <w:tcPr>
            <w:tcW w:w="2155" w:type="dxa"/>
            <w:vAlign w:val="center"/>
          </w:tcPr>
          <w:p w14:paraId="0BF4CF74" w14:textId="77777777" w:rsidR="005C797B" w:rsidRDefault="0010114D">
            <w:pPr>
              <w:jc w:val="center"/>
              <w:rPr>
                <w:sz w:val="16"/>
              </w:rPr>
            </w:pPr>
            <w:r>
              <w:rPr>
                <w:sz w:val="16"/>
              </w:rPr>
              <w:t>65–69</w:t>
            </w:r>
          </w:p>
        </w:tc>
        <w:tc>
          <w:tcPr>
            <w:tcW w:w="2155" w:type="dxa"/>
            <w:vAlign w:val="center"/>
          </w:tcPr>
          <w:p w14:paraId="49C73F40" w14:textId="77777777" w:rsidR="005C797B" w:rsidRDefault="0010114D">
            <w:pPr>
              <w:jc w:val="center"/>
              <w:rPr>
                <w:sz w:val="16"/>
              </w:rPr>
            </w:pPr>
            <w:r>
              <w:rPr>
                <w:sz w:val="16"/>
              </w:rPr>
              <w:t>237.8 ($21,620)</w:t>
            </w:r>
          </w:p>
        </w:tc>
        <w:tc>
          <w:tcPr>
            <w:tcW w:w="2155" w:type="dxa"/>
            <w:vAlign w:val="center"/>
          </w:tcPr>
          <w:p w14:paraId="7BD2573C" w14:textId="77777777" w:rsidR="005C797B" w:rsidRDefault="0010114D">
            <w:pPr>
              <w:jc w:val="center"/>
              <w:rPr>
                <w:sz w:val="16"/>
              </w:rPr>
            </w:pPr>
            <w:r>
              <w:rPr>
                <w:sz w:val="16"/>
              </w:rPr>
              <w:t>210.0 ($19,090)</w:t>
            </w:r>
          </w:p>
        </w:tc>
        <w:tc>
          <w:tcPr>
            <w:tcW w:w="2155" w:type="dxa"/>
            <w:vAlign w:val="center"/>
          </w:tcPr>
          <w:p w14:paraId="4F698298" w14:textId="77777777" w:rsidR="005C797B" w:rsidRDefault="0010114D">
            <w:pPr>
              <w:jc w:val="center"/>
              <w:rPr>
                <w:sz w:val="16"/>
              </w:rPr>
            </w:pPr>
            <w:r>
              <w:rPr>
                <w:sz w:val="16"/>
              </w:rPr>
              <w:t>225.3 ($20,480)</w:t>
            </w:r>
          </w:p>
        </w:tc>
        <w:tc>
          <w:tcPr>
            <w:tcW w:w="2155" w:type="dxa"/>
            <w:vAlign w:val="center"/>
          </w:tcPr>
          <w:p w14:paraId="1DC3ED58" w14:textId="77777777" w:rsidR="005C797B" w:rsidRDefault="0010114D">
            <w:pPr>
              <w:jc w:val="center"/>
              <w:rPr>
                <w:sz w:val="16"/>
              </w:rPr>
            </w:pPr>
            <w:r>
              <w:rPr>
                <w:sz w:val="16"/>
              </w:rPr>
              <w:t>203.8 ($18,530)</w:t>
            </w:r>
          </w:p>
        </w:tc>
      </w:tr>
      <w:tr w:rsidR="005C797B" w14:paraId="2670E405" w14:textId="77777777">
        <w:trPr>
          <w:trHeight w:val="454"/>
        </w:trPr>
        <w:tc>
          <w:tcPr>
            <w:tcW w:w="2155" w:type="dxa"/>
            <w:vAlign w:val="center"/>
          </w:tcPr>
          <w:p w14:paraId="23A38BFA" w14:textId="77777777" w:rsidR="005C797B" w:rsidRDefault="0010114D">
            <w:pPr>
              <w:jc w:val="center"/>
              <w:rPr>
                <w:sz w:val="16"/>
              </w:rPr>
            </w:pPr>
            <w:r>
              <w:rPr>
                <w:sz w:val="16"/>
              </w:rPr>
              <w:t>70–74</w:t>
            </w:r>
          </w:p>
        </w:tc>
        <w:tc>
          <w:tcPr>
            <w:tcW w:w="2155" w:type="dxa"/>
            <w:vAlign w:val="center"/>
          </w:tcPr>
          <w:p w14:paraId="543DAC5E" w14:textId="77777777" w:rsidR="005C797B" w:rsidRDefault="0010114D">
            <w:pPr>
              <w:jc w:val="center"/>
              <w:rPr>
                <w:sz w:val="16"/>
              </w:rPr>
            </w:pPr>
            <w:r>
              <w:rPr>
                <w:sz w:val="16"/>
              </w:rPr>
              <w:t>244.2 ($22,200)</w:t>
            </w:r>
          </w:p>
        </w:tc>
        <w:tc>
          <w:tcPr>
            <w:tcW w:w="2155" w:type="dxa"/>
            <w:vAlign w:val="center"/>
          </w:tcPr>
          <w:p w14:paraId="5D0A807B" w14:textId="77777777" w:rsidR="005C797B" w:rsidRDefault="0010114D">
            <w:pPr>
              <w:jc w:val="center"/>
              <w:rPr>
                <w:sz w:val="16"/>
              </w:rPr>
            </w:pPr>
            <w:r>
              <w:rPr>
                <w:sz w:val="16"/>
              </w:rPr>
              <w:t>221.8 ($20,160)</w:t>
            </w:r>
          </w:p>
        </w:tc>
        <w:tc>
          <w:tcPr>
            <w:tcW w:w="2155" w:type="dxa"/>
            <w:vAlign w:val="center"/>
          </w:tcPr>
          <w:p w14:paraId="76EFC73F" w14:textId="77777777" w:rsidR="005C797B" w:rsidRDefault="0010114D">
            <w:pPr>
              <w:jc w:val="center"/>
              <w:rPr>
                <w:sz w:val="16"/>
              </w:rPr>
            </w:pPr>
            <w:r>
              <w:rPr>
                <w:sz w:val="16"/>
              </w:rPr>
              <w:t>238.3 ($21,660)</w:t>
            </w:r>
          </w:p>
        </w:tc>
        <w:tc>
          <w:tcPr>
            <w:tcW w:w="2155" w:type="dxa"/>
            <w:vAlign w:val="center"/>
          </w:tcPr>
          <w:p w14:paraId="67BBB08C" w14:textId="77777777" w:rsidR="005C797B" w:rsidRDefault="0010114D">
            <w:pPr>
              <w:jc w:val="center"/>
              <w:rPr>
                <w:sz w:val="16"/>
              </w:rPr>
            </w:pPr>
            <w:r>
              <w:rPr>
                <w:sz w:val="16"/>
              </w:rPr>
              <w:t>220.2 ($20,020)</w:t>
            </w:r>
          </w:p>
        </w:tc>
      </w:tr>
      <w:tr w:rsidR="005C797B" w14:paraId="59886E4A" w14:textId="77777777">
        <w:trPr>
          <w:trHeight w:val="454"/>
        </w:trPr>
        <w:tc>
          <w:tcPr>
            <w:tcW w:w="2155" w:type="dxa"/>
            <w:vAlign w:val="center"/>
          </w:tcPr>
          <w:p w14:paraId="53E862A4" w14:textId="77777777" w:rsidR="005C797B" w:rsidRDefault="0010114D">
            <w:pPr>
              <w:jc w:val="center"/>
              <w:rPr>
                <w:sz w:val="16"/>
              </w:rPr>
            </w:pPr>
            <w:r>
              <w:rPr>
                <w:sz w:val="16"/>
              </w:rPr>
              <w:t>75–79</w:t>
            </w:r>
          </w:p>
        </w:tc>
        <w:tc>
          <w:tcPr>
            <w:tcW w:w="2155" w:type="dxa"/>
            <w:vAlign w:val="center"/>
          </w:tcPr>
          <w:p w14:paraId="151D0AB8" w14:textId="77777777" w:rsidR="005C797B" w:rsidRDefault="0010114D">
            <w:pPr>
              <w:jc w:val="center"/>
              <w:rPr>
                <w:sz w:val="16"/>
              </w:rPr>
            </w:pPr>
            <w:r>
              <w:rPr>
                <w:sz w:val="16"/>
              </w:rPr>
              <w:t>259.1 ($23,550)</w:t>
            </w:r>
          </w:p>
        </w:tc>
        <w:tc>
          <w:tcPr>
            <w:tcW w:w="2155" w:type="dxa"/>
            <w:vAlign w:val="center"/>
          </w:tcPr>
          <w:p w14:paraId="1630DFDB" w14:textId="77777777" w:rsidR="005C797B" w:rsidRDefault="0010114D">
            <w:pPr>
              <w:jc w:val="center"/>
              <w:rPr>
                <w:sz w:val="16"/>
              </w:rPr>
            </w:pPr>
            <w:r>
              <w:rPr>
                <w:sz w:val="16"/>
              </w:rPr>
              <w:t>239.8 ($21,800)</w:t>
            </w:r>
          </w:p>
        </w:tc>
        <w:tc>
          <w:tcPr>
            <w:tcW w:w="2155" w:type="dxa"/>
            <w:vAlign w:val="center"/>
          </w:tcPr>
          <w:p w14:paraId="6C089213" w14:textId="77777777" w:rsidR="005C797B" w:rsidRDefault="0010114D">
            <w:pPr>
              <w:jc w:val="center"/>
              <w:rPr>
                <w:sz w:val="16"/>
              </w:rPr>
            </w:pPr>
            <w:r>
              <w:rPr>
                <w:sz w:val="16"/>
              </w:rPr>
              <w:t>252.8 ($22,980)</w:t>
            </w:r>
          </w:p>
        </w:tc>
        <w:tc>
          <w:tcPr>
            <w:tcW w:w="2155" w:type="dxa"/>
            <w:vAlign w:val="center"/>
          </w:tcPr>
          <w:p w14:paraId="1FD8C19D" w14:textId="77777777" w:rsidR="005C797B" w:rsidRDefault="0010114D">
            <w:pPr>
              <w:jc w:val="center"/>
              <w:rPr>
                <w:sz w:val="16"/>
              </w:rPr>
            </w:pPr>
            <w:r>
              <w:rPr>
                <w:sz w:val="16"/>
              </w:rPr>
              <w:t>236.1 ($21,470)</w:t>
            </w:r>
          </w:p>
        </w:tc>
      </w:tr>
      <w:tr w:rsidR="005C797B" w14:paraId="34F13325" w14:textId="77777777">
        <w:trPr>
          <w:trHeight w:val="454"/>
        </w:trPr>
        <w:tc>
          <w:tcPr>
            <w:tcW w:w="2155" w:type="dxa"/>
            <w:vAlign w:val="center"/>
          </w:tcPr>
          <w:p w14:paraId="61FBE6F2" w14:textId="77777777" w:rsidR="005C797B" w:rsidRDefault="0010114D">
            <w:pPr>
              <w:jc w:val="center"/>
              <w:rPr>
                <w:sz w:val="16"/>
              </w:rPr>
            </w:pPr>
            <w:r>
              <w:rPr>
                <w:sz w:val="16"/>
              </w:rPr>
              <w:t>80–84</w:t>
            </w:r>
          </w:p>
        </w:tc>
        <w:tc>
          <w:tcPr>
            <w:tcW w:w="2155" w:type="dxa"/>
            <w:vAlign w:val="center"/>
          </w:tcPr>
          <w:p w14:paraId="17D7B87E" w14:textId="77777777" w:rsidR="005C797B" w:rsidRDefault="0010114D">
            <w:pPr>
              <w:jc w:val="center"/>
              <w:rPr>
                <w:sz w:val="16"/>
              </w:rPr>
            </w:pPr>
            <w:r>
              <w:rPr>
                <w:sz w:val="16"/>
              </w:rPr>
              <w:t>263.6 ($23,960)</w:t>
            </w:r>
          </w:p>
        </w:tc>
        <w:tc>
          <w:tcPr>
            <w:tcW w:w="2155" w:type="dxa"/>
            <w:vAlign w:val="center"/>
          </w:tcPr>
          <w:p w14:paraId="49CD86CD" w14:textId="77777777" w:rsidR="005C797B" w:rsidRDefault="0010114D">
            <w:pPr>
              <w:jc w:val="center"/>
              <w:rPr>
                <w:sz w:val="16"/>
              </w:rPr>
            </w:pPr>
            <w:r>
              <w:rPr>
                <w:sz w:val="16"/>
              </w:rPr>
              <w:t>248.9 ($22,630)</w:t>
            </w:r>
          </w:p>
        </w:tc>
        <w:tc>
          <w:tcPr>
            <w:tcW w:w="2155" w:type="dxa"/>
            <w:vAlign w:val="center"/>
          </w:tcPr>
          <w:p w14:paraId="6CB935D2" w14:textId="77777777" w:rsidR="005C797B" w:rsidRDefault="0010114D">
            <w:pPr>
              <w:jc w:val="center"/>
              <w:rPr>
                <w:sz w:val="16"/>
              </w:rPr>
            </w:pPr>
            <w:r>
              <w:rPr>
                <w:sz w:val="16"/>
              </w:rPr>
              <w:t>259.4 ($23,580)</w:t>
            </w:r>
          </w:p>
        </w:tc>
        <w:tc>
          <w:tcPr>
            <w:tcW w:w="2155" w:type="dxa"/>
            <w:vAlign w:val="center"/>
          </w:tcPr>
          <w:p w14:paraId="1852A0D8" w14:textId="77777777" w:rsidR="005C797B" w:rsidRDefault="0010114D">
            <w:pPr>
              <w:jc w:val="center"/>
              <w:rPr>
                <w:sz w:val="16"/>
              </w:rPr>
            </w:pPr>
            <w:r>
              <w:rPr>
                <w:sz w:val="16"/>
              </w:rPr>
              <w:t>243.7 ($22,160)</w:t>
            </w:r>
          </w:p>
        </w:tc>
      </w:tr>
      <w:tr w:rsidR="005C797B" w14:paraId="4BFB8B59" w14:textId="77777777">
        <w:trPr>
          <w:trHeight w:val="454"/>
        </w:trPr>
        <w:tc>
          <w:tcPr>
            <w:tcW w:w="2155" w:type="dxa"/>
            <w:vAlign w:val="center"/>
          </w:tcPr>
          <w:p w14:paraId="2443E085" w14:textId="77777777" w:rsidR="005C797B" w:rsidRDefault="0010114D">
            <w:pPr>
              <w:jc w:val="center"/>
              <w:rPr>
                <w:sz w:val="16"/>
              </w:rPr>
            </w:pPr>
            <w:r>
              <w:rPr>
                <w:sz w:val="16"/>
              </w:rPr>
              <w:t>85–89</w:t>
            </w:r>
          </w:p>
        </w:tc>
        <w:tc>
          <w:tcPr>
            <w:tcW w:w="2155" w:type="dxa"/>
            <w:vAlign w:val="center"/>
          </w:tcPr>
          <w:p w14:paraId="5B090C22" w14:textId="77777777" w:rsidR="005C797B" w:rsidRDefault="0010114D">
            <w:pPr>
              <w:jc w:val="center"/>
              <w:rPr>
                <w:sz w:val="16"/>
              </w:rPr>
            </w:pPr>
            <w:r>
              <w:rPr>
                <w:sz w:val="16"/>
              </w:rPr>
              <w:t>259.7 ($23,610)</w:t>
            </w:r>
          </w:p>
        </w:tc>
        <w:tc>
          <w:tcPr>
            <w:tcW w:w="2155" w:type="dxa"/>
            <w:vAlign w:val="center"/>
          </w:tcPr>
          <w:p w14:paraId="05234893" w14:textId="77777777" w:rsidR="005C797B" w:rsidRDefault="0010114D">
            <w:pPr>
              <w:jc w:val="center"/>
              <w:rPr>
                <w:sz w:val="16"/>
              </w:rPr>
            </w:pPr>
            <w:r>
              <w:rPr>
                <w:sz w:val="16"/>
              </w:rPr>
              <w:t>245.3 ($22,300)</w:t>
            </w:r>
          </w:p>
        </w:tc>
        <w:tc>
          <w:tcPr>
            <w:tcW w:w="2155" w:type="dxa"/>
            <w:vAlign w:val="center"/>
          </w:tcPr>
          <w:p w14:paraId="35A3E92C" w14:textId="77777777" w:rsidR="005C797B" w:rsidRDefault="0010114D">
            <w:pPr>
              <w:jc w:val="center"/>
              <w:rPr>
                <w:sz w:val="16"/>
              </w:rPr>
            </w:pPr>
            <w:r>
              <w:rPr>
                <w:sz w:val="16"/>
              </w:rPr>
              <w:t>255.8 ($23,260)</w:t>
            </w:r>
          </w:p>
        </w:tc>
        <w:tc>
          <w:tcPr>
            <w:tcW w:w="2155" w:type="dxa"/>
            <w:vAlign w:val="center"/>
          </w:tcPr>
          <w:p w14:paraId="6C35188B" w14:textId="77777777" w:rsidR="005C797B" w:rsidRDefault="0010114D">
            <w:pPr>
              <w:jc w:val="center"/>
              <w:rPr>
                <w:sz w:val="16"/>
              </w:rPr>
            </w:pPr>
            <w:r>
              <w:rPr>
                <w:sz w:val="16"/>
              </w:rPr>
              <w:t>239.0 ($21,730)</w:t>
            </w:r>
          </w:p>
        </w:tc>
      </w:tr>
      <w:tr w:rsidR="005C797B" w14:paraId="45EB5FBE" w14:textId="77777777">
        <w:trPr>
          <w:trHeight w:val="454"/>
        </w:trPr>
        <w:tc>
          <w:tcPr>
            <w:tcW w:w="2155" w:type="dxa"/>
            <w:vAlign w:val="center"/>
          </w:tcPr>
          <w:p w14:paraId="0C1DC31B" w14:textId="77777777" w:rsidR="005C797B" w:rsidRDefault="0010114D">
            <w:pPr>
              <w:jc w:val="center"/>
              <w:rPr>
                <w:sz w:val="16"/>
              </w:rPr>
            </w:pPr>
            <w:r>
              <w:rPr>
                <w:sz w:val="16"/>
              </w:rPr>
              <w:t>90–94</w:t>
            </w:r>
          </w:p>
        </w:tc>
        <w:tc>
          <w:tcPr>
            <w:tcW w:w="2155" w:type="dxa"/>
            <w:vAlign w:val="center"/>
          </w:tcPr>
          <w:p w14:paraId="6CD29A41" w14:textId="77777777" w:rsidR="005C797B" w:rsidRDefault="0010114D">
            <w:pPr>
              <w:jc w:val="center"/>
              <w:rPr>
                <w:sz w:val="16"/>
              </w:rPr>
            </w:pPr>
            <w:r>
              <w:rPr>
                <w:sz w:val="16"/>
              </w:rPr>
              <w:t>253.9 ($23,080)</w:t>
            </w:r>
          </w:p>
        </w:tc>
        <w:tc>
          <w:tcPr>
            <w:tcW w:w="2155" w:type="dxa"/>
            <w:vAlign w:val="center"/>
          </w:tcPr>
          <w:p w14:paraId="66749956" w14:textId="77777777" w:rsidR="005C797B" w:rsidRDefault="0010114D">
            <w:pPr>
              <w:jc w:val="center"/>
              <w:rPr>
                <w:sz w:val="16"/>
              </w:rPr>
            </w:pPr>
            <w:r>
              <w:rPr>
                <w:sz w:val="16"/>
              </w:rPr>
              <w:t>239.8 ($21,800)</w:t>
            </w:r>
          </w:p>
        </w:tc>
        <w:tc>
          <w:tcPr>
            <w:tcW w:w="2155" w:type="dxa"/>
            <w:vAlign w:val="center"/>
          </w:tcPr>
          <w:p w14:paraId="222B5D79" w14:textId="77777777" w:rsidR="005C797B" w:rsidRDefault="0010114D">
            <w:pPr>
              <w:jc w:val="center"/>
              <w:rPr>
                <w:sz w:val="16"/>
              </w:rPr>
            </w:pPr>
            <w:r>
              <w:rPr>
                <w:sz w:val="16"/>
              </w:rPr>
              <w:t>245.7 ($22,340)</w:t>
            </w:r>
          </w:p>
        </w:tc>
        <w:tc>
          <w:tcPr>
            <w:tcW w:w="2155" w:type="dxa"/>
            <w:vAlign w:val="center"/>
          </w:tcPr>
          <w:p w14:paraId="74ADADA4" w14:textId="77777777" w:rsidR="005C797B" w:rsidRDefault="0010114D">
            <w:pPr>
              <w:jc w:val="center"/>
              <w:rPr>
                <w:sz w:val="16"/>
              </w:rPr>
            </w:pPr>
            <w:r>
              <w:rPr>
                <w:sz w:val="16"/>
              </w:rPr>
              <w:t>227.0 ($20,640)</w:t>
            </w:r>
          </w:p>
        </w:tc>
      </w:tr>
      <w:tr w:rsidR="005C797B" w14:paraId="4C66CFCF" w14:textId="77777777">
        <w:trPr>
          <w:trHeight w:val="454"/>
        </w:trPr>
        <w:tc>
          <w:tcPr>
            <w:tcW w:w="2155" w:type="dxa"/>
            <w:vAlign w:val="center"/>
          </w:tcPr>
          <w:p w14:paraId="71C4DCE7" w14:textId="77777777" w:rsidR="005C797B" w:rsidRDefault="0010114D">
            <w:pPr>
              <w:jc w:val="center"/>
              <w:rPr>
                <w:sz w:val="16"/>
              </w:rPr>
            </w:pPr>
            <w:r>
              <w:rPr>
                <w:sz w:val="16"/>
              </w:rPr>
              <w:t>95–99</w:t>
            </w:r>
          </w:p>
        </w:tc>
        <w:tc>
          <w:tcPr>
            <w:tcW w:w="2155" w:type="dxa"/>
            <w:vAlign w:val="center"/>
          </w:tcPr>
          <w:p w14:paraId="285B84CD" w14:textId="77777777" w:rsidR="005C797B" w:rsidRDefault="0010114D">
            <w:pPr>
              <w:jc w:val="center"/>
              <w:rPr>
                <w:sz w:val="16"/>
              </w:rPr>
            </w:pPr>
            <w:r>
              <w:rPr>
                <w:sz w:val="16"/>
              </w:rPr>
              <w:t>246.2 ($22,380)</w:t>
            </w:r>
          </w:p>
        </w:tc>
        <w:tc>
          <w:tcPr>
            <w:tcW w:w="2155" w:type="dxa"/>
            <w:vAlign w:val="center"/>
          </w:tcPr>
          <w:p w14:paraId="5A02821D" w14:textId="77777777" w:rsidR="005C797B" w:rsidRDefault="0010114D">
            <w:pPr>
              <w:jc w:val="center"/>
              <w:rPr>
                <w:sz w:val="16"/>
              </w:rPr>
            </w:pPr>
            <w:r>
              <w:rPr>
                <w:sz w:val="16"/>
              </w:rPr>
              <w:t>232.3 ($21,120)</w:t>
            </w:r>
          </w:p>
        </w:tc>
        <w:tc>
          <w:tcPr>
            <w:tcW w:w="2155" w:type="dxa"/>
            <w:vAlign w:val="center"/>
          </w:tcPr>
          <w:p w14:paraId="2D4683FA" w14:textId="77777777" w:rsidR="005C797B" w:rsidRDefault="0010114D">
            <w:pPr>
              <w:jc w:val="center"/>
              <w:rPr>
                <w:sz w:val="16"/>
              </w:rPr>
            </w:pPr>
            <w:r>
              <w:rPr>
                <w:sz w:val="16"/>
              </w:rPr>
              <w:t>232.6 ($21,150)</w:t>
            </w:r>
          </w:p>
        </w:tc>
        <w:tc>
          <w:tcPr>
            <w:tcW w:w="2155" w:type="dxa"/>
            <w:vAlign w:val="center"/>
          </w:tcPr>
          <w:p w14:paraId="0541E7D0" w14:textId="77777777" w:rsidR="005C797B" w:rsidRDefault="0010114D">
            <w:pPr>
              <w:jc w:val="center"/>
              <w:rPr>
                <w:sz w:val="16"/>
              </w:rPr>
            </w:pPr>
            <w:r>
              <w:rPr>
                <w:sz w:val="16"/>
              </w:rPr>
              <w:t>209.4 ($19,040)</w:t>
            </w:r>
          </w:p>
        </w:tc>
      </w:tr>
      <w:tr w:rsidR="005C797B" w14:paraId="1A74AF1E" w14:textId="77777777">
        <w:trPr>
          <w:trHeight w:val="454"/>
        </w:trPr>
        <w:tc>
          <w:tcPr>
            <w:tcW w:w="2155" w:type="dxa"/>
            <w:vAlign w:val="center"/>
          </w:tcPr>
          <w:p w14:paraId="1F3F0959" w14:textId="77777777" w:rsidR="005C797B" w:rsidRDefault="0010114D">
            <w:pPr>
              <w:jc w:val="center"/>
              <w:rPr>
                <w:sz w:val="16"/>
              </w:rPr>
            </w:pPr>
            <w:r>
              <w:rPr>
                <w:sz w:val="16"/>
              </w:rPr>
              <w:t>100–</w:t>
            </w:r>
          </w:p>
        </w:tc>
        <w:tc>
          <w:tcPr>
            <w:tcW w:w="2155" w:type="dxa"/>
            <w:vAlign w:val="center"/>
          </w:tcPr>
          <w:p w14:paraId="50566A4E" w14:textId="77777777" w:rsidR="005C797B" w:rsidRDefault="0010114D">
            <w:pPr>
              <w:jc w:val="center"/>
              <w:rPr>
                <w:sz w:val="16"/>
              </w:rPr>
            </w:pPr>
            <w:r>
              <w:rPr>
                <w:sz w:val="16"/>
              </w:rPr>
              <w:t>220.2 ($20,020)</w:t>
            </w:r>
          </w:p>
        </w:tc>
        <w:tc>
          <w:tcPr>
            <w:tcW w:w="2155" w:type="dxa"/>
            <w:vAlign w:val="center"/>
          </w:tcPr>
          <w:p w14:paraId="1E391D69" w14:textId="77777777" w:rsidR="005C797B" w:rsidRDefault="0010114D">
            <w:pPr>
              <w:jc w:val="center"/>
              <w:rPr>
                <w:sz w:val="16"/>
              </w:rPr>
            </w:pPr>
            <w:r>
              <w:rPr>
                <w:sz w:val="16"/>
              </w:rPr>
              <w:t>199.7 ($18,150)</w:t>
            </w:r>
          </w:p>
        </w:tc>
        <w:tc>
          <w:tcPr>
            <w:tcW w:w="2155" w:type="dxa"/>
            <w:vAlign w:val="center"/>
          </w:tcPr>
          <w:p w14:paraId="102A0E47" w14:textId="77777777" w:rsidR="005C797B" w:rsidRDefault="0010114D">
            <w:pPr>
              <w:jc w:val="center"/>
              <w:rPr>
                <w:sz w:val="16"/>
              </w:rPr>
            </w:pPr>
            <w:r>
              <w:rPr>
                <w:sz w:val="16"/>
              </w:rPr>
              <w:t>219.3 ($19,940)</w:t>
            </w:r>
          </w:p>
        </w:tc>
        <w:tc>
          <w:tcPr>
            <w:tcW w:w="2155" w:type="dxa"/>
            <w:vAlign w:val="center"/>
          </w:tcPr>
          <w:p w14:paraId="3872780F" w14:textId="77777777" w:rsidR="005C797B" w:rsidRDefault="0010114D">
            <w:pPr>
              <w:jc w:val="center"/>
              <w:rPr>
                <w:sz w:val="16"/>
              </w:rPr>
            </w:pPr>
            <w:r>
              <w:rPr>
                <w:sz w:val="16"/>
              </w:rPr>
              <w:t>198.9 ($18,080)</w:t>
            </w:r>
          </w:p>
        </w:tc>
      </w:tr>
      <w:tr w:rsidR="005C797B" w14:paraId="21A31DE3" w14:textId="77777777">
        <w:trPr>
          <w:trHeight w:val="454"/>
        </w:trPr>
        <w:tc>
          <w:tcPr>
            <w:tcW w:w="2155" w:type="dxa"/>
            <w:vAlign w:val="center"/>
          </w:tcPr>
          <w:p w14:paraId="096ED94F" w14:textId="77777777" w:rsidR="005C797B" w:rsidRDefault="0010114D">
            <w:pPr>
              <w:jc w:val="center"/>
              <w:rPr>
                <w:sz w:val="16"/>
              </w:rPr>
            </w:pPr>
            <w:r>
              <w:rPr>
                <w:sz w:val="16"/>
              </w:rPr>
              <w:t>Total</w:t>
            </w:r>
          </w:p>
        </w:tc>
        <w:tc>
          <w:tcPr>
            <w:tcW w:w="2155" w:type="dxa"/>
            <w:vAlign w:val="center"/>
          </w:tcPr>
          <w:p w14:paraId="7C936325" w14:textId="77777777" w:rsidR="005C797B" w:rsidRDefault="0010114D">
            <w:pPr>
              <w:jc w:val="center"/>
              <w:rPr>
                <w:sz w:val="16"/>
              </w:rPr>
            </w:pPr>
            <w:r>
              <w:rPr>
                <w:sz w:val="16"/>
              </w:rPr>
              <w:t>255.0 ($24,090)</w:t>
            </w:r>
          </w:p>
        </w:tc>
        <w:tc>
          <w:tcPr>
            <w:tcW w:w="2155" w:type="dxa"/>
            <w:vAlign w:val="center"/>
          </w:tcPr>
          <w:p w14:paraId="3D4F6C2A" w14:textId="77777777" w:rsidR="005C797B" w:rsidRDefault="0010114D">
            <w:pPr>
              <w:jc w:val="center"/>
              <w:rPr>
                <w:sz w:val="16"/>
              </w:rPr>
            </w:pPr>
            <w:r>
              <w:rPr>
                <w:sz w:val="16"/>
              </w:rPr>
              <w:t>236.9 ($21,800)</w:t>
            </w:r>
          </w:p>
        </w:tc>
        <w:tc>
          <w:tcPr>
            <w:tcW w:w="2155" w:type="dxa"/>
            <w:vAlign w:val="center"/>
          </w:tcPr>
          <w:p w14:paraId="2AF56C7D" w14:textId="77777777" w:rsidR="005C797B" w:rsidRDefault="0010114D">
            <w:pPr>
              <w:jc w:val="center"/>
              <w:rPr>
                <w:sz w:val="16"/>
              </w:rPr>
            </w:pPr>
            <w:r>
              <w:rPr>
                <w:sz w:val="16"/>
              </w:rPr>
              <w:t>249.3 ($23,360)</w:t>
            </w:r>
          </w:p>
        </w:tc>
        <w:tc>
          <w:tcPr>
            <w:tcW w:w="2155" w:type="dxa"/>
            <w:vAlign w:val="center"/>
          </w:tcPr>
          <w:p w14:paraId="244FBA19" w14:textId="77777777" w:rsidR="005C797B" w:rsidRDefault="0010114D">
            <w:pPr>
              <w:jc w:val="center"/>
              <w:rPr>
                <w:sz w:val="16"/>
              </w:rPr>
            </w:pPr>
            <w:r>
              <w:rPr>
                <w:sz w:val="16"/>
              </w:rPr>
              <w:t>231.0 ($21,340)</w:t>
            </w:r>
          </w:p>
        </w:tc>
      </w:tr>
    </w:tbl>
    <w:p w14:paraId="09BE47EA" w14:textId="77777777" w:rsidR="005C797B" w:rsidRDefault="005C797B">
      <w:pPr>
        <w:jc w:val="center"/>
        <w:rPr>
          <w:sz w:val="16"/>
        </w:rPr>
      </w:pPr>
    </w:p>
    <w:p w14:paraId="63D98332" w14:textId="77777777" w:rsidR="005C797B" w:rsidRDefault="0010114D">
      <w:pPr>
        <w:tabs>
          <w:tab w:val="left" w:pos="2772"/>
        </w:tabs>
      </w:pPr>
      <w:r>
        <w:br w:type="page"/>
      </w:r>
    </w:p>
    <w:p w14:paraId="26A5652D" w14:textId="77777777" w:rsidR="00EF03E1" w:rsidRDefault="0010114D">
      <w:pPr>
        <w:tabs>
          <w:tab w:val="left" w:pos="2772"/>
        </w:tabs>
        <w:rPr>
          <w:b/>
          <w:sz w:val="20"/>
        </w:rPr>
      </w:pPr>
      <w:r>
        <w:rPr>
          <w:b/>
          <w:sz w:val="20"/>
        </w:rPr>
        <w:lastRenderedPageBreak/>
        <w:t xml:space="preserve">Supplemental Table 4: Medical expenditures for </w:t>
      </w:r>
      <w:r w:rsidR="00DD280D">
        <w:rPr>
          <w:b/>
          <w:sz w:val="20"/>
        </w:rPr>
        <w:t xml:space="preserve">fragility </w:t>
      </w:r>
      <w:r>
        <w:rPr>
          <w:b/>
          <w:sz w:val="20"/>
        </w:rPr>
        <w:t xml:space="preserve">hip fracture per patient, stratified by anatomical sites and surgical procedures, </w:t>
      </w:r>
    </w:p>
    <w:p w14:paraId="2A485F38" w14:textId="3265E11A" w:rsidR="00D33D53" w:rsidRDefault="00D33D53" w:rsidP="00D33D53">
      <w:pPr>
        <w:rPr>
          <w:b/>
          <w:sz w:val="20"/>
        </w:rPr>
      </w:pPr>
      <w:r>
        <w:rPr>
          <w:b/>
          <w:sz w:val="20"/>
        </w:rPr>
        <w:t xml:space="preserve">(unit: 10 thousands yen, 110 </w:t>
      </w:r>
      <w:r w:rsidRPr="00031FDA">
        <w:rPr>
          <w:b/>
          <w:sz w:val="20"/>
        </w:rPr>
        <w:t>yen=</w:t>
      </w:r>
      <w:r w:rsidR="00D355A1" w:rsidRPr="00031FDA">
        <w:rPr>
          <w:b/>
          <w:sz w:val="20"/>
        </w:rPr>
        <w:t xml:space="preserve"> 1 US dollars [$])</w:t>
      </w:r>
      <w:r w:rsidRPr="00031FDA">
        <w:rPr>
          <w:b/>
          <w:sz w:val="20"/>
        </w:rPr>
        <w:t>)</w:t>
      </w:r>
    </w:p>
    <w:tbl>
      <w:tblPr>
        <w:tblStyle w:val="TableGrid"/>
        <w:tblW w:w="0" w:type="auto"/>
        <w:tblLook w:val="04A0" w:firstRow="1" w:lastRow="0" w:firstColumn="1" w:lastColumn="0" w:noHBand="0" w:noVBand="1"/>
      </w:tblPr>
      <w:tblGrid>
        <w:gridCol w:w="4588"/>
        <w:gridCol w:w="2090"/>
        <w:gridCol w:w="2091"/>
        <w:gridCol w:w="2090"/>
        <w:gridCol w:w="2091"/>
      </w:tblGrid>
      <w:tr w:rsidR="005C797B" w14:paraId="33E9FE25" w14:textId="77777777">
        <w:trPr>
          <w:trHeight w:val="550"/>
        </w:trPr>
        <w:tc>
          <w:tcPr>
            <w:tcW w:w="4957" w:type="dxa"/>
          </w:tcPr>
          <w:p w14:paraId="2EFCEB2A" w14:textId="77777777" w:rsidR="005C797B" w:rsidRDefault="005C797B">
            <w:pPr>
              <w:tabs>
                <w:tab w:val="left" w:pos="2772"/>
              </w:tabs>
              <w:rPr>
                <w:sz w:val="16"/>
              </w:rPr>
            </w:pPr>
          </w:p>
        </w:tc>
        <w:tc>
          <w:tcPr>
            <w:tcW w:w="4465" w:type="dxa"/>
            <w:gridSpan w:val="2"/>
            <w:vAlign w:val="center"/>
          </w:tcPr>
          <w:p w14:paraId="37D687C5" w14:textId="77777777" w:rsidR="005C797B" w:rsidRDefault="0010114D">
            <w:pPr>
              <w:tabs>
                <w:tab w:val="left" w:pos="2772"/>
              </w:tabs>
              <w:jc w:val="center"/>
              <w:rPr>
                <w:b/>
                <w:sz w:val="16"/>
              </w:rPr>
            </w:pPr>
            <w:r>
              <w:rPr>
                <w:b/>
                <w:sz w:val="16"/>
              </w:rPr>
              <w:t>Male (n=28,868)</w:t>
            </w:r>
          </w:p>
        </w:tc>
        <w:tc>
          <w:tcPr>
            <w:tcW w:w="4465" w:type="dxa"/>
            <w:gridSpan w:val="2"/>
            <w:vAlign w:val="center"/>
          </w:tcPr>
          <w:p w14:paraId="3C235E6B" w14:textId="77777777" w:rsidR="005C797B" w:rsidRDefault="0010114D">
            <w:pPr>
              <w:tabs>
                <w:tab w:val="left" w:pos="2772"/>
              </w:tabs>
              <w:jc w:val="center"/>
              <w:rPr>
                <w:b/>
                <w:sz w:val="16"/>
              </w:rPr>
            </w:pPr>
            <w:r>
              <w:rPr>
                <w:b/>
                <w:sz w:val="16"/>
              </w:rPr>
              <w:t>Female (n=113,493)</w:t>
            </w:r>
          </w:p>
        </w:tc>
      </w:tr>
      <w:tr w:rsidR="005C797B" w14:paraId="28E1EC3E" w14:textId="77777777">
        <w:trPr>
          <w:trHeight w:val="550"/>
        </w:trPr>
        <w:tc>
          <w:tcPr>
            <w:tcW w:w="4957" w:type="dxa"/>
          </w:tcPr>
          <w:p w14:paraId="32C7B206" w14:textId="77777777" w:rsidR="005C797B" w:rsidRDefault="005C797B">
            <w:pPr>
              <w:tabs>
                <w:tab w:val="left" w:pos="2772"/>
              </w:tabs>
              <w:rPr>
                <w:sz w:val="16"/>
              </w:rPr>
            </w:pPr>
          </w:p>
        </w:tc>
        <w:tc>
          <w:tcPr>
            <w:tcW w:w="2232" w:type="dxa"/>
            <w:vAlign w:val="center"/>
          </w:tcPr>
          <w:p w14:paraId="32056F31" w14:textId="77777777" w:rsidR="005C797B" w:rsidRDefault="0010114D">
            <w:pPr>
              <w:tabs>
                <w:tab w:val="left" w:pos="2772"/>
              </w:tabs>
              <w:jc w:val="center"/>
              <w:rPr>
                <w:b/>
                <w:sz w:val="16"/>
              </w:rPr>
            </w:pPr>
            <w:r>
              <w:rPr>
                <w:b/>
                <w:sz w:val="16"/>
              </w:rPr>
              <w:t>Mean</w:t>
            </w:r>
          </w:p>
        </w:tc>
        <w:tc>
          <w:tcPr>
            <w:tcW w:w="2233" w:type="dxa"/>
            <w:vAlign w:val="center"/>
          </w:tcPr>
          <w:p w14:paraId="15876A91" w14:textId="77777777" w:rsidR="005C797B" w:rsidRDefault="0010114D">
            <w:pPr>
              <w:tabs>
                <w:tab w:val="left" w:pos="2772"/>
              </w:tabs>
              <w:jc w:val="center"/>
              <w:rPr>
                <w:b/>
                <w:sz w:val="16"/>
              </w:rPr>
            </w:pPr>
            <w:r>
              <w:rPr>
                <w:b/>
                <w:sz w:val="16"/>
              </w:rPr>
              <w:t>Median</w:t>
            </w:r>
          </w:p>
        </w:tc>
        <w:tc>
          <w:tcPr>
            <w:tcW w:w="2232" w:type="dxa"/>
            <w:vAlign w:val="center"/>
          </w:tcPr>
          <w:p w14:paraId="07100642" w14:textId="77777777" w:rsidR="005C797B" w:rsidRDefault="0010114D">
            <w:pPr>
              <w:tabs>
                <w:tab w:val="left" w:pos="2772"/>
              </w:tabs>
              <w:jc w:val="center"/>
              <w:rPr>
                <w:b/>
                <w:sz w:val="16"/>
              </w:rPr>
            </w:pPr>
            <w:r>
              <w:rPr>
                <w:b/>
                <w:sz w:val="16"/>
              </w:rPr>
              <w:t>Mean</w:t>
            </w:r>
          </w:p>
        </w:tc>
        <w:tc>
          <w:tcPr>
            <w:tcW w:w="2233" w:type="dxa"/>
            <w:vAlign w:val="center"/>
          </w:tcPr>
          <w:p w14:paraId="0CCCD3B1" w14:textId="77777777" w:rsidR="005C797B" w:rsidRDefault="0010114D">
            <w:pPr>
              <w:tabs>
                <w:tab w:val="left" w:pos="2772"/>
              </w:tabs>
              <w:jc w:val="center"/>
              <w:rPr>
                <w:b/>
                <w:sz w:val="16"/>
              </w:rPr>
            </w:pPr>
            <w:r>
              <w:rPr>
                <w:b/>
                <w:sz w:val="16"/>
              </w:rPr>
              <w:t>Median</w:t>
            </w:r>
          </w:p>
        </w:tc>
      </w:tr>
      <w:tr w:rsidR="005C797B" w14:paraId="7CB3595B" w14:textId="77777777">
        <w:trPr>
          <w:trHeight w:val="550"/>
        </w:trPr>
        <w:tc>
          <w:tcPr>
            <w:tcW w:w="4957" w:type="dxa"/>
            <w:vAlign w:val="center"/>
          </w:tcPr>
          <w:p w14:paraId="7E30D02D" w14:textId="77777777" w:rsidR="005C797B" w:rsidRDefault="0010114D">
            <w:pPr>
              <w:tabs>
                <w:tab w:val="left" w:pos="2772"/>
              </w:tabs>
              <w:rPr>
                <w:color w:val="262626"/>
                <w:sz w:val="16"/>
              </w:rPr>
            </w:pPr>
            <w:r>
              <w:rPr>
                <w:b/>
                <w:sz w:val="16"/>
              </w:rPr>
              <w:t>Femoral neck</w:t>
            </w:r>
          </w:p>
        </w:tc>
        <w:tc>
          <w:tcPr>
            <w:tcW w:w="4465" w:type="dxa"/>
            <w:gridSpan w:val="2"/>
            <w:vAlign w:val="center"/>
          </w:tcPr>
          <w:p w14:paraId="31AF3D65" w14:textId="77777777" w:rsidR="005C797B" w:rsidRDefault="0010114D">
            <w:pPr>
              <w:tabs>
                <w:tab w:val="left" w:pos="2772"/>
              </w:tabs>
              <w:jc w:val="center"/>
              <w:rPr>
                <w:sz w:val="16"/>
              </w:rPr>
            </w:pPr>
            <w:r>
              <w:rPr>
                <w:sz w:val="16"/>
              </w:rPr>
              <w:t>n=16,752 (58.0%)</w:t>
            </w:r>
          </w:p>
        </w:tc>
        <w:tc>
          <w:tcPr>
            <w:tcW w:w="4465" w:type="dxa"/>
            <w:gridSpan w:val="2"/>
            <w:vAlign w:val="center"/>
          </w:tcPr>
          <w:p w14:paraId="2AD306A9" w14:textId="77777777" w:rsidR="005C797B" w:rsidRDefault="0010114D">
            <w:pPr>
              <w:tabs>
                <w:tab w:val="left" w:pos="2772"/>
              </w:tabs>
              <w:jc w:val="center"/>
              <w:rPr>
                <w:sz w:val="16"/>
              </w:rPr>
            </w:pPr>
            <w:r>
              <w:rPr>
                <w:sz w:val="16"/>
              </w:rPr>
              <w:t>n=63,677 (56.1%)</w:t>
            </w:r>
          </w:p>
        </w:tc>
      </w:tr>
      <w:tr w:rsidR="005C797B" w14:paraId="4B3DC49D" w14:textId="77777777">
        <w:trPr>
          <w:trHeight w:val="550"/>
        </w:trPr>
        <w:tc>
          <w:tcPr>
            <w:tcW w:w="4957" w:type="dxa"/>
            <w:vAlign w:val="center"/>
          </w:tcPr>
          <w:p w14:paraId="077801B5" w14:textId="77777777" w:rsidR="005C797B" w:rsidRDefault="0010114D">
            <w:pPr>
              <w:tabs>
                <w:tab w:val="left" w:pos="2772"/>
              </w:tabs>
              <w:rPr>
                <w:sz w:val="16"/>
              </w:rPr>
            </w:pPr>
            <w:r>
              <w:rPr>
                <w:color w:val="262626"/>
                <w:sz w:val="16"/>
              </w:rPr>
              <w:t>Total hip replacement</w:t>
            </w:r>
          </w:p>
        </w:tc>
        <w:tc>
          <w:tcPr>
            <w:tcW w:w="2232" w:type="dxa"/>
            <w:vAlign w:val="center"/>
          </w:tcPr>
          <w:p w14:paraId="21E623CB" w14:textId="77777777" w:rsidR="005C797B" w:rsidRDefault="0010114D">
            <w:pPr>
              <w:tabs>
                <w:tab w:val="left" w:pos="2772"/>
              </w:tabs>
              <w:jc w:val="center"/>
              <w:rPr>
                <w:color w:val="000000"/>
                <w:sz w:val="16"/>
              </w:rPr>
            </w:pPr>
            <w:r>
              <w:rPr>
                <w:sz w:val="16"/>
              </w:rPr>
              <w:t>317.4 ($28,860)</w:t>
            </w:r>
          </w:p>
        </w:tc>
        <w:tc>
          <w:tcPr>
            <w:tcW w:w="2233" w:type="dxa"/>
            <w:vAlign w:val="center"/>
          </w:tcPr>
          <w:p w14:paraId="14F7EE94" w14:textId="77777777" w:rsidR="005C797B" w:rsidRDefault="0010114D">
            <w:pPr>
              <w:tabs>
                <w:tab w:val="left" w:pos="2772"/>
              </w:tabs>
              <w:jc w:val="center"/>
              <w:rPr>
                <w:sz w:val="16"/>
              </w:rPr>
            </w:pPr>
            <w:r>
              <w:rPr>
                <w:sz w:val="16"/>
              </w:rPr>
              <w:t>277.8 ($25,260)</w:t>
            </w:r>
          </w:p>
        </w:tc>
        <w:tc>
          <w:tcPr>
            <w:tcW w:w="2232" w:type="dxa"/>
            <w:vAlign w:val="center"/>
          </w:tcPr>
          <w:p w14:paraId="0688505A" w14:textId="77777777" w:rsidR="005C797B" w:rsidRDefault="0010114D">
            <w:pPr>
              <w:tabs>
                <w:tab w:val="left" w:pos="2772"/>
              </w:tabs>
              <w:jc w:val="center"/>
              <w:rPr>
                <w:sz w:val="16"/>
              </w:rPr>
            </w:pPr>
            <w:r>
              <w:rPr>
                <w:sz w:val="16"/>
              </w:rPr>
              <w:t>308.5 ($28,050)</w:t>
            </w:r>
          </w:p>
        </w:tc>
        <w:tc>
          <w:tcPr>
            <w:tcW w:w="2233" w:type="dxa"/>
            <w:vAlign w:val="center"/>
          </w:tcPr>
          <w:p w14:paraId="367F4318" w14:textId="77777777" w:rsidR="005C797B" w:rsidRDefault="0010114D">
            <w:pPr>
              <w:tabs>
                <w:tab w:val="left" w:pos="2772"/>
              </w:tabs>
              <w:jc w:val="center"/>
              <w:rPr>
                <w:sz w:val="16"/>
              </w:rPr>
            </w:pPr>
            <w:r>
              <w:rPr>
                <w:sz w:val="16"/>
              </w:rPr>
              <w:t>272.6 ($24,780)</w:t>
            </w:r>
          </w:p>
        </w:tc>
      </w:tr>
      <w:tr w:rsidR="005C797B" w14:paraId="28915D05" w14:textId="77777777">
        <w:trPr>
          <w:trHeight w:val="550"/>
        </w:trPr>
        <w:tc>
          <w:tcPr>
            <w:tcW w:w="4957" w:type="dxa"/>
            <w:vAlign w:val="center"/>
          </w:tcPr>
          <w:p w14:paraId="1BAC8D29" w14:textId="77777777" w:rsidR="005C797B" w:rsidRDefault="0010114D">
            <w:pPr>
              <w:tabs>
                <w:tab w:val="left" w:pos="2772"/>
              </w:tabs>
              <w:rPr>
                <w:sz w:val="16"/>
              </w:rPr>
            </w:pPr>
            <w:r>
              <w:rPr>
                <w:color w:val="262626"/>
                <w:sz w:val="16"/>
              </w:rPr>
              <w:t xml:space="preserve">Bipolar hip arthroplasty </w:t>
            </w:r>
          </w:p>
        </w:tc>
        <w:tc>
          <w:tcPr>
            <w:tcW w:w="2232" w:type="dxa"/>
            <w:vAlign w:val="center"/>
          </w:tcPr>
          <w:p w14:paraId="45B0145E" w14:textId="77777777" w:rsidR="005C797B" w:rsidRDefault="0010114D">
            <w:pPr>
              <w:tabs>
                <w:tab w:val="left" w:pos="2772"/>
              </w:tabs>
              <w:jc w:val="center"/>
              <w:rPr>
                <w:color w:val="262626"/>
                <w:sz w:val="16"/>
              </w:rPr>
            </w:pPr>
            <w:r>
              <w:rPr>
                <w:color w:val="262626"/>
                <w:sz w:val="16"/>
              </w:rPr>
              <w:t>288.5 ($26,230)</w:t>
            </w:r>
          </w:p>
        </w:tc>
        <w:tc>
          <w:tcPr>
            <w:tcW w:w="2233" w:type="dxa"/>
            <w:vAlign w:val="center"/>
          </w:tcPr>
          <w:p w14:paraId="0F0A3604" w14:textId="77777777" w:rsidR="005C797B" w:rsidRDefault="0010114D">
            <w:pPr>
              <w:tabs>
                <w:tab w:val="left" w:pos="2772"/>
              </w:tabs>
              <w:jc w:val="center"/>
              <w:rPr>
                <w:color w:val="262626"/>
                <w:sz w:val="16"/>
              </w:rPr>
            </w:pPr>
            <w:r>
              <w:rPr>
                <w:color w:val="262626"/>
                <w:sz w:val="16"/>
              </w:rPr>
              <w:t>266.7 ($24,250)</w:t>
            </w:r>
          </w:p>
        </w:tc>
        <w:tc>
          <w:tcPr>
            <w:tcW w:w="2232" w:type="dxa"/>
            <w:vAlign w:val="center"/>
          </w:tcPr>
          <w:p w14:paraId="15C6DF18" w14:textId="77777777" w:rsidR="005C797B" w:rsidRDefault="0010114D">
            <w:pPr>
              <w:tabs>
                <w:tab w:val="left" w:pos="2772"/>
              </w:tabs>
              <w:jc w:val="center"/>
              <w:rPr>
                <w:color w:val="262626"/>
                <w:sz w:val="16"/>
              </w:rPr>
            </w:pPr>
            <w:r>
              <w:rPr>
                <w:color w:val="262626"/>
                <w:sz w:val="16"/>
              </w:rPr>
              <w:t>280.4 ($25,490)</w:t>
            </w:r>
          </w:p>
        </w:tc>
        <w:tc>
          <w:tcPr>
            <w:tcW w:w="2233" w:type="dxa"/>
            <w:vAlign w:val="center"/>
          </w:tcPr>
          <w:p w14:paraId="09695292" w14:textId="77777777" w:rsidR="005C797B" w:rsidRDefault="0010114D">
            <w:pPr>
              <w:tabs>
                <w:tab w:val="left" w:pos="2772"/>
              </w:tabs>
              <w:jc w:val="center"/>
              <w:rPr>
                <w:color w:val="262626"/>
                <w:sz w:val="16"/>
              </w:rPr>
            </w:pPr>
            <w:r>
              <w:rPr>
                <w:color w:val="262626"/>
                <w:sz w:val="16"/>
              </w:rPr>
              <w:t>258.7 ($23,520)</w:t>
            </w:r>
          </w:p>
        </w:tc>
      </w:tr>
      <w:tr w:rsidR="005C797B" w14:paraId="5D583A24" w14:textId="77777777">
        <w:trPr>
          <w:trHeight w:val="550"/>
        </w:trPr>
        <w:tc>
          <w:tcPr>
            <w:tcW w:w="4957" w:type="dxa"/>
            <w:vAlign w:val="center"/>
          </w:tcPr>
          <w:p w14:paraId="6BAA4236" w14:textId="77777777" w:rsidR="005C797B" w:rsidRDefault="0010114D">
            <w:pPr>
              <w:tabs>
                <w:tab w:val="left" w:pos="2772"/>
              </w:tabs>
              <w:rPr>
                <w:sz w:val="16"/>
              </w:rPr>
            </w:pPr>
            <w:r>
              <w:rPr>
                <w:sz w:val="16"/>
              </w:rPr>
              <w:t>Open or closed reduction and internal fixation</w:t>
            </w:r>
          </w:p>
        </w:tc>
        <w:tc>
          <w:tcPr>
            <w:tcW w:w="2232" w:type="dxa"/>
            <w:vAlign w:val="center"/>
          </w:tcPr>
          <w:p w14:paraId="7DBAF0B3" w14:textId="77777777" w:rsidR="005C797B" w:rsidRDefault="0010114D">
            <w:pPr>
              <w:tabs>
                <w:tab w:val="left" w:pos="2772"/>
              </w:tabs>
              <w:jc w:val="center"/>
              <w:rPr>
                <w:color w:val="262626"/>
                <w:sz w:val="16"/>
              </w:rPr>
            </w:pPr>
            <w:r>
              <w:rPr>
                <w:color w:val="262626"/>
                <w:sz w:val="16"/>
              </w:rPr>
              <w:t>222.7 ($20,240)</w:t>
            </w:r>
          </w:p>
        </w:tc>
        <w:tc>
          <w:tcPr>
            <w:tcW w:w="2233" w:type="dxa"/>
            <w:vAlign w:val="center"/>
          </w:tcPr>
          <w:p w14:paraId="07B0F034" w14:textId="77777777" w:rsidR="005C797B" w:rsidRDefault="0010114D">
            <w:pPr>
              <w:tabs>
                <w:tab w:val="left" w:pos="2772"/>
              </w:tabs>
              <w:jc w:val="center"/>
              <w:rPr>
                <w:color w:val="262626"/>
                <w:sz w:val="16"/>
              </w:rPr>
            </w:pPr>
            <w:r>
              <w:rPr>
                <w:color w:val="262626"/>
                <w:sz w:val="16"/>
              </w:rPr>
              <w:t>199.0 ($18,090)</w:t>
            </w:r>
          </w:p>
        </w:tc>
        <w:tc>
          <w:tcPr>
            <w:tcW w:w="2232" w:type="dxa"/>
            <w:vAlign w:val="center"/>
          </w:tcPr>
          <w:p w14:paraId="29FBA108" w14:textId="77777777" w:rsidR="005C797B" w:rsidRDefault="0010114D">
            <w:pPr>
              <w:tabs>
                <w:tab w:val="left" w:pos="2772"/>
              </w:tabs>
              <w:jc w:val="center"/>
              <w:rPr>
                <w:color w:val="262626"/>
                <w:sz w:val="16"/>
              </w:rPr>
            </w:pPr>
            <w:r>
              <w:rPr>
                <w:color w:val="262626"/>
                <w:sz w:val="16"/>
              </w:rPr>
              <w:t>218.7 ($19,880)</w:t>
            </w:r>
          </w:p>
        </w:tc>
        <w:tc>
          <w:tcPr>
            <w:tcW w:w="2233" w:type="dxa"/>
            <w:vAlign w:val="center"/>
          </w:tcPr>
          <w:p w14:paraId="355D74D7" w14:textId="77777777" w:rsidR="005C797B" w:rsidRDefault="0010114D">
            <w:pPr>
              <w:tabs>
                <w:tab w:val="left" w:pos="2772"/>
              </w:tabs>
              <w:jc w:val="center"/>
              <w:rPr>
                <w:color w:val="262626"/>
                <w:sz w:val="16"/>
              </w:rPr>
            </w:pPr>
            <w:r>
              <w:rPr>
                <w:color w:val="262626"/>
                <w:sz w:val="16"/>
              </w:rPr>
              <w:t>193.2 ($17,560)</w:t>
            </w:r>
          </w:p>
        </w:tc>
      </w:tr>
      <w:tr w:rsidR="005C797B" w14:paraId="4088F587" w14:textId="77777777">
        <w:trPr>
          <w:trHeight w:val="550"/>
        </w:trPr>
        <w:tc>
          <w:tcPr>
            <w:tcW w:w="4957" w:type="dxa"/>
            <w:vAlign w:val="center"/>
          </w:tcPr>
          <w:p w14:paraId="1CBB4F59" w14:textId="77777777" w:rsidR="005C797B" w:rsidRDefault="0010114D">
            <w:pPr>
              <w:tabs>
                <w:tab w:val="left" w:pos="2772"/>
              </w:tabs>
              <w:rPr>
                <w:sz w:val="16"/>
              </w:rPr>
            </w:pPr>
            <w:r>
              <w:rPr>
                <w:sz w:val="16"/>
              </w:rPr>
              <w:t>Conservative management</w:t>
            </w:r>
          </w:p>
        </w:tc>
        <w:tc>
          <w:tcPr>
            <w:tcW w:w="2232" w:type="dxa"/>
            <w:vAlign w:val="center"/>
          </w:tcPr>
          <w:p w14:paraId="58DFBBC2" w14:textId="77777777" w:rsidR="005C797B" w:rsidRDefault="0010114D">
            <w:pPr>
              <w:tabs>
                <w:tab w:val="left" w:pos="2772"/>
              </w:tabs>
              <w:jc w:val="center"/>
              <w:rPr>
                <w:sz w:val="16"/>
              </w:rPr>
            </w:pPr>
            <w:r>
              <w:rPr>
                <w:sz w:val="16"/>
              </w:rPr>
              <w:t xml:space="preserve">215.9 </w:t>
            </w:r>
            <w:r>
              <w:rPr>
                <w:color w:val="262626"/>
                <w:sz w:val="16"/>
              </w:rPr>
              <w:t>($19,630)</w:t>
            </w:r>
          </w:p>
        </w:tc>
        <w:tc>
          <w:tcPr>
            <w:tcW w:w="2233" w:type="dxa"/>
            <w:vAlign w:val="center"/>
          </w:tcPr>
          <w:p w14:paraId="1A32E4AF" w14:textId="77777777" w:rsidR="005C797B" w:rsidRDefault="0010114D">
            <w:pPr>
              <w:tabs>
                <w:tab w:val="left" w:pos="2772"/>
              </w:tabs>
              <w:jc w:val="center"/>
              <w:rPr>
                <w:sz w:val="16"/>
              </w:rPr>
            </w:pPr>
            <w:r>
              <w:rPr>
                <w:sz w:val="16"/>
              </w:rPr>
              <w:t xml:space="preserve">203.2 </w:t>
            </w:r>
            <w:r>
              <w:rPr>
                <w:color w:val="262626"/>
                <w:sz w:val="16"/>
              </w:rPr>
              <w:t>($18,470)</w:t>
            </w:r>
          </w:p>
        </w:tc>
        <w:tc>
          <w:tcPr>
            <w:tcW w:w="2232" w:type="dxa"/>
            <w:vAlign w:val="center"/>
          </w:tcPr>
          <w:p w14:paraId="2D7BD3EF" w14:textId="77777777" w:rsidR="005C797B" w:rsidRDefault="0010114D">
            <w:pPr>
              <w:tabs>
                <w:tab w:val="left" w:pos="2772"/>
              </w:tabs>
              <w:jc w:val="center"/>
              <w:rPr>
                <w:sz w:val="16"/>
              </w:rPr>
            </w:pPr>
            <w:r>
              <w:rPr>
                <w:sz w:val="16"/>
              </w:rPr>
              <w:t xml:space="preserve">224.1 </w:t>
            </w:r>
            <w:r>
              <w:rPr>
                <w:color w:val="262626"/>
                <w:sz w:val="16"/>
              </w:rPr>
              <w:t>($20,370)</w:t>
            </w:r>
          </w:p>
        </w:tc>
        <w:tc>
          <w:tcPr>
            <w:tcW w:w="2233" w:type="dxa"/>
            <w:vAlign w:val="center"/>
          </w:tcPr>
          <w:p w14:paraId="027E40CF" w14:textId="77777777" w:rsidR="005C797B" w:rsidRDefault="0010114D">
            <w:pPr>
              <w:tabs>
                <w:tab w:val="left" w:pos="2772"/>
              </w:tabs>
              <w:jc w:val="center"/>
              <w:rPr>
                <w:sz w:val="16"/>
              </w:rPr>
            </w:pPr>
            <w:r>
              <w:rPr>
                <w:sz w:val="16"/>
              </w:rPr>
              <w:t xml:space="preserve">214.1 </w:t>
            </w:r>
            <w:r>
              <w:rPr>
                <w:color w:val="262626"/>
                <w:sz w:val="16"/>
              </w:rPr>
              <w:t>($19,460)</w:t>
            </w:r>
          </w:p>
        </w:tc>
      </w:tr>
      <w:tr w:rsidR="005C797B" w14:paraId="00E20AD4" w14:textId="77777777">
        <w:trPr>
          <w:trHeight w:val="550"/>
        </w:trPr>
        <w:tc>
          <w:tcPr>
            <w:tcW w:w="4957" w:type="dxa"/>
            <w:vAlign w:val="center"/>
          </w:tcPr>
          <w:p w14:paraId="61401BF4" w14:textId="77777777" w:rsidR="005C797B" w:rsidRDefault="0010114D">
            <w:pPr>
              <w:tabs>
                <w:tab w:val="left" w:pos="2772"/>
              </w:tabs>
              <w:rPr>
                <w:sz w:val="16"/>
              </w:rPr>
            </w:pPr>
            <w:r>
              <w:rPr>
                <w:sz w:val="16"/>
              </w:rPr>
              <w:t>Total</w:t>
            </w:r>
          </w:p>
        </w:tc>
        <w:tc>
          <w:tcPr>
            <w:tcW w:w="2232" w:type="dxa"/>
            <w:vAlign w:val="center"/>
          </w:tcPr>
          <w:p w14:paraId="737D3D4C" w14:textId="77777777" w:rsidR="005C797B" w:rsidRDefault="0010114D">
            <w:pPr>
              <w:tabs>
                <w:tab w:val="left" w:pos="2772"/>
              </w:tabs>
              <w:jc w:val="center"/>
              <w:rPr>
                <w:sz w:val="16"/>
              </w:rPr>
            </w:pPr>
            <w:r>
              <w:rPr>
                <w:sz w:val="16"/>
              </w:rPr>
              <w:t xml:space="preserve">257.8 </w:t>
            </w:r>
            <w:r>
              <w:rPr>
                <w:color w:val="262626"/>
                <w:sz w:val="16"/>
              </w:rPr>
              <w:t>($23,440)</w:t>
            </w:r>
          </w:p>
        </w:tc>
        <w:tc>
          <w:tcPr>
            <w:tcW w:w="2233" w:type="dxa"/>
            <w:vAlign w:val="center"/>
          </w:tcPr>
          <w:p w14:paraId="26A58EC3" w14:textId="77777777" w:rsidR="005C797B" w:rsidRDefault="0010114D">
            <w:pPr>
              <w:tabs>
                <w:tab w:val="left" w:pos="2772"/>
              </w:tabs>
              <w:jc w:val="center"/>
              <w:rPr>
                <w:sz w:val="16"/>
              </w:rPr>
            </w:pPr>
            <w:r>
              <w:rPr>
                <w:sz w:val="16"/>
              </w:rPr>
              <w:t xml:space="preserve">237.8 </w:t>
            </w:r>
            <w:r>
              <w:rPr>
                <w:color w:val="262626"/>
                <w:sz w:val="16"/>
              </w:rPr>
              <w:t>($21,620)</w:t>
            </w:r>
          </w:p>
        </w:tc>
        <w:tc>
          <w:tcPr>
            <w:tcW w:w="2232" w:type="dxa"/>
            <w:vAlign w:val="center"/>
          </w:tcPr>
          <w:p w14:paraId="386295F3" w14:textId="77777777" w:rsidR="005C797B" w:rsidRDefault="0010114D">
            <w:pPr>
              <w:tabs>
                <w:tab w:val="left" w:pos="2772"/>
              </w:tabs>
              <w:jc w:val="center"/>
              <w:rPr>
                <w:sz w:val="16"/>
              </w:rPr>
            </w:pPr>
            <w:r>
              <w:rPr>
                <w:sz w:val="16"/>
              </w:rPr>
              <w:t xml:space="preserve">256.5 </w:t>
            </w:r>
            <w:r>
              <w:rPr>
                <w:color w:val="262626"/>
                <w:sz w:val="16"/>
              </w:rPr>
              <w:t>($23,320)</w:t>
            </w:r>
          </w:p>
        </w:tc>
        <w:tc>
          <w:tcPr>
            <w:tcW w:w="2233" w:type="dxa"/>
            <w:vAlign w:val="center"/>
          </w:tcPr>
          <w:p w14:paraId="391F4D37" w14:textId="77777777" w:rsidR="005C797B" w:rsidRDefault="0010114D">
            <w:pPr>
              <w:tabs>
                <w:tab w:val="left" w:pos="2772"/>
              </w:tabs>
              <w:jc w:val="center"/>
              <w:rPr>
                <w:sz w:val="16"/>
              </w:rPr>
            </w:pPr>
            <w:r>
              <w:rPr>
                <w:sz w:val="16"/>
              </w:rPr>
              <w:t xml:space="preserve">236.6 </w:t>
            </w:r>
            <w:r>
              <w:rPr>
                <w:color w:val="262626"/>
                <w:sz w:val="16"/>
              </w:rPr>
              <w:t>($21,510)</w:t>
            </w:r>
          </w:p>
        </w:tc>
      </w:tr>
      <w:tr w:rsidR="005C797B" w14:paraId="1E6BB482" w14:textId="77777777">
        <w:trPr>
          <w:trHeight w:val="550"/>
        </w:trPr>
        <w:tc>
          <w:tcPr>
            <w:tcW w:w="13887" w:type="dxa"/>
            <w:gridSpan w:val="5"/>
          </w:tcPr>
          <w:p w14:paraId="7AC6244E" w14:textId="77777777" w:rsidR="005C797B" w:rsidRDefault="005C797B">
            <w:pPr>
              <w:tabs>
                <w:tab w:val="left" w:pos="2772"/>
              </w:tabs>
              <w:jc w:val="center"/>
              <w:rPr>
                <w:sz w:val="16"/>
              </w:rPr>
            </w:pPr>
          </w:p>
        </w:tc>
      </w:tr>
      <w:tr w:rsidR="005C797B" w14:paraId="0D63CFE7" w14:textId="77777777">
        <w:trPr>
          <w:trHeight w:val="552"/>
        </w:trPr>
        <w:tc>
          <w:tcPr>
            <w:tcW w:w="4957" w:type="dxa"/>
            <w:vAlign w:val="center"/>
          </w:tcPr>
          <w:p w14:paraId="24F89B19" w14:textId="77777777" w:rsidR="005C797B" w:rsidRDefault="0010114D">
            <w:pPr>
              <w:tabs>
                <w:tab w:val="left" w:pos="2772"/>
              </w:tabs>
              <w:rPr>
                <w:color w:val="262626"/>
                <w:sz w:val="16"/>
              </w:rPr>
            </w:pPr>
            <w:r>
              <w:rPr>
                <w:b/>
                <w:color w:val="262626"/>
                <w:sz w:val="16"/>
              </w:rPr>
              <w:t>Extracapsular (inter and subtrochanteric)</w:t>
            </w:r>
          </w:p>
        </w:tc>
        <w:tc>
          <w:tcPr>
            <w:tcW w:w="4465" w:type="dxa"/>
            <w:gridSpan w:val="2"/>
            <w:vAlign w:val="center"/>
          </w:tcPr>
          <w:p w14:paraId="7062C693" w14:textId="77777777" w:rsidR="005C797B" w:rsidRDefault="0010114D">
            <w:pPr>
              <w:tabs>
                <w:tab w:val="left" w:pos="2772"/>
              </w:tabs>
              <w:jc w:val="center"/>
              <w:rPr>
                <w:color w:val="000000"/>
                <w:sz w:val="16"/>
              </w:rPr>
            </w:pPr>
            <w:r>
              <w:rPr>
                <w:sz w:val="16"/>
              </w:rPr>
              <w:t>n=12,116 (42.0%)</w:t>
            </w:r>
          </w:p>
        </w:tc>
        <w:tc>
          <w:tcPr>
            <w:tcW w:w="4465" w:type="dxa"/>
            <w:gridSpan w:val="2"/>
            <w:vAlign w:val="center"/>
          </w:tcPr>
          <w:p w14:paraId="1868F3F5" w14:textId="77777777" w:rsidR="005C797B" w:rsidRDefault="0010114D">
            <w:pPr>
              <w:tabs>
                <w:tab w:val="left" w:pos="2772"/>
              </w:tabs>
              <w:jc w:val="center"/>
              <w:rPr>
                <w:color w:val="000000"/>
                <w:sz w:val="16"/>
              </w:rPr>
            </w:pPr>
            <w:r>
              <w:rPr>
                <w:sz w:val="16"/>
              </w:rPr>
              <w:t>n=49,816 (43.9%)</w:t>
            </w:r>
          </w:p>
        </w:tc>
      </w:tr>
      <w:tr w:rsidR="005C797B" w14:paraId="66930BF7" w14:textId="77777777">
        <w:trPr>
          <w:trHeight w:val="552"/>
        </w:trPr>
        <w:tc>
          <w:tcPr>
            <w:tcW w:w="4957" w:type="dxa"/>
            <w:vAlign w:val="center"/>
          </w:tcPr>
          <w:p w14:paraId="492B98D9" w14:textId="77777777" w:rsidR="005C797B" w:rsidRDefault="0010114D">
            <w:pPr>
              <w:tabs>
                <w:tab w:val="left" w:pos="2772"/>
              </w:tabs>
              <w:rPr>
                <w:sz w:val="16"/>
              </w:rPr>
            </w:pPr>
            <w:r>
              <w:rPr>
                <w:color w:val="262626"/>
                <w:sz w:val="16"/>
              </w:rPr>
              <w:t>Total hip replacement or bipolar hip arthroplasty</w:t>
            </w:r>
          </w:p>
        </w:tc>
        <w:tc>
          <w:tcPr>
            <w:tcW w:w="2232" w:type="dxa"/>
            <w:vAlign w:val="center"/>
          </w:tcPr>
          <w:p w14:paraId="2893A50F" w14:textId="77777777" w:rsidR="005C797B" w:rsidRDefault="0010114D">
            <w:pPr>
              <w:tabs>
                <w:tab w:val="left" w:pos="2772"/>
              </w:tabs>
              <w:jc w:val="center"/>
              <w:rPr>
                <w:color w:val="000000"/>
                <w:sz w:val="16"/>
              </w:rPr>
            </w:pPr>
            <w:r>
              <w:rPr>
                <w:color w:val="000000"/>
                <w:sz w:val="16"/>
              </w:rPr>
              <w:t xml:space="preserve">375.5 </w:t>
            </w:r>
            <w:r>
              <w:rPr>
                <w:color w:val="262626"/>
                <w:sz w:val="16"/>
              </w:rPr>
              <w:t>($34,140)</w:t>
            </w:r>
          </w:p>
        </w:tc>
        <w:tc>
          <w:tcPr>
            <w:tcW w:w="2233" w:type="dxa"/>
            <w:vAlign w:val="center"/>
          </w:tcPr>
          <w:p w14:paraId="432FFD53" w14:textId="77777777" w:rsidR="005C797B" w:rsidRDefault="0010114D">
            <w:pPr>
              <w:tabs>
                <w:tab w:val="left" w:pos="2772"/>
              </w:tabs>
              <w:jc w:val="center"/>
              <w:rPr>
                <w:color w:val="000000"/>
                <w:sz w:val="16"/>
              </w:rPr>
            </w:pPr>
            <w:r>
              <w:rPr>
                <w:color w:val="000000"/>
                <w:sz w:val="16"/>
              </w:rPr>
              <w:t xml:space="preserve">359.7 </w:t>
            </w:r>
            <w:r>
              <w:rPr>
                <w:color w:val="262626"/>
                <w:sz w:val="16"/>
              </w:rPr>
              <w:t>($32,700)</w:t>
            </w:r>
          </w:p>
        </w:tc>
        <w:tc>
          <w:tcPr>
            <w:tcW w:w="2232" w:type="dxa"/>
            <w:vAlign w:val="center"/>
          </w:tcPr>
          <w:p w14:paraId="231640EE" w14:textId="77777777" w:rsidR="005C797B" w:rsidRDefault="0010114D">
            <w:pPr>
              <w:tabs>
                <w:tab w:val="left" w:pos="2772"/>
              </w:tabs>
              <w:jc w:val="center"/>
              <w:rPr>
                <w:color w:val="000000"/>
                <w:sz w:val="16"/>
              </w:rPr>
            </w:pPr>
            <w:r>
              <w:rPr>
                <w:color w:val="000000"/>
                <w:sz w:val="16"/>
              </w:rPr>
              <w:t xml:space="preserve">365.8 </w:t>
            </w:r>
            <w:r>
              <w:rPr>
                <w:color w:val="262626"/>
                <w:sz w:val="16"/>
              </w:rPr>
              <w:t>($33,250)</w:t>
            </w:r>
          </w:p>
        </w:tc>
        <w:tc>
          <w:tcPr>
            <w:tcW w:w="2233" w:type="dxa"/>
            <w:vAlign w:val="center"/>
          </w:tcPr>
          <w:p w14:paraId="27C5B3E4" w14:textId="77777777" w:rsidR="005C797B" w:rsidRDefault="0010114D">
            <w:pPr>
              <w:tabs>
                <w:tab w:val="left" w:pos="2772"/>
              </w:tabs>
              <w:jc w:val="center"/>
              <w:rPr>
                <w:color w:val="000000"/>
                <w:sz w:val="16"/>
              </w:rPr>
            </w:pPr>
            <w:r>
              <w:rPr>
                <w:color w:val="000000"/>
                <w:sz w:val="16"/>
              </w:rPr>
              <w:t xml:space="preserve">358.3 </w:t>
            </w:r>
            <w:r>
              <w:rPr>
                <w:color w:val="262626"/>
                <w:sz w:val="16"/>
              </w:rPr>
              <w:t>($32,580)</w:t>
            </w:r>
          </w:p>
        </w:tc>
      </w:tr>
      <w:tr w:rsidR="005C797B" w14:paraId="69D41CB6" w14:textId="77777777">
        <w:trPr>
          <w:trHeight w:val="552"/>
        </w:trPr>
        <w:tc>
          <w:tcPr>
            <w:tcW w:w="4957" w:type="dxa"/>
            <w:vAlign w:val="center"/>
          </w:tcPr>
          <w:p w14:paraId="323EF047" w14:textId="77777777" w:rsidR="005C797B" w:rsidRDefault="0010114D">
            <w:pPr>
              <w:tabs>
                <w:tab w:val="left" w:pos="2772"/>
              </w:tabs>
              <w:rPr>
                <w:sz w:val="16"/>
              </w:rPr>
            </w:pPr>
            <w:r>
              <w:rPr>
                <w:sz w:val="16"/>
              </w:rPr>
              <w:t>Open or closed reduction and internal fixation</w:t>
            </w:r>
          </w:p>
        </w:tc>
        <w:tc>
          <w:tcPr>
            <w:tcW w:w="2232" w:type="dxa"/>
            <w:vAlign w:val="center"/>
          </w:tcPr>
          <w:p w14:paraId="33949CB3" w14:textId="77777777" w:rsidR="005C797B" w:rsidRDefault="0010114D">
            <w:pPr>
              <w:tabs>
                <w:tab w:val="left" w:pos="2772"/>
              </w:tabs>
              <w:jc w:val="center"/>
              <w:rPr>
                <w:color w:val="000000"/>
                <w:sz w:val="16"/>
              </w:rPr>
            </w:pPr>
            <w:r>
              <w:rPr>
                <w:color w:val="000000"/>
                <w:sz w:val="16"/>
              </w:rPr>
              <w:t xml:space="preserve">244.4 </w:t>
            </w:r>
            <w:r>
              <w:rPr>
                <w:color w:val="262626"/>
                <w:sz w:val="16"/>
              </w:rPr>
              <w:t>($22,220)</w:t>
            </w:r>
          </w:p>
        </w:tc>
        <w:tc>
          <w:tcPr>
            <w:tcW w:w="2233" w:type="dxa"/>
            <w:vAlign w:val="center"/>
          </w:tcPr>
          <w:p w14:paraId="674C4EC0" w14:textId="77777777" w:rsidR="005C797B" w:rsidRDefault="0010114D">
            <w:pPr>
              <w:tabs>
                <w:tab w:val="left" w:pos="2772"/>
              </w:tabs>
              <w:jc w:val="center"/>
              <w:rPr>
                <w:color w:val="000000"/>
                <w:sz w:val="16"/>
              </w:rPr>
            </w:pPr>
            <w:r>
              <w:rPr>
                <w:color w:val="000000"/>
                <w:sz w:val="16"/>
              </w:rPr>
              <w:t xml:space="preserve">226.9 </w:t>
            </w:r>
            <w:r>
              <w:rPr>
                <w:color w:val="262626"/>
                <w:sz w:val="16"/>
              </w:rPr>
              <w:t>($20,630)</w:t>
            </w:r>
          </w:p>
        </w:tc>
        <w:tc>
          <w:tcPr>
            <w:tcW w:w="2232" w:type="dxa"/>
            <w:vAlign w:val="center"/>
          </w:tcPr>
          <w:p w14:paraId="7575FFC7" w14:textId="77777777" w:rsidR="005C797B" w:rsidRDefault="0010114D">
            <w:pPr>
              <w:tabs>
                <w:tab w:val="left" w:pos="2772"/>
              </w:tabs>
              <w:jc w:val="center"/>
              <w:rPr>
                <w:color w:val="000000"/>
                <w:sz w:val="16"/>
              </w:rPr>
            </w:pPr>
            <w:r>
              <w:rPr>
                <w:color w:val="000000"/>
                <w:sz w:val="16"/>
              </w:rPr>
              <w:t xml:space="preserve">239.9 </w:t>
            </w:r>
            <w:r>
              <w:rPr>
                <w:color w:val="262626"/>
                <w:sz w:val="16"/>
              </w:rPr>
              <w:t>($21,810)</w:t>
            </w:r>
          </w:p>
        </w:tc>
        <w:tc>
          <w:tcPr>
            <w:tcW w:w="2233" w:type="dxa"/>
            <w:vAlign w:val="center"/>
          </w:tcPr>
          <w:p w14:paraId="4AE261F0" w14:textId="77777777" w:rsidR="005C797B" w:rsidRDefault="0010114D">
            <w:pPr>
              <w:tabs>
                <w:tab w:val="left" w:pos="2772"/>
              </w:tabs>
              <w:jc w:val="center"/>
              <w:rPr>
                <w:color w:val="000000"/>
                <w:sz w:val="16"/>
              </w:rPr>
            </w:pPr>
            <w:r>
              <w:rPr>
                <w:color w:val="000000"/>
                <w:sz w:val="16"/>
              </w:rPr>
              <w:t xml:space="preserve">222.2 </w:t>
            </w:r>
            <w:r>
              <w:rPr>
                <w:color w:val="262626"/>
                <w:sz w:val="16"/>
              </w:rPr>
              <w:t>($20,200)</w:t>
            </w:r>
          </w:p>
        </w:tc>
      </w:tr>
      <w:tr w:rsidR="005C797B" w14:paraId="66771512" w14:textId="77777777">
        <w:trPr>
          <w:trHeight w:val="552"/>
        </w:trPr>
        <w:tc>
          <w:tcPr>
            <w:tcW w:w="4957" w:type="dxa"/>
            <w:vAlign w:val="center"/>
          </w:tcPr>
          <w:p w14:paraId="095E5ADF" w14:textId="77777777" w:rsidR="005C797B" w:rsidRDefault="0010114D">
            <w:pPr>
              <w:tabs>
                <w:tab w:val="left" w:pos="2772"/>
              </w:tabs>
              <w:rPr>
                <w:sz w:val="16"/>
              </w:rPr>
            </w:pPr>
            <w:r>
              <w:rPr>
                <w:sz w:val="16"/>
              </w:rPr>
              <w:t>Conservative management</w:t>
            </w:r>
          </w:p>
        </w:tc>
        <w:tc>
          <w:tcPr>
            <w:tcW w:w="2232" w:type="dxa"/>
            <w:vAlign w:val="center"/>
          </w:tcPr>
          <w:p w14:paraId="03D0CDF2" w14:textId="77777777" w:rsidR="005C797B" w:rsidRDefault="0010114D">
            <w:pPr>
              <w:tabs>
                <w:tab w:val="left" w:pos="2772"/>
              </w:tabs>
              <w:jc w:val="center"/>
              <w:rPr>
                <w:color w:val="000000"/>
                <w:sz w:val="16"/>
              </w:rPr>
            </w:pPr>
            <w:r>
              <w:rPr>
                <w:color w:val="000000"/>
                <w:sz w:val="16"/>
              </w:rPr>
              <w:t xml:space="preserve">207.8 </w:t>
            </w:r>
            <w:r>
              <w:rPr>
                <w:color w:val="262626"/>
                <w:sz w:val="16"/>
              </w:rPr>
              <w:t>($18,890)</w:t>
            </w:r>
          </w:p>
        </w:tc>
        <w:tc>
          <w:tcPr>
            <w:tcW w:w="2233" w:type="dxa"/>
            <w:vAlign w:val="center"/>
          </w:tcPr>
          <w:p w14:paraId="7C79617A" w14:textId="77777777" w:rsidR="005C797B" w:rsidRDefault="0010114D">
            <w:pPr>
              <w:tabs>
                <w:tab w:val="left" w:pos="2772"/>
              </w:tabs>
              <w:jc w:val="center"/>
              <w:rPr>
                <w:color w:val="000000"/>
                <w:sz w:val="16"/>
              </w:rPr>
            </w:pPr>
            <w:r>
              <w:rPr>
                <w:color w:val="000000"/>
                <w:sz w:val="16"/>
              </w:rPr>
              <w:t xml:space="preserve">199.1 </w:t>
            </w:r>
            <w:r>
              <w:rPr>
                <w:color w:val="262626"/>
                <w:sz w:val="16"/>
              </w:rPr>
              <w:t>($18,100)</w:t>
            </w:r>
          </w:p>
        </w:tc>
        <w:tc>
          <w:tcPr>
            <w:tcW w:w="2232" w:type="dxa"/>
            <w:vAlign w:val="center"/>
          </w:tcPr>
          <w:p w14:paraId="579D77BC" w14:textId="77777777" w:rsidR="005C797B" w:rsidRDefault="0010114D">
            <w:pPr>
              <w:tabs>
                <w:tab w:val="left" w:pos="2772"/>
              </w:tabs>
              <w:jc w:val="center"/>
              <w:rPr>
                <w:color w:val="000000"/>
                <w:sz w:val="16"/>
              </w:rPr>
            </w:pPr>
            <w:r>
              <w:rPr>
                <w:color w:val="000000"/>
                <w:sz w:val="16"/>
              </w:rPr>
              <w:t xml:space="preserve">214.8 </w:t>
            </w:r>
            <w:r>
              <w:rPr>
                <w:color w:val="262626"/>
                <w:sz w:val="16"/>
              </w:rPr>
              <w:t>($19,520)</w:t>
            </w:r>
          </w:p>
        </w:tc>
        <w:tc>
          <w:tcPr>
            <w:tcW w:w="2233" w:type="dxa"/>
            <w:vAlign w:val="center"/>
          </w:tcPr>
          <w:p w14:paraId="4F074F39" w14:textId="77777777" w:rsidR="005C797B" w:rsidRDefault="0010114D">
            <w:pPr>
              <w:tabs>
                <w:tab w:val="left" w:pos="2772"/>
              </w:tabs>
              <w:jc w:val="center"/>
              <w:rPr>
                <w:color w:val="000000"/>
                <w:sz w:val="16"/>
              </w:rPr>
            </w:pPr>
            <w:r>
              <w:rPr>
                <w:color w:val="000000"/>
                <w:sz w:val="16"/>
              </w:rPr>
              <w:t xml:space="preserve">208.6 </w:t>
            </w:r>
            <w:r>
              <w:rPr>
                <w:color w:val="262626"/>
                <w:sz w:val="16"/>
              </w:rPr>
              <w:t>($18,970)</w:t>
            </w:r>
          </w:p>
        </w:tc>
      </w:tr>
      <w:tr w:rsidR="005C797B" w14:paraId="46BD78F6" w14:textId="77777777">
        <w:trPr>
          <w:trHeight w:val="552"/>
        </w:trPr>
        <w:tc>
          <w:tcPr>
            <w:tcW w:w="4957" w:type="dxa"/>
            <w:vAlign w:val="center"/>
          </w:tcPr>
          <w:p w14:paraId="01704BCE" w14:textId="77777777" w:rsidR="005C797B" w:rsidRDefault="0010114D">
            <w:pPr>
              <w:tabs>
                <w:tab w:val="left" w:pos="2772"/>
              </w:tabs>
              <w:rPr>
                <w:sz w:val="16"/>
              </w:rPr>
            </w:pPr>
            <w:r>
              <w:rPr>
                <w:sz w:val="16"/>
              </w:rPr>
              <w:t>Total</w:t>
            </w:r>
          </w:p>
        </w:tc>
        <w:tc>
          <w:tcPr>
            <w:tcW w:w="2232" w:type="dxa"/>
            <w:vAlign w:val="center"/>
          </w:tcPr>
          <w:p w14:paraId="4C18BF67" w14:textId="77777777" w:rsidR="005C797B" w:rsidRDefault="0010114D">
            <w:pPr>
              <w:tabs>
                <w:tab w:val="left" w:pos="2772"/>
              </w:tabs>
              <w:jc w:val="center"/>
              <w:rPr>
                <w:sz w:val="16"/>
              </w:rPr>
            </w:pPr>
            <w:r>
              <w:rPr>
                <w:color w:val="000000"/>
                <w:sz w:val="16"/>
              </w:rPr>
              <w:t xml:space="preserve">241.0 </w:t>
            </w:r>
            <w:r>
              <w:rPr>
                <w:color w:val="262626"/>
                <w:sz w:val="16"/>
              </w:rPr>
              <w:t>($21,910)</w:t>
            </w:r>
          </w:p>
        </w:tc>
        <w:tc>
          <w:tcPr>
            <w:tcW w:w="2233" w:type="dxa"/>
            <w:vAlign w:val="center"/>
          </w:tcPr>
          <w:p w14:paraId="6C73BAA4" w14:textId="77777777" w:rsidR="005C797B" w:rsidRDefault="0010114D">
            <w:pPr>
              <w:tabs>
                <w:tab w:val="left" w:pos="2772"/>
              </w:tabs>
              <w:jc w:val="center"/>
              <w:rPr>
                <w:color w:val="000000"/>
                <w:sz w:val="16"/>
              </w:rPr>
            </w:pPr>
            <w:r>
              <w:rPr>
                <w:color w:val="000000"/>
                <w:sz w:val="16"/>
              </w:rPr>
              <w:t xml:space="preserve">223.7 </w:t>
            </w:r>
            <w:r>
              <w:rPr>
                <w:color w:val="262626"/>
                <w:sz w:val="16"/>
              </w:rPr>
              <w:t>($20,330)</w:t>
            </w:r>
          </w:p>
        </w:tc>
        <w:tc>
          <w:tcPr>
            <w:tcW w:w="2232" w:type="dxa"/>
            <w:vAlign w:val="center"/>
          </w:tcPr>
          <w:p w14:paraId="2ECC2449" w14:textId="77777777" w:rsidR="005C797B" w:rsidRDefault="0010114D">
            <w:pPr>
              <w:tabs>
                <w:tab w:val="left" w:pos="2772"/>
              </w:tabs>
              <w:jc w:val="center"/>
              <w:rPr>
                <w:color w:val="000000"/>
                <w:sz w:val="16"/>
              </w:rPr>
            </w:pPr>
            <w:r>
              <w:rPr>
                <w:color w:val="000000"/>
                <w:sz w:val="16"/>
              </w:rPr>
              <w:t xml:space="preserve">240.3 </w:t>
            </w:r>
            <w:r>
              <w:rPr>
                <w:color w:val="262626"/>
                <w:sz w:val="16"/>
              </w:rPr>
              <w:t>($21,840)</w:t>
            </w:r>
          </w:p>
        </w:tc>
        <w:tc>
          <w:tcPr>
            <w:tcW w:w="2233" w:type="dxa"/>
            <w:vAlign w:val="center"/>
          </w:tcPr>
          <w:p w14:paraId="6898BDFD" w14:textId="77777777" w:rsidR="005C797B" w:rsidRDefault="0010114D">
            <w:pPr>
              <w:tabs>
                <w:tab w:val="left" w:pos="2772"/>
              </w:tabs>
              <w:jc w:val="center"/>
              <w:rPr>
                <w:color w:val="000000"/>
                <w:sz w:val="16"/>
              </w:rPr>
            </w:pPr>
            <w:r>
              <w:rPr>
                <w:color w:val="000000"/>
                <w:sz w:val="16"/>
              </w:rPr>
              <w:t xml:space="preserve">229.7 </w:t>
            </w:r>
            <w:r>
              <w:rPr>
                <w:color w:val="262626"/>
                <w:sz w:val="16"/>
              </w:rPr>
              <w:t>($20,270)</w:t>
            </w:r>
          </w:p>
        </w:tc>
      </w:tr>
    </w:tbl>
    <w:p w14:paraId="6DD65E57" w14:textId="77777777" w:rsidR="005C797B" w:rsidRDefault="0010114D">
      <w:pPr>
        <w:jc w:val="center"/>
        <w:rPr>
          <w:b/>
          <w:sz w:val="28"/>
        </w:rPr>
      </w:pPr>
      <w:r>
        <w:rPr>
          <w:b/>
          <w:sz w:val="28"/>
        </w:rPr>
        <w:t xml:space="preserve"> </w:t>
      </w:r>
    </w:p>
    <w:p w14:paraId="53EE1BCD" w14:textId="77777777" w:rsidR="005C797B" w:rsidRDefault="005C797B">
      <w:pPr>
        <w:tabs>
          <w:tab w:val="left" w:pos="2772"/>
        </w:tabs>
        <w:rPr>
          <w:b/>
          <w:sz w:val="28"/>
        </w:rPr>
      </w:pPr>
    </w:p>
    <w:p w14:paraId="70AD6C66" w14:textId="77777777" w:rsidR="005C797B" w:rsidRDefault="005C797B">
      <w:pPr>
        <w:tabs>
          <w:tab w:val="left" w:pos="2772"/>
        </w:tabs>
        <w:rPr>
          <w:b/>
          <w:sz w:val="20"/>
        </w:rPr>
      </w:pPr>
    </w:p>
    <w:p w14:paraId="48247898" w14:textId="0720E200" w:rsidR="005C797B" w:rsidRPr="00D33D53" w:rsidRDefault="0010114D" w:rsidP="00D33D53">
      <w:pPr>
        <w:rPr>
          <w:b/>
          <w:sz w:val="20"/>
        </w:rPr>
      </w:pPr>
      <w:r>
        <w:rPr>
          <w:b/>
          <w:sz w:val="20"/>
        </w:rPr>
        <w:lastRenderedPageBreak/>
        <w:t>Supplemental Table 5: Sensitivity analysis, medical expenditures for fragility hip fracture per patient, excluding those who died within six months post hip fracture</w:t>
      </w:r>
      <w:r w:rsidR="00D33D53">
        <w:rPr>
          <w:b/>
          <w:sz w:val="20"/>
        </w:rPr>
        <w:t xml:space="preserve"> (unit: 10 thousands yen, 110 </w:t>
      </w:r>
      <w:r w:rsidR="00D33D53" w:rsidRPr="00031FDA">
        <w:rPr>
          <w:b/>
          <w:sz w:val="20"/>
        </w:rPr>
        <w:t>yen=1</w:t>
      </w:r>
      <w:r w:rsidR="00D355A1" w:rsidRPr="00031FDA">
        <w:rPr>
          <w:b/>
          <w:sz w:val="20"/>
        </w:rPr>
        <w:t xml:space="preserve"> US dollars [$])</w:t>
      </w:r>
      <w:r w:rsidR="00D33D53" w:rsidRPr="00031FDA">
        <w:rPr>
          <w:b/>
          <w:sz w:val="20"/>
        </w:rPr>
        <w:t>)</w:t>
      </w:r>
    </w:p>
    <w:tbl>
      <w:tblPr>
        <w:tblStyle w:val="TableGrid"/>
        <w:tblW w:w="0" w:type="auto"/>
        <w:tblLook w:val="04A0" w:firstRow="1" w:lastRow="0" w:firstColumn="1" w:lastColumn="0" w:noHBand="0" w:noVBand="1"/>
      </w:tblPr>
      <w:tblGrid>
        <w:gridCol w:w="3397"/>
        <w:gridCol w:w="1949"/>
        <w:gridCol w:w="1949"/>
        <w:gridCol w:w="1949"/>
        <w:gridCol w:w="1950"/>
      </w:tblGrid>
      <w:tr w:rsidR="005C797B" w14:paraId="576D1AA0" w14:textId="77777777">
        <w:trPr>
          <w:trHeight w:val="454"/>
        </w:trPr>
        <w:tc>
          <w:tcPr>
            <w:tcW w:w="3397" w:type="dxa"/>
          </w:tcPr>
          <w:p w14:paraId="3A333CA8" w14:textId="77777777" w:rsidR="005C797B" w:rsidRDefault="005C797B">
            <w:pPr>
              <w:tabs>
                <w:tab w:val="left" w:pos="2772"/>
              </w:tabs>
              <w:rPr>
                <w:b/>
                <w:sz w:val="16"/>
              </w:rPr>
            </w:pPr>
          </w:p>
        </w:tc>
        <w:tc>
          <w:tcPr>
            <w:tcW w:w="3898" w:type="dxa"/>
            <w:gridSpan w:val="2"/>
          </w:tcPr>
          <w:p w14:paraId="5AAABFEA" w14:textId="77777777" w:rsidR="005C797B" w:rsidRDefault="0010114D">
            <w:pPr>
              <w:tabs>
                <w:tab w:val="left" w:pos="2772"/>
              </w:tabs>
              <w:jc w:val="center"/>
              <w:rPr>
                <w:b/>
                <w:sz w:val="16"/>
              </w:rPr>
            </w:pPr>
            <w:r>
              <w:rPr>
                <w:b/>
                <w:sz w:val="16"/>
              </w:rPr>
              <w:t>Male</w:t>
            </w:r>
          </w:p>
        </w:tc>
        <w:tc>
          <w:tcPr>
            <w:tcW w:w="3899" w:type="dxa"/>
            <w:gridSpan w:val="2"/>
          </w:tcPr>
          <w:p w14:paraId="63914767" w14:textId="77777777" w:rsidR="005C797B" w:rsidRDefault="0010114D">
            <w:pPr>
              <w:tabs>
                <w:tab w:val="left" w:pos="2772"/>
              </w:tabs>
              <w:jc w:val="center"/>
              <w:rPr>
                <w:b/>
                <w:sz w:val="16"/>
              </w:rPr>
            </w:pPr>
            <w:r>
              <w:rPr>
                <w:b/>
                <w:sz w:val="16"/>
              </w:rPr>
              <w:t>Female</w:t>
            </w:r>
          </w:p>
        </w:tc>
      </w:tr>
      <w:tr w:rsidR="005C797B" w14:paraId="702FE8F1" w14:textId="77777777">
        <w:trPr>
          <w:trHeight w:val="454"/>
        </w:trPr>
        <w:tc>
          <w:tcPr>
            <w:tcW w:w="3397" w:type="dxa"/>
          </w:tcPr>
          <w:p w14:paraId="0FA34EA9" w14:textId="77777777" w:rsidR="005C797B" w:rsidRDefault="0010114D">
            <w:pPr>
              <w:tabs>
                <w:tab w:val="left" w:pos="2772"/>
              </w:tabs>
              <w:rPr>
                <w:b/>
                <w:sz w:val="16"/>
              </w:rPr>
            </w:pPr>
            <w:r>
              <w:rPr>
                <w:b/>
                <w:sz w:val="16"/>
              </w:rPr>
              <w:t>Numbers (% of the base case)</w:t>
            </w:r>
          </w:p>
        </w:tc>
        <w:tc>
          <w:tcPr>
            <w:tcW w:w="3898" w:type="dxa"/>
            <w:gridSpan w:val="2"/>
            <w:vAlign w:val="center"/>
          </w:tcPr>
          <w:p w14:paraId="070D5768" w14:textId="77777777" w:rsidR="005C797B" w:rsidRDefault="0010114D">
            <w:pPr>
              <w:tabs>
                <w:tab w:val="left" w:pos="2772"/>
              </w:tabs>
              <w:jc w:val="center"/>
              <w:rPr>
                <w:sz w:val="16"/>
              </w:rPr>
            </w:pPr>
            <w:r>
              <w:rPr>
                <w:sz w:val="16"/>
              </w:rPr>
              <w:t>25,562 (88.5%)</w:t>
            </w:r>
          </w:p>
        </w:tc>
        <w:tc>
          <w:tcPr>
            <w:tcW w:w="3899" w:type="dxa"/>
            <w:gridSpan w:val="2"/>
            <w:vAlign w:val="center"/>
          </w:tcPr>
          <w:p w14:paraId="25DED220" w14:textId="77777777" w:rsidR="005C797B" w:rsidRDefault="0010114D">
            <w:pPr>
              <w:tabs>
                <w:tab w:val="left" w:pos="2772"/>
              </w:tabs>
              <w:jc w:val="center"/>
              <w:rPr>
                <w:sz w:val="16"/>
              </w:rPr>
            </w:pPr>
            <w:r>
              <w:rPr>
                <w:sz w:val="16"/>
              </w:rPr>
              <w:t>107,769 (95.0%)</w:t>
            </w:r>
          </w:p>
        </w:tc>
      </w:tr>
      <w:tr w:rsidR="005C797B" w14:paraId="05C4F501" w14:textId="77777777">
        <w:trPr>
          <w:trHeight w:val="454"/>
        </w:trPr>
        <w:tc>
          <w:tcPr>
            <w:tcW w:w="3397" w:type="dxa"/>
          </w:tcPr>
          <w:p w14:paraId="79086527" w14:textId="77777777" w:rsidR="005C797B" w:rsidRDefault="005C797B">
            <w:pPr>
              <w:tabs>
                <w:tab w:val="left" w:pos="2772"/>
              </w:tabs>
              <w:rPr>
                <w:b/>
                <w:sz w:val="16"/>
              </w:rPr>
            </w:pPr>
          </w:p>
        </w:tc>
        <w:tc>
          <w:tcPr>
            <w:tcW w:w="1949" w:type="dxa"/>
          </w:tcPr>
          <w:p w14:paraId="521D6FE5" w14:textId="77777777" w:rsidR="005C797B" w:rsidRDefault="0010114D">
            <w:pPr>
              <w:tabs>
                <w:tab w:val="left" w:pos="2772"/>
              </w:tabs>
              <w:jc w:val="center"/>
              <w:rPr>
                <w:b/>
                <w:sz w:val="16"/>
              </w:rPr>
            </w:pPr>
            <w:r>
              <w:rPr>
                <w:b/>
                <w:sz w:val="16"/>
              </w:rPr>
              <w:t>Mean</w:t>
            </w:r>
          </w:p>
        </w:tc>
        <w:tc>
          <w:tcPr>
            <w:tcW w:w="1949" w:type="dxa"/>
          </w:tcPr>
          <w:p w14:paraId="4E5A7F3B" w14:textId="77777777" w:rsidR="005C797B" w:rsidRDefault="0010114D">
            <w:pPr>
              <w:tabs>
                <w:tab w:val="left" w:pos="2772"/>
              </w:tabs>
              <w:jc w:val="center"/>
              <w:rPr>
                <w:b/>
                <w:sz w:val="16"/>
              </w:rPr>
            </w:pPr>
            <w:r>
              <w:rPr>
                <w:b/>
                <w:sz w:val="16"/>
              </w:rPr>
              <w:t>Median</w:t>
            </w:r>
          </w:p>
        </w:tc>
        <w:tc>
          <w:tcPr>
            <w:tcW w:w="1949" w:type="dxa"/>
          </w:tcPr>
          <w:p w14:paraId="00CFC883" w14:textId="77777777" w:rsidR="005C797B" w:rsidRDefault="0010114D">
            <w:pPr>
              <w:tabs>
                <w:tab w:val="left" w:pos="2772"/>
              </w:tabs>
              <w:jc w:val="center"/>
              <w:rPr>
                <w:b/>
                <w:sz w:val="16"/>
              </w:rPr>
            </w:pPr>
            <w:r>
              <w:rPr>
                <w:b/>
                <w:sz w:val="16"/>
              </w:rPr>
              <w:t>Mean</w:t>
            </w:r>
          </w:p>
        </w:tc>
        <w:tc>
          <w:tcPr>
            <w:tcW w:w="1950" w:type="dxa"/>
          </w:tcPr>
          <w:p w14:paraId="3E4C0768" w14:textId="77777777" w:rsidR="005C797B" w:rsidRDefault="0010114D">
            <w:pPr>
              <w:tabs>
                <w:tab w:val="left" w:pos="2772"/>
              </w:tabs>
              <w:jc w:val="center"/>
              <w:rPr>
                <w:b/>
                <w:sz w:val="16"/>
              </w:rPr>
            </w:pPr>
            <w:r>
              <w:rPr>
                <w:b/>
                <w:sz w:val="16"/>
              </w:rPr>
              <w:t>Median</w:t>
            </w:r>
          </w:p>
        </w:tc>
      </w:tr>
      <w:tr w:rsidR="005C797B" w14:paraId="7B5FD337" w14:textId="77777777">
        <w:trPr>
          <w:trHeight w:val="454"/>
        </w:trPr>
        <w:tc>
          <w:tcPr>
            <w:tcW w:w="3397" w:type="dxa"/>
          </w:tcPr>
          <w:p w14:paraId="6FF7EC98" w14:textId="185791F4" w:rsidR="005C797B" w:rsidRDefault="002E6720">
            <w:pPr>
              <w:tabs>
                <w:tab w:val="left" w:pos="2772"/>
              </w:tabs>
              <w:rPr>
                <w:b/>
                <w:sz w:val="16"/>
              </w:rPr>
            </w:pPr>
            <w:r>
              <w:rPr>
                <w:b/>
                <w:sz w:val="16"/>
              </w:rPr>
              <w:t>Me</w:t>
            </w:r>
            <w:r w:rsidR="0010114D">
              <w:rPr>
                <w:b/>
                <w:sz w:val="16"/>
              </w:rPr>
              <w:t>dical expenditures</w:t>
            </w:r>
          </w:p>
          <w:p w14:paraId="153C7D21" w14:textId="77777777" w:rsidR="005C797B" w:rsidRDefault="005C797B">
            <w:pPr>
              <w:tabs>
                <w:tab w:val="left" w:pos="2772"/>
              </w:tabs>
              <w:rPr>
                <w:b/>
                <w:sz w:val="16"/>
              </w:rPr>
            </w:pPr>
          </w:p>
        </w:tc>
        <w:tc>
          <w:tcPr>
            <w:tcW w:w="1949" w:type="dxa"/>
            <w:vAlign w:val="center"/>
          </w:tcPr>
          <w:p w14:paraId="4C9922D8" w14:textId="77777777" w:rsidR="005C797B" w:rsidRDefault="0010114D">
            <w:pPr>
              <w:tabs>
                <w:tab w:val="left" w:pos="2772"/>
              </w:tabs>
              <w:jc w:val="center"/>
              <w:rPr>
                <w:sz w:val="16"/>
              </w:rPr>
            </w:pPr>
            <w:r>
              <w:rPr>
                <w:sz w:val="16"/>
              </w:rPr>
              <w:t>261.1 ($23,740)</w:t>
            </w:r>
          </w:p>
        </w:tc>
        <w:tc>
          <w:tcPr>
            <w:tcW w:w="1949" w:type="dxa"/>
            <w:vAlign w:val="center"/>
          </w:tcPr>
          <w:p w14:paraId="29DA99BA" w14:textId="77777777" w:rsidR="005C797B" w:rsidRDefault="0010114D">
            <w:pPr>
              <w:tabs>
                <w:tab w:val="left" w:pos="2772"/>
              </w:tabs>
              <w:jc w:val="center"/>
              <w:rPr>
                <w:sz w:val="16"/>
              </w:rPr>
            </w:pPr>
            <w:r>
              <w:rPr>
                <w:sz w:val="16"/>
              </w:rPr>
              <w:t>241.2 ($21,930)</w:t>
            </w:r>
          </w:p>
        </w:tc>
        <w:tc>
          <w:tcPr>
            <w:tcW w:w="1949" w:type="dxa"/>
            <w:vAlign w:val="center"/>
          </w:tcPr>
          <w:p w14:paraId="42484591" w14:textId="77777777" w:rsidR="005C797B" w:rsidRDefault="0010114D">
            <w:pPr>
              <w:tabs>
                <w:tab w:val="left" w:pos="2772"/>
              </w:tabs>
              <w:jc w:val="center"/>
              <w:rPr>
                <w:sz w:val="16"/>
              </w:rPr>
            </w:pPr>
            <w:r>
              <w:rPr>
                <w:sz w:val="16"/>
              </w:rPr>
              <w:t>251.7 ($22,880)</w:t>
            </w:r>
          </w:p>
        </w:tc>
        <w:tc>
          <w:tcPr>
            <w:tcW w:w="1950" w:type="dxa"/>
            <w:vAlign w:val="center"/>
          </w:tcPr>
          <w:p w14:paraId="69A1B313" w14:textId="77777777" w:rsidR="005C797B" w:rsidRDefault="0010114D">
            <w:pPr>
              <w:tabs>
                <w:tab w:val="left" w:pos="2772"/>
              </w:tabs>
              <w:jc w:val="center"/>
              <w:rPr>
                <w:sz w:val="16"/>
              </w:rPr>
            </w:pPr>
            <w:r>
              <w:rPr>
                <w:sz w:val="16"/>
              </w:rPr>
              <w:t>232.9 ($21,180)</w:t>
            </w:r>
          </w:p>
        </w:tc>
      </w:tr>
    </w:tbl>
    <w:p w14:paraId="60D59038" w14:textId="77777777" w:rsidR="005C797B" w:rsidRDefault="005C797B">
      <w:pPr>
        <w:sectPr w:rsidR="005C797B">
          <w:footerReference w:type="default" r:id="rId11"/>
          <w:pgSz w:w="15840" w:h="12240" w:orient="landscape"/>
          <w:pgMar w:top="1440" w:right="1440" w:bottom="1440" w:left="1440" w:header="720" w:footer="720" w:gutter="0"/>
          <w:cols w:space="720"/>
        </w:sectPr>
      </w:pPr>
    </w:p>
    <w:p w14:paraId="7C0AA508" w14:textId="77777777" w:rsidR="005C797B" w:rsidRDefault="0010114D">
      <w:pPr>
        <w:rPr>
          <w:sz w:val="20"/>
        </w:rPr>
      </w:pPr>
      <w:r>
        <w:rPr>
          <w:b/>
          <w:sz w:val="20"/>
        </w:rPr>
        <w:lastRenderedPageBreak/>
        <w:t>Supplemental Table 6: Cost-effectiveness analyses including the cost of hip fracture in Japan since 2010</w:t>
      </w:r>
    </w:p>
    <w:tbl>
      <w:tblPr>
        <w:tblStyle w:val="TableGrid"/>
        <w:tblW w:w="0" w:type="auto"/>
        <w:tblLook w:val="04A0" w:firstRow="1" w:lastRow="0" w:firstColumn="1" w:lastColumn="0" w:noHBand="0" w:noVBand="1"/>
      </w:tblPr>
      <w:tblGrid>
        <w:gridCol w:w="1696"/>
        <w:gridCol w:w="8789"/>
        <w:gridCol w:w="2465"/>
      </w:tblGrid>
      <w:tr w:rsidR="005C797B" w14:paraId="3D6E4D81" w14:textId="77777777">
        <w:trPr>
          <w:trHeight w:val="662"/>
        </w:trPr>
        <w:tc>
          <w:tcPr>
            <w:tcW w:w="1696" w:type="dxa"/>
          </w:tcPr>
          <w:p w14:paraId="3F6A2B4D" w14:textId="77777777" w:rsidR="005C797B" w:rsidRDefault="0010114D">
            <w:pPr>
              <w:pStyle w:val="Heading1"/>
              <w:spacing w:before="0" w:beforeAutospacing="0" w:after="300" w:afterAutospacing="0"/>
              <w:jc w:val="center"/>
              <w:outlineLvl w:val="0"/>
              <w:rPr>
                <w:sz w:val="16"/>
              </w:rPr>
            </w:pPr>
            <w:r>
              <w:rPr>
                <w:rFonts w:ascii="Times New Roman" w:eastAsia="Times New Roman" w:hAnsi="Times New Roman" w:cs="Times New Roman"/>
                <w:sz w:val="16"/>
              </w:rPr>
              <w:t>Year published</w:t>
            </w:r>
          </w:p>
        </w:tc>
        <w:tc>
          <w:tcPr>
            <w:tcW w:w="8789" w:type="dxa"/>
          </w:tcPr>
          <w:p w14:paraId="670C0B80" w14:textId="77777777" w:rsidR="005C797B" w:rsidRDefault="0010114D">
            <w:pPr>
              <w:pStyle w:val="Heading1"/>
              <w:spacing w:before="0" w:beforeAutospacing="0" w:after="300" w:afterAutospacing="0"/>
              <w:jc w:val="center"/>
              <w:outlineLvl w:val="0"/>
              <w:rPr>
                <w:sz w:val="16"/>
              </w:rPr>
            </w:pPr>
            <w:r>
              <w:rPr>
                <w:rFonts w:ascii="Times New Roman" w:eastAsia="Times New Roman" w:hAnsi="Times New Roman" w:cs="Times New Roman"/>
                <w:sz w:val="16"/>
              </w:rPr>
              <w:t>Cost-effectiveness analysis article</w:t>
            </w:r>
          </w:p>
        </w:tc>
        <w:tc>
          <w:tcPr>
            <w:tcW w:w="2465" w:type="dxa"/>
          </w:tcPr>
          <w:p w14:paraId="5422283B" w14:textId="77777777" w:rsidR="005C797B" w:rsidRPr="00D566E8" w:rsidRDefault="0010114D">
            <w:pPr>
              <w:jc w:val="center"/>
              <w:rPr>
                <w:b/>
                <w:bCs/>
                <w:sz w:val="16"/>
              </w:rPr>
            </w:pPr>
            <w:r w:rsidRPr="00D566E8">
              <w:rPr>
                <w:b/>
                <w:bCs/>
                <w:sz w:val="16"/>
              </w:rPr>
              <w:t>Reference article for cost of hip fracture * (Year)</w:t>
            </w:r>
          </w:p>
        </w:tc>
      </w:tr>
      <w:tr w:rsidR="005C797B" w14:paraId="3DE4F38C" w14:textId="77777777">
        <w:trPr>
          <w:trHeight w:val="57"/>
        </w:trPr>
        <w:tc>
          <w:tcPr>
            <w:tcW w:w="1696" w:type="dxa"/>
          </w:tcPr>
          <w:p w14:paraId="4BA0212F" w14:textId="77777777" w:rsidR="005C797B" w:rsidRDefault="0010114D">
            <w:pPr>
              <w:jc w:val="center"/>
              <w:rPr>
                <w:color w:val="222222"/>
                <w:sz w:val="16"/>
              </w:rPr>
            </w:pPr>
            <w:r>
              <w:rPr>
                <w:color w:val="222222"/>
                <w:sz w:val="16"/>
              </w:rPr>
              <w:t>2011</w:t>
            </w:r>
          </w:p>
        </w:tc>
        <w:tc>
          <w:tcPr>
            <w:tcW w:w="8789" w:type="dxa"/>
          </w:tcPr>
          <w:p w14:paraId="5925E150" w14:textId="4F0AA15C" w:rsidR="005C797B" w:rsidRDefault="0010114D">
            <w:pPr>
              <w:rPr>
                <w:sz w:val="16"/>
              </w:rPr>
            </w:pPr>
            <w:r>
              <w:rPr>
                <w:color w:val="222222"/>
                <w:sz w:val="16"/>
              </w:rPr>
              <w:t>Goto S, Komaba H, Moriwaki K, et al. Clinical efficacy and cost-effectiveness of lanthanum carbonate as second-line therapy in hemodialysis patients in Japan. Clinical Journal of the American Society of Nephrology 2011; 6(6): 1375</w:t>
            </w:r>
            <w:r w:rsidR="00462639">
              <w:rPr>
                <w:color w:val="222222"/>
                <w:sz w:val="16"/>
              </w:rPr>
              <w:t>–</w:t>
            </w:r>
            <w:r>
              <w:rPr>
                <w:color w:val="222222"/>
                <w:sz w:val="16"/>
              </w:rPr>
              <w:t>84.</w:t>
            </w:r>
          </w:p>
        </w:tc>
        <w:tc>
          <w:tcPr>
            <w:tcW w:w="2465" w:type="dxa"/>
          </w:tcPr>
          <w:p w14:paraId="1D41A0B7" w14:textId="1A81D4CC" w:rsidR="005C797B" w:rsidRDefault="0010114D">
            <w:pPr>
              <w:jc w:val="center"/>
              <w:rPr>
                <w:color w:val="333333"/>
                <w:sz w:val="16"/>
              </w:rPr>
            </w:pPr>
            <w:r>
              <w:rPr>
                <w:sz w:val="16"/>
              </w:rPr>
              <w:t>Kondo et al. [3]</w:t>
            </w:r>
          </w:p>
        </w:tc>
      </w:tr>
      <w:tr w:rsidR="005C797B" w14:paraId="12F0FA14" w14:textId="77777777">
        <w:trPr>
          <w:trHeight w:val="57"/>
        </w:trPr>
        <w:tc>
          <w:tcPr>
            <w:tcW w:w="1696" w:type="dxa"/>
          </w:tcPr>
          <w:p w14:paraId="136029CA" w14:textId="77777777" w:rsidR="005C797B" w:rsidRDefault="0010114D">
            <w:pPr>
              <w:jc w:val="center"/>
              <w:rPr>
                <w:color w:val="222222"/>
                <w:sz w:val="16"/>
              </w:rPr>
            </w:pPr>
            <w:r>
              <w:rPr>
                <w:color w:val="222222"/>
                <w:sz w:val="16"/>
              </w:rPr>
              <w:t>2012</w:t>
            </w:r>
          </w:p>
        </w:tc>
        <w:tc>
          <w:tcPr>
            <w:tcW w:w="8789" w:type="dxa"/>
          </w:tcPr>
          <w:p w14:paraId="6B2FDB62" w14:textId="6E9042FE" w:rsidR="005C797B" w:rsidRDefault="0010114D">
            <w:pPr>
              <w:rPr>
                <w:sz w:val="16"/>
              </w:rPr>
            </w:pPr>
            <w:r>
              <w:rPr>
                <w:color w:val="222222"/>
                <w:sz w:val="16"/>
              </w:rPr>
              <w:t>Komaba H, Moriwaki K, Goto S, et al. Cost-effectiveness of cinacalcet hydrochloride for hemodialysis patients with severe secondary hyperparathyroidism in Japan. American journal of kidney diseases 2012; 60(2): 262</w:t>
            </w:r>
            <w:r w:rsidR="00462639">
              <w:rPr>
                <w:color w:val="222222"/>
                <w:sz w:val="16"/>
              </w:rPr>
              <w:t>–</w:t>
            </w:r>
            <w:r>
              <w:rPr>
                <w:color w:val="222222"/>
                <w:sz w:val="16"/>
              </w:rPr>
              <w:t>71.</w:t>
            </w:r>
          </w:p>
        </w:tc>
        <w:tc>
          <w:tcPr>
            <w:tcW w:w="2465" w:type="dxa"/>
          </w:tcPr>
          <w:p w14:paraId="260036DD" w14:textId="0DDFE7AB" w:rsidR="005C797B" w:rsidRDefault="0010114D">
            <w:pPr>
              <w:jc w:val="center"/>
              <w:rPr>
                <w:color w:val="333333"/>
                <w:sz w:val="16"/>
              </w:rPr>
            </w:pPr>
            <w:r>
              <w:rPr>
                <w:sz w:val="16"/>
              </w:rPr>
              <w:t>Kondo et al. [3]</w:t>
            </w:r>
          </w:p>
        </w:tc>
      </w:tr>
      <w:tr w:rsidR="005C797B" w14:paraId="56EE0C9C" w14:textId="77777777">
        <w:trPr>
          <w:trHeight w:val="57"/>
        </w:trPr>
        <w:tc>
          <w:tcPr>
            <w:tcW w:w="1696" w:type="dxa"/>
          </w:tcPr>
          <w:p w14:paraId="41B69A05" w14:textId="77777777" w:rsidR="005C797B" w:rsidRDefault="0010114D">
            <w:pPr>
              <w:jc w:val="center"/>
              <w:rPr>
                <w:color w:val="222222"/>
                <w:sz w:val="16"/>
              </w:rPr>
            </w:pPr>
            <w:r>
              <w:rPr>
                <w:color w:val="222222"/>
                <w:sz w:val="16"/>
              </w:rPr>
              <w:t>2013</w:t>
            </w:r>
          </w:p>
        </w:tc>
        <w:tc>
          <w:tcPr>
            <w:tcW w:w="8789" w:type="dxa"/>
          </w:tcPr>
          <w:p w14:paraId="153F99F8" w14:textId="2F67CC43" w:rsidR="005C797B" w:rsidRDefault="0010114D">
            <w:pPr>
              <w:rPr>
                <w:sz w:val="16"/>
              </w:rPr>
            </w:pPr>
            <w:r>
              <w:rPr>
                <w:color w:val="222222"/>
                <w:sz w:val="16"/>
              </w:rPr>
              <w:t>Moriwaki K, Komaba H, Noto S, et al. Cost‐effectiveness of alendronate for the treatment of osteopenic postmenopausal women in Japan. Journal of Bone and Mineral Research 2013; 28(2): 395</w:t>
            </w:r>
            <w:r w:rsidR="00462639">
              <w:rPr>
                <w:color w:val="222222"/>
                <w:sz w:val="16"/>
              </w:rPr>
              <w:t>–</w:t>
            </w:r>
            <w:r>
              <w:rPr>
                <w:color w:val="222222"/>
                <w:sz w:val="16"/>
              </w:rPr>
              <w:t>403.</w:t>
            </w:r>
          </w:p>
        </w:tc>
        <w:tc>
          <w:tcPr>
            <w:tcW w:w="2465" w:type="dxa"/>
          </w:tcPr>
          <w:p w14:paraId="44028500" w14:textId="33FE4227" w:rsidR="005C797B" w:rsidRDefault="0010114D">
            <w:pPr>
              <w:jc w:val="center"/>
              <w:rPr>
                <w:sz w:val="16"/>
              </w:rPr>
            </w:pPr>
            <w:r>
              <w:rPr>
                <w:sz w:val="16"/>
              </w:rPr>
              <w:t>Kondo et al. [3]</w:t>
            </w:r>
          </w:p>
        </w:tc>
      </w:tr>
      <w:tr w:rsidR="005C797B" w14:paraId="7B8ECC76" w14:textId="77777777">
        <w:trPr>
          <w:trHeight w:val="57"/>
        </w:trPr>
        <w:tc>
          <w:tcPr>
            <w:tcW w:w="1696" w:type="dxa"/>
          </w:tcPr>
          <w:p w14:paraId="05669A56" w14:textId="77777777" w:rsidR="005C797B" w:rsidRDefault="0010114D">
            <w:pPr>
              <w:jc w:val="center"/>
              <w:rPr>
                <w:color w:val="222222"/>
                <w:sz w:val="16"/>
              </w:rPr>
            </w:pPr>
            <w:r>
              <w:rPr>
                <w:color w:val="222222"/>
                <w:sz w:val="16"/>
              </w:rPr>
              <w:t>2017</w:t>
            </w:r>
          </w:p>
        </w:tc>
        <w:tc>
          <w:tcPr>
            <w:tcW w:w="8789" w:type="dxa"/>
          </w:tcPr>
          <w:p w14:paraId="4C3B8AAA" w14:textId="6304DCA9" w:rsidR="005C797B" w:rsidRDefault="0010114D">
            <w:pPr>
              <w:rPr>
                <w:sz w:val="16"/>
              </w:rPr>
            </w:pPr>
            <w:r>
              <w:rPr>
                <w:color w:val="222222"/>
                <w:sz w:val="16"/>
              </w:rPr>
              <w:t>Moriwaki K, Noto S. Economic evaluation of osteoporosis liaison service for secondary fracture prevention in postmenopausal osteoporosis patients with previous hip fracture in Japan. Osteoporosis International 2017; 28(2): 621</w:t>
            </w:r>
            <w:r w:rsidR="00462639">
              <w:rPr>
                <w:color w:val="222222"/>
                <w:sz w:val="16"/>
              </w:rPr>
              <w:t>–</w:t>
            </w:r>
            <w:r>
              <w:rPr>
                <w:color w:val="222222"/>
                <w:sz w:val="16"/>
              </w:rPr>
              <w:t>32.</w:t>
            </w:r>
          </w:p>
        </w:tc>
        <w:tc>
          <w:tcPr>
            <w:tcW w:w="2465" w:type="dxa"/>
          </w:tcPr>
          <w:p w14:paraId="23438928" w14:textId="7B3B8174" w:rsidR="005C797B" w:rsidRDefault="0010114D">
            <w:pPr>
              <w:jc w:val="center"/>
              <w:rPr>
                <w:sz w:val="16"/>
              </w:rPr>
            </w:pPr>
            <w:r>
              <w:rPr>
                <w:sz w:val="16"/>
              </w:rPr>
              <w:t>Kondo et al. [3]</w:t>
            </w:r>
          </w:p>
        </w:tc>
      </w:tr>
      <w:tr w:rsidR="005C797B" w14:paraId="74CC55D3" w14:textId="77777777">
        <w:trPr>
          <w:trHeight w:val="57"/>
        </w:trPr>
        <w:tc>
          <w:tcPr>
            <w:tcW w:w="1696" w:type="dxa"/>
          </w:tcPr>
          <w:p w14:paraId="3046D4A9" w14:textId="77777777" w:rsidR="005C797B" w:rsidRDefault="0010114D">
            <w:pPr>
              <w:jc w:val="center"/>
              <w:rPr>
                <w:color w:val="222222"/>
                <w:sz w:val="16"/>
              </w:rPr>
            </w:pPr>
            <w:r>
              <w:rPr>
                <w:color w:val="222222"/>
                <w:sz w:val="16"/>
              </w:rPr>
              <w:t>2017</w:t>
            </w:r>
          </w:p>
        </w:tc>
        <w:tc>
          <w:tcPr>
            <w:tcW w:w="8789" w:type="dxa"/>
          </w:tcPr>
          <w:p w14:paraId="285932BC" w14:textId="2062707B" w:rsidR="005C797B" w:rsidRDefault="0010114D">
            <w:pPr>
              <w:rPr>
                <w:sz w:val="16"/>
              </w:rPr>
            </w:pPr>
            <w:r>
              <w:rPr>
                <w:color w:val="222222"/>
                <w:sz w:val="16"/>
              </w:rPr>
              <w:t>Yoshimura M, Moriwaki K, Noto S, Takiguchi T. A model-based cost-effectiveness analysis of osteoporosis screening and treatment strategy for postmenopausal Japanese women. Osteoporosis International 2017; 28(2): 643</w:t>
            </w:r>
            <w:r w:rsidR="00462639">
              <w:rPr>
                <w:color w:val="222222"/>
                <w:sz w:val="16"/>
              </w:rPr>
              <w:t>–</w:t>
            </w:r>
            <w:r>
              <w:rPr>
                <w:color w:val="222222"/>
                <w:sz w:val="16"/>
              </w:rPr>
              <w:t>52.</w:t>
            </w:r>
          </w:p>
        </w:tc>
        <w:tc>
          <w:tcPr>
            <w:tcW w:w="2465" w:type="dxa"/>
          </w:tcPr>
          <w:p w14:paraId="00FC19E3" w14:textId="635D8A7A" w:rsidR="005C797B" w:rsidRDefault="0010114D">
            <w:pPr>
              <w:jc w:val="center"/>
              <w:rPr>
                <w:color w:val="111111"/>
                <w:sz w:val="16"/>
              </w:rPr>
            </w:pPr>
            <w:r>
              <w:rPr>
                <w:sz w:val="16"/>
              </w:rPr>
              <w:t>Kondo et al. [3]</w:t>
            </w:r>
          </w:p>
        </w:tc>
      </w:tr>
      <w:tr w:rsidR="005C797B" w14:paraId="4EEC06A5" w14:textId="77777777">
        <w:trPr>
          <w:trHeight w:val="57"/>
        </w:trPr>
        <w:tc>
          <w:tcPr>
            <w:tcW w:w="1696" w:type="dxa"/>
          </w:tcPr>
          <w:p w14:paraId="5E058386" w14:textId="77777777" w:rsidR="005C797B" w:rsidRDefault="0010114D">
            <w:pPr>
              <w:jc w:val="center"/>
              <w:rPr>
                <w:color w:val="222222"/>
                <w:sz w:val="16"/>
              </w:rPr>
            </w:pPr>
            <w:r>
              <w:rPr>
                <w:color w:val="222222"/>
                <w:sz w:val="16"/>
              </w:rPr>
              <w:t>2017</w:t>
            </w:r>
          </w:p>
        </w:tc>
        <w:tc>
          <w:tcPr>
            <w:tcW w:w="8789" w:type="dxa"/>
          </w:tcPr>
          <w:p w14:paraId="14939FE5" w14:textId="43088B49" w:rsidR="005C797B" w:rsidRDefault="0010114D">
            <w:pPr>
              <w:rPr>
                <w:sz w:val="16"/>
              </w:rPr>
            </w:pPr>
            <w:r>
              <w:rPr>
                <w:color w:val="222222"/>
                <w:sz w:val="16"/>
              </w:rPr>
              <w:t>Mori T, Crandall C, Ganz D. Cost-effectiveness of denosumab versus oral alendronate for elderly osteoporotic women in Japan. Osteoporosis International 2017; 28(5): 1733</w:t>
            </w:r>
            <w:r w:rsidR="00462639">
              <w:rPr>
                <w:color w:val="222222"/>
                <w:sz w:val="16"/>
              </w:rPr>
              <w:t>–</w:t>
            </w:r>
            <w:r>
              <w:rPr>
                <w:color w:val="222222"/>
                <w:sz w:val="16"/>
              </w:rPr>
              <w:t>44.</w:t>
            </w:r>
          </w:p>
        </w:tc>
        <w:tc>
          <w:tcPr>
            <w:tcW w:w="2465" w:type="dxa"/>
          </w:tcPr>
          <w:p w14:paraId="7E69E376" w14:textId="20D82701" w:rsidR="005C797B" w:rsidRDefault="0010114D">
            <w:pPr>
              <w:jc w:val="center"/>
              <w:rPr>
                <w:color w:val="333333"/>
                <w:sz w:val="16"/>
              </w:rPr>
            </w:pPr>
            <w:r>
              <w:rPr>
                <w:sz w:val="16"/>
              </w:rPr>
              <w:t>Kondo et al. [3]</w:t>
            </w:r>
          </w:p>
        </w:tc>
      </w:tr>
      <w:tr w:rsidR="005C797B" w14:paraId="25D930D0" w14:textId="77777777">
        <w:trPr>
          <w:trHeight w:val="57"/>
        </w:trPr>
        <w:tc>
          <w:tcPr>
            <w:tcW w:w="1696" w:type="dxa"/>
          </w:tcPr>
          <w:p w14:paraId="4FC7D509" w14:textId="77777777" w:rsidR="005C797B" w:rsidRDefault="0010114D">
            <w:pPr>
              <w:jc w:val="center"/>
              <w:rPr>
                <w:color w:val="222222"/>
                <w:sz w:val="16"/>
              </w:rPr>
            </w:pPr>
            <w:r>
              <w:rPr>
                <w:color w:val="222222"/>
                <w:sz w:val="16"/>
              </w:rPr>
              <w:t>2017</w:t>
            </w:r>
          </w:p>
        </w:tc>
        <w:tc>
          <w:tcPr>
            <w:tcW w:w="8789" w:type="dxa"/>
          </w:tcPr>
          <w:p w14:paraId="4044A617" w14:textId="1E8831AF" w:rsidR="005C797B" w:rsidRDefault="0010114D">
            <w:pPr>
              <w:rPr>
                <w:sz w:val="16"/>
              </w:rPr>
            </w:pPr>
            <w:r>
              <w:rPr>
                <w:color w:val="222222"/>
                <w:sz w:val="16"/>
              </w:rPr>
              <w:t>Moriwaki K, Mouri M, Hagino H. Cost-effectiveness analysis of once-yearly injection of zoledronic acid for the treatment of osteoporosis in Japan. Osteoporosis International 2017; 28(6): 1939</w:t>
            </w:r>
            <w:r w:rsidR="00462639">
              <w:rPr>
                <w:color w:val="222222"/>
                <w:sz w:val="16"/>
              </w:rPr>
              <w:t>–</w:t>
            </w:r>
            <w:r>
              <w:rPr>
                <w:color w:val="222222"/>
                <w:sz w:val="16"/>
              </w:rPr>
              <w:t>50.</w:t>
            </w:r>
          </w:p>
        </w:tc>
        <w:tc>
          <w:tcPr>
            <w:tcW w:w="2465" w:type="dxa"/>
          </w:tcPr>
          <w:p w14:paraId="24A4A8CF" w14:textId="5121C029" w:rsidR="005C797B" w:rsidRDefault="0010114D">
            <w:pPr>
              <w:jc w:val="center"/>
              <w:rPr>
                <w:color w:val="333333"/>
                <w:sz w:val="16"/>
              </w:rPr>
            </w:pPr>
            <w:r>
              <w:rPr>
                <w:sz w:val="16"/>
              </w:rPr>
              <w:t>Kondo et al. [3]</w:t>
            </w:r>
          </w:p>
        </w:tc>
      </w:tr>
      <w:tr w:rsidR="005C797B" w14:paraId="6EF6F983" w14:textId="77777777">
        <w:trPr>
          <w:trHeight w:val="57"/>
        </w:trPr>
        <w:tc>
          <w:tcPr>
            <w:tcW w:w="1696" w:type="dxa"/>
          </w:tcPr>
          <w:p w14:paraId="1832661E" w14:textId="77777777" w:rsidR="005C797B" w:rsidRDefault="0010114D">
            <w:pPr>
              <w:jc w:val="center"/>
              <w:rPr>
                <w:color w:val="222222"/>
                <w:sz w:val="16"/>
              </w:rPr>
            </w:pPr>
            <w:r>
              <w:rPr>
                <w:color w:val="222222"/>
                <w:sz w:val="16"/>
              </w:rPr>
              <w:t>2018</w:t>
            </w:r>
          </w:p>
        </w:tc>
        <w:tc>
          <w:tcPr>
            <w:tcW w:w="8789" w:type="dxa"/>
          </w:tcPr>
          <w:p w14:paraId="60845C78" w14:textId="56EBEED2" w:rsidR="005C797B" w:rsidRDefault="0010114D">
            <w:pPr>
              <w:rPr>
                <w:sz w:val="16"/>
              </w:rPr>
            </w:pPr>
            <w:r>
              <w:rPr>
                <w:color w:val="222222"/>
                <w:sz w:val="16"/>
              </w:rPr>
              <w:t>Yoshizawa T, Nishino T, Okubo I, Yamazaki M. Cost-effectiveness analysis of drugs for osteoporosis treatment in elderly Japanese women at high risk of fragility fractures: comparison of denosumab and weekly alendronate. Archives of osteoporosis 2018; 13(1): 1</w:t>
            </w:r>
            <w:r w:rsidR="00462639">
              <w:rPr>
                <w:color w:val="222222"/>
                <w:sz w:val="16"/>
              </w:rPr>
              <w:t>–</w:t>
            </w:r>
            <w:r>
              <w:rPr>
                <w:color w:val="222222"/>
                <w:sz w:val="16"/>
              </w:rPr>
              <w:t>11.</w:t>
            </w:r>
          </w:p>
        </w:tc>
        <w:tc>
          <w:tcPr>
            <w:tcW w:w="2465" w:type="dxa"/>
          </w:tcPr>
          <w:p w14:paraId="50DC640D" w14:textId="233F0A3C" w:rsidR="005C797B" w:rsidRDefault="0010114D">
            <w:pPr>
              <w:jc w:val="center"/>
              <w:rPr>
                <w:color w:val="111111"/>
                <w:sz w:val="16"/>
              </w:rPr>
            </w:pPr>
            <w:r>
              <w:rPr>
                <w:sz w:val="16"/>
              </w:rPr>
              <w:t>Kondo et al. [3]</w:t>
            </w:r>
          </w:p>
        </w:tc>
      </w:tr>
      <w:tr w:rsidR="005C797B" w14:paraId="6F957F63" w14:textId="77777777">
        <w:trPr>
          <w:trHeight w:val="57"/>
        </w:trPr>
        <w:tc>
          <w:tcPr>
            <w:tcW w:w="1696" w:type="dxa"/>
          </w:tcPr>
          <w:p w14:paraId="13CEF873" w14:textId="77777777" w:rsidR="005C797B" w:rsidRDefault="0010114D">
            <w:pPr>
              <w:jc w:val="center"/>
              <w:rPr>
                <w:color w:val="222222"/>
                <w:sz w:val="16"/>
              </w:rPr>
            </w:pPr>
            <w:r>
              <w:rPr>
                <w:color w:val="222222"/>
                <w:sz w:val="16"/>
              </w:rPr>
              <w:t>2019</w:t>
            </w:r>
          </w:p>
        </w:tc>
        <w:tc>
          <w:tcPr>
            <w:tcW w:w="8789" w:type="dxa"/>
          </w:tcPr>
          <w:p w14:paraId="061E0FF3" w14:textId="0EF7E3E7" w:rsidR="005C797B" w:rsidRDefault="0010114D">
            <w:pPr>
              <w:rPr>
                <w:color w:val="222222"/>
                <w:sz w:val="16"/>
              </w:rPr>
            </w:pPr>
            <w:r>
              <w:rPr>
                <w:color w:val="222222"/>
                <w:sz w:val="16"/>
              </w:rPr>
              <w:t>Moriwaki K, Fukuda H. Cost-effectiveness of implementing guidelines for the treatment of glucocorticoid-induced osteoporosis in Japan. Osteoporosis International 2019; 30(2): 299</w:t>
            </w:r>
            <w:r w:rsidR="00462639">
              <w:rPr>
                <w:color w:val="222222"/>
                <w:sz w:val="16"/>
              </w:rPr>
              <w:t>–</w:t>
            </w:r>
            <w:r>
              <w:rPr>
                <w:color w:val="222222"/>
                <w:sz w:val="16"/>
              </w:rPr>
              <w:t>310.</w:t>
            </w:r>
          </w:p>
        </w:tc>
        <w:tc>
          <w:tcPr>
            <w:tcW w:w="2465" w:type="dxa"/>
          </w:tcPr>
          <w:p w14:paraId="4A568B48" w14:textId="5AA32D9F" w:rsidR="005C797B" w:rsidRDefault="0010114D">
            <w:pPr>
              <w:jc w:val="center"/>
              <w:rPr>
                <w:color w:val="333333"/>
                <w:sz w:val="16"/>
              </w:rPr>
            </w:pPr>
            <w:r>
              <w:rPr>
                <w:sz w:val="16"/>
              </w:rPr>
              <w:t>Kondo et al. [3]</w:t>
            </w:r>
          </w:p>
        </w:tc>
      </w:tr>
      <w:tr w:rsidR="005C797B" w14:paraId="0F099D0F" w14:textId="77777777">
        <w:trPr>
          <w:trHeight w:val="57"/>
        </w:trPr>
        <w:tc>
          <w:tcPr>
            <w:tcW w:w="1696" w:type="dxa"/>
          </w:tcPr>
          <w:p w14:paraId="5544F891" w14:textId="77777777" w:rsidR="005C797B" w:rsidRDefault="0010114D">
            <w:pPr>
              <w:jc w:val="center"/>
              <w:rPr>
                <w:color w:val="222222"/>
                <w:sz w:val="16"/>
              </w:rPr>
            </w:pPr>
            <w:r>
              <w:rPr>
                <w:color w:val="222222"/>
                <w:sz w:val="16"/>
              </w:rPr>
              <w:t>2020</w:t>
            </w:r>
          </w:p>
        </w:tc>
        <w:tc>
          <w:tcPr>
            <w:tcW w:w="8789" w:type="dxa"/>
          </w:tcPr>
          <w:p w14:paraId="5200B967" w14:textId="24A9B86A" w:rsidR="005C797B" w:rsidRDefault="0010114D">
            <w:pPr>
              <w:rPr>
                <w:color w:val="222222"/>
                <w:sz w:val="16"/>
              </w:rPr>
            </w:pPr>
            <w:r>
              <w:rPr>
                <w:color w:val="222222"/>
                <w:sz w:val="16"/>
              </w:rPr>
              <w:t>Kato G, Kurachi Y. Cost-effective Analysis of Exercise Programs Designed for Fall. Prevention among Healthy Younger Old Community-dwelling Adults (Japanese). Journal of the Japanese Physical Therapy Association 2020</w:t>
            </w:r>
            <w:r w:rsidR="00031FDA">
              <w:rPr>
                <w:color w:val="222222"/>
                <w:sz w:val="16"/>
              </w:rPr>
              <w:t>; 47(5): 420</w:t>
            </w:r>
            <w:r w:rsidR="00462639">
              <w:rPr>
                <w:color w:val="222222"/>
                <w:sz w:val="16"/>
              </w:rPr>
              <w:t>–</w:t>
            </w:r>
            <w:r w:rsidR="00031FDA">
              <w:rPr>
                <w:color w:val="222222"/>
                <w:sz w:val="16"/>
              </w:rPr>
              <w:t>430</w:t>
            </w:r>
            <w:r>
              <w:rPr>
                <w:color w:val="222222"/>
                <w:sz w:val="16"/>
              </w:rPr>
              <w:t>.</w:t>
            </w:r>
          </w:p>
        </w:tc>
        <w:tc>
          <w:tcPr>
            <w:tcW w:w="2465" w:type="dxa"/>
          </w:tcPr>
          <w:p w14:paraId="00D57F63" w14:textId="47ECB866" w:rsidR="005C797B" w:rsidRDefault="0010114D">
            <w:pPr>
              <w:jc w:val="center"/>
              <w:rPr>
                <w:color w:val="111111"/>
                <w:sz w:val="16"/>
              </w:rPr>
            </w:pPr>
            <w:r>
              <w:rPr>
                <w:color w:val="222222"/>
                <w:sz w:val="16"/>
              </w:rPr>
              <w:t>Ota et al. [</w:t>
            </w:r>
            <w:r w:rsidR="00F87868">
              <w:rPr>
                <w:color w:val="222222"/>
                <w:sz w:val="16"/>
              </w:rPr>
              <w:t>6</w:t>
            </w:r>
            <w:r>
              <w:rPr>
                <w:color w:val="222222"/>
                <w:sz w:val="16"/>
              </w:rPr>
              <w:t>]</w:t>
            </w:r>
          </w:p>
        </w:tc>
      </w:tr>
      <w:tr w:rsidR="005C797B" w14:paraId="16E960C1" w14:textId="77777777">
        <w:trPr>
          <w:trHeight w:val="57"/>
        </w:trPr>
        <w:tc>
          <w:tcPr>
            <w:tcW w:w="1696" w:type="dxa"/>
          </w:tcPr>
          <w:p w14:paraId="7EDB016E" w14:textId="77777777" w:rsidR="005C797B" w:rsidRDefault="0010114D">
            <w:pPr>
              <w:jc w:val="center"/>
              <w:rPr>
                <w:color w:val="222222"/>
                <w:sz w:val="16"/>
              </w:rPr>
            </w:pPr>
            <w:r>
              <w:rPr>
                <w:color w:val="222222"/>
                <w:sz w:val="16"/>
              </w:rPr>
              <w:t>2021</w:t>
            </w:r>
          </w:p>
        </w:tc>
        <w:tc>
          <w:tcPr>
            <w:tcW w:w="8789" w:type="dxa"/>
          </w:tcPr>
          <w:p w14:paraId="32D2CB44" w14:textId="118425F2" w:rsidR="005C797B" w:rsidRDefault="0010114D">
            <w:pPr>
              <w:rPr>
                <w:color w:val="222222"/>
                <w:sz w:val="16"/>
              </w:rPr>
            </w:pPr>
            <w:r>
              <w:rPr>
                <w:color w:val="222222"/>
                <w:sz w:val="16"/>
              </w:rPr>
              <w:t>Hagino H, Tanaka K, Silverman S, et al. Cost effectiveness of romosozumab versus teriparatide for severe postmenopausal osteoporosis in Japan. Osteoporosis International 2021</w:t>
            </w:r>
            <w:r w:rsidR="00031FDA">
              <w:rPr>
                <w:color w:val="222222"/>
                <w:sz w:val="16"/>
              </w:rPr>
              <w:t>; 32(10)</w:t>
            </w:r>
            <w:r>
              <w:rPr>
                <w:color w:val="222222"/>
                <w:sz w:val="16"/>
              </w:rPr>
              <w:t xml:space="preserve">: </w:t>
            </w:r>
            <w:r w:rsidR="00031FDA">
              <w:rPr>
                <w:color w:val="222222"/>
                <w:sz w:val="16"/>
              </w:rPr>
              <w:t>201</w:t>
            </w:r>
            <w:r>
              <w:rPr>
                <w:color w:val="222222"/>
                <w:sz w:val="16"/>
              </w:rPr>
              <w:t>1</w:t>
            </w:r>
            <w:r w:rsidR="00462639">
              <w:rPr>
                <w:color w:val="222222"/>
                <w:sz w:val="16"/>
              </w:rPr>
              <w:t>–</w:t>
            </w:r>
            <w:r w:rsidR="00031FDA">
              <w:rPr>
                <w:color w:val="222222"/>
                <w:sz w:val="16"/>
              </w:rPr>
              <w:t>202</w:t>
            </w:r>
            <w:r>
              <w:rPr>
                <w:color w:val="222222"/>
                <w:sz w:val="16"/>
              </w:rPr>
              <w:t>1.</w:t>
            </w:r>
          </w:p>
        </w:tc>
        <w:tc>
          <w:tcPr>
            <w:tcW w:w="2465" w:type="dxa"/>
          </w:tcPr>
          <w:p w14:paraId="5BCCB9F5" w14:textId="26C32DE2" w:rsidR="005C797B" w:rsidRDefault="0010114D">
            <w:pPr>
              <w:jc w:val="center"/>
              <w:rPr>
                <w:sz w:val="16"/>
              </w:rPr>
            </w:pPr>
            <w:r>
              <w:rPr>
                <w:sz w:val="16"/>
              </w:rPr>
              <w:t>Mori et al. [</w:t>
            </w:r>
            <w:r w:rsidR="00F87868">
              <w:rPr>
                <w:sz w:val="16"/>
              </w:rPr>
              <w:t>4</w:t>
            </w:r>
            <w:r>
              <w:rPr>
                <w:sz w:val="16"/>
              </w:rPr>
              <w:t>]</w:t>
            </w:r>
          </w:p>
        </w:tc>
      </w:tr>
      <w:tr w:rsidR="005C797B" w14:paraId="1FB21ACE" w14:textId="77777777">
        <w:trPr>
          <w:trHeight w:val="57"/>
        </w:trPr>
        <w:tc>
          <w:tcPr>
            <w:tcW w:w="1696" w:type="dxa"/>
          </w:tcPr>
          <w:p w14:paraId="12319925" w14:textId="77777777" w:rsidR="005C797B" w:rsidRDefault="0010114D">
            <w:pPr>
              <w:jc w:val="center"/>
              <w:rPr>
                <w:color w:val="222222"/>
                <w:sz w:val="16"/>
              </w:rPr>
            </w:pPr>
            <w:r>
              <w:rPr>
                <w:color w:val="222222"/>
                <w:sz w:val="16"/>
              </w:rPr>
              <w:t>2021</w:t>
            </w:r>
          </w:p>
        </w:tc>
        <w:tc>
          <w:tcPr>
            <w:tcW w:w="8789" w:type="dxa"/>
          </w:tcPr>
          <w:p w14:paraId="13CCC96E" w14:textId="0AF23714" w:rsidR="005C797B" w:rsidRDefault="0010114D">
            <w:pPr>
              <w:rPr>
                <w:sz w:val="16"/>
              </w:rPr>
            </w:pPr>
            <w:r>
              <w:rPr>
                <w:color w:val="222222"/>
                <w:sz w:val="16"/>
              </w:rPr>
              <w:t xml:space="preserve">Mori T, Crandall CJ, Fujii T, Ganz DA. Cost-effectiveness of sequential daily teriparatide/weekly alendronate compared with alendronate monotherapy for older osteoporotic women with prior vertebral fracture in Japan. Archives of Osteoporosis 2021; 16(1): </w:t>
            </w:r>
            <w:r w:rsidR="005A7469">
              <w:rPr>
                <w:color w:val="222222"/>
                <w:sz w:val="16"/>
              </w:rPr>
              <w:t>72</w:t>
            </w:r>
            <w:r>
              <w:rPr>
                <w:color w:val="222222"/>
                <w:sz w:val="16"/>
              </w:rPr>
              <w:t>.</w:t>
            </w:r>
          </w:p>
        </w:tc>
        <w:tc>
          <w:tcPr>
            <w:tcW w:w="2465" w:type="dxa"/>
          </w:tcPr>
          <w:p w14:paraId="32584226" w14:textId="001EF507" w:rsidR="005C797B" w:rsidRDefault="0010114D">
            <w:pPr>
              <w:jc w:val="center"/>
              <w:rPr>
                <w:sz w:val="16"/>
              </w:rPr>
            </w:pPr>
            <w:r>
              <w:rPr>
                <w:color w:val="333333"/>
                <w:sz w:val="16"/>
              </w:rPr>
              <w:t>Taguchi et al. [</w:t>
            </w:r>
            <w:r w:rsidR="00F87868">
              <w:rPr>
                <w:color w:val="333333"/>
                <w:sz w:val="16"/>
              </w:rPr>
              <w:t>5</w:t>
            </w:r>
            <w:r>
              <w:rPr>
                <w:color w:val="333333"/>
                <w:sz w:val="16"/>
              </w:rPr>
              <w:t>]</w:t>
            </w:r>
          </w:p>
        </w:tc>
      </w:tr>
      <w:tr w:rsidR="005C797B" w14:paraId="038FA786" w14:textId="77777777">
        <w:trPr>
          <w:trHeight w:val="57"/>
        </w:trPr>
        <w:tc>
          <w:tcPr>
            <w:tcW w:w="1696" w:type="dxa"/>
          </w:tcPr>
          <w:p w14:paraId="0EBB16E6" w14:textId="77777777" w:rsidR="005C797B" w:rsidRDefault="0010114D">
            <w:pPr>
              <w:jc w:val="center"/>
              <w:rPr>
                <w:color w:val="222222"/>
                <w:sz w:val="16"/>
              </w:rPr>
            </w:pPr>
            <w:r>
              <w:rPr>
                <w:color w:val="222222"/>
                <w:sz w:val="16"/>
              </w:rPr>
              <w:t>2021</w:t>
            </w:r>
          </w:p>
        </w:tc>
        <w:tc>
          <w:tcPr>
            <w:tcW w:w="8789" w:type="dxa"/>
          </w:tcPr>
          <w:p w14:paraId="3A6A22AA" w14:textId="11F695C5" w:rsidR="005C797B" w:rsidRDefault="0010114D">
            <w:pPr>
              <w:rPr>
                <w:sz w:val="16"/>
              </w:rPr>
            </w:pPr>
            <w:r>
              <w:rPr>
                <w:color w:val="222222"/>
                <w:sz w:val="16"/>
              </w:rPr>
              <w:t>Mori T, Crandall CJ, Fujii T, Ganz DA. Cost-effectiveness of zoledronic acid compared with sequential denosumab/alendronate for older osteoporotic women in Japan. Archives of osteoporosis 2021; 16(1): 1</w:t>
            </w:r>
            <w:r w:rsidR="005A7469">
              <w:rPr>
                <w:color w:val="222222"/>
                <w:sz w:val="16"/>
              </w:rPr>
              <w:t>13</w:t>
            </w:r>
            <w:r>
              <w:rPr>
                <w:color w:val="222222"/>
                <w:sz w:val="16"/>
              </w:rPr>
              <w:t>.</w:t>
            </w:r>
          </w:p>
        </w:tc>
        <w:tc>
          <w:tcPr>
            <w:tcW w:w="2465" w:type="dxa"/>
          </w:tcPr>
          <w:p w14:paraId="14C09493" w14:textId="7419DEF0" w:rsidR="005C797B" w:rsidRDefault="0010114D">
            <w:pPr>
              <w:jc w:val="center"/>
              <w:rPr>
                <w:color w:val="333333"/>
                <w:sz w:val="16"/>
              </w:rPr>
            </w:pPr>
            <w:r>
              <w:rPr>
                <w:color w:val="333333"/>
                <w:sz w:val="16"/>
              </w:rPr>
              <w:t>Taguchi et al. [</w:t>
            </w:r>
            <w:r w:rsidR="00F87868">
              <w:rPr>
                <w:color w:val="333333"/>
                <w:sz w:val="16"/>
              </w:rPr>
              <w:t>5</w:t>
            </w:r>
            <w:r>
              <w:rPr>
                <w:color w:val="333333"/>
                <w:sz w:val="16"/>
              </w:rPr>
              <w:t>]</w:t>
            </w:r>
          </w:p>
        </w:tc>
      </w:tr>
      <w:tr w:rsidR="005C797B" w14:paraId="625D05B7" w14:textId="77777777">
        <w:trPr>
          <w:trHeight w:val="57"/>
        </w:trPr>
        <w:tc>
          <w:tcPr>
            <w:tcW w:w="1696" w:type="dxa"/>
          </w:tcPr>
          <w:p w14:paraId="391A83DD" w14:textId="77777777" w:rsidR="005C797B" w:rsidRDefault="0010114D">
            <w:pPr>
              <w:jc w:val="center"/>
              <w:rPr>
                <w:color w:val="222222"/>
                <w:sz w:val="16"/>
              </w:rPr>
            </w:pPr>
            <w:r>
              <w:rPr>
                <w:color w:val="222222"/>
                <w:sz w:val="16"/>
              </w:rPr>
              <w:t>2021</w:t>
            </w:r>
          </w:p>
        </w:tc>
        <w:tc>
          <w:tcPr>
            <w:tcW w:w="8789" w:type="dxa"/>
          </w:tcPr>
          <w:p w14:paraId="49419A5D" w14:textId="2C484E80" w:rsidR="005C797B" w:rsidRDefault="0010114D">
            <w:pPr>
              <w:rPr>
                <w:color w:val="222222"/>
                <w:sz w:val="16"/>
              </w:rPr>
            </w:pPr>
            <w:r>
              <w:rPr>
                <w:color w:val="222222"/>
                <w:sz w:val="16"/>
              </w:rPr>
              <w:t>Takura T, Yuasa A, Yonemoto N, et al. Cost-Effectiveness Analysis of the Treatment Strategies with or without Opioid Medications in Surgery-Eligible Patients with Osteoarthritis in Japan. PharmacoEconomics-Open 2021</w:t>
            </w:r>
            <w:r w:rsidR="005A7469">
              <w:rPr>
                <w:color w:val="222222"/>
                <w:sz w:val="16"/>
              </w:rPr>
              <w:t>; 6: 33</w:t>
            </w:r>
            <w:r w:rsidR="00462639">
              <w:rPr>
                <w:color w:val="222222"/>
                <w:sz w:val="16"/>
              </w:rPr>
              <w:t>–</w:t>
            </w:r>
            <w:r w:rsidR="005A7469">
              <w:rPr>
                <w:color w:val="222222"/>
                <w:sz w:val="16"/>
              </w:rPr>
              <w:t>45</w:t>
            </w:r>
            <w:r>
              <w:rPr>
                <w:color w:val="222222"/>
                <w:sz w:val="16"/>
              </w:rPr>
              <w:t>.</w:t>
            </w:r>
          </w:p>
        </w:tc>
        <w:tc>
          <w:tcPr>
            <w:tcW w:w="2465" w:type="dxa"/>
          </w:tcPr>
          <w:p w14:paraId="74CBBCE5" w14:textId="1F8AA615" w:rsidR="005C797B" w:rsidRDefault="0010114D">
            <w:pPr>
              <w:jc w:val="center"/>
              <w:rPr>
                <w:color w:val="333333"/>
                <w:sz w:val="16"/>
              </w:rPr>
            </w:pPr>
            <w:r>
              <w:rPr>
                <w:color w:val="333333"/>
                <w:sz w:val="16"/>
              </w:rPr>
              <w:t>Taguchi et al. [</w:t>
            </w:r>
            <w:r w:rsidR="00F87868">
              <w:rPr>
                <w:color w:val="333333"/>
                <w:sz w:val="16"/>
              </w:rPr>
              <w:t>5</w:t>
            </w:r>
            <w:r>
              <w:rPr>
                <w:color w:val="333333"/>
                <w:sz w:val="16"/>
              </w:rPr>
              <w:t>]</w:t>
            </w:r>
          </w:p>
        </w:tc>
      </w:tr>
    </w:tbl>
    <w:p w14:paraId="25B1190B" w14:textId="77777777" w:rsidR="005C797B" w:rsidRDefault="0010114D">
      <w:pPr>
        <w:pStyle w:val="EndNoteBibliography"/>
        <w:rPr>
          <w:sz w:val="20"/>
        </w:rPr>
      </w:pPr>
      <w:r>
        <w:rPr>
          <w:sz w:val="20"/>
        </w:rPr>
        <w:t>* Cost-effectiveness analysis articles cited one of the following articles as a reference of the cost of hip fracture</w:t>
      </w:r>
    </w:p>
    <w:p w14:paraId="161A937D" w14:textId="160C90A1" w:rsidR="005C797B" w:rsidRDefault="0010114D">
      <w:pPr>
        <w:pStyle w:val="EndNoteBibliography"/>
        <w:rPr>
          <w:sz w:val="20"/>
        </w:rPr>
      </w:pPr>
      <w:r>
        <w:rPr>
          <w:sz w:val="20"/>
        </w:rPr>
        <w:t xml:space="preserve">(3) Kondo A, Zierler BK, Isokawa Y, Hagino H, Ito Y (2009) Comparison of outcomes and costs after hip fracture surgery in three hospitals that have different care systems in Japan. Health Policy 91(2):204–210. </w:t>
      </w:r>
      <w:hyperlink r:id="rId12" w:history="1">
        <w:r>
          <w:rPr>
            <w:rStyle w:val="Hyperlink"/>
            <w:sz w:val="20"/>
          </w:rPr>
          <w:t>https://doi.org/10.1016/j.healthpol.2008.12.006</w:t>
        </w:r>
      </w:hyperlink>
    </w:p>
    <w:p w14:paraId="09242A4F" w14:textId="0F34431A" w:rsidR="00D566E8" w:rsidRDefault="00D566E8" w:rsidP="00D566E8">
      <w:pPr>
        <w:pStyle w:val="EndNoteBibliography"/>
        <w:rPr>
          <w:sz w:val="20"/>
        </w:rPr>
      </w:pPr>
      <w:r>
        <w:rPr>
          <w:sz w:val="20"/>
        </w:rPr>
        <w:t>(</w:t>
      </w:r>
      <w:r w:rsidR="00F87868">
        <w:rPr>
          <w:sz w:val="20"/>
        </w:rPr>
        <w:t>4</w:t>
      </w:r>
      <w:r>
        <w:rPr>
          <w:sz w:val="20"/>
        </w:rPr>
        <w:t xml:space="preserve">) </w:t>
      </w:r>
      <w:r w:rsidR="003D24BD" w:rsidRPr="003D24BD">
        <w:rPr>
          <w:sz w:val="20"/>
        </w:rPr>
        <w:t xml:space="preserve">Mori T, Tamiya N, Jin X, Jeon B, Yoshie S, Iijima K, Ishizaki T </w:t>
      </w:r>
      <w:r>
        <w:rPr>
          <w:sz w:val="20"/>
        </w:rPr>
        <w:t xml:space="preserve">(2018) Estimated expenditures for hip fractures using merged healthcare insurance data for individuals aged≥ 75 years and long-term care insurance claims data in Japan. Arch Osteoporos 13(1):37. </w:t>
      </w:r>
      <w:hyperlink r:id="rId13" w:history="1">
        <w:r>
          <w:rPr>
            <w:rStyle w:val="Hyperlink"/>
            <w:sz w:val="20"/>
          </w:rPr>
          <w:t>https://doi.org/10.1007/s11657-018-0448-2</w:t>
        </w:r>
      </w:hyperlink>
    </w:p>
    <w:p w14:paraId="4B77D7CA" w14:textId="6B100DD7" w:rsidR="00D566E8" w:rsidRDefault="00D566E8" w:rsidP="00D566E8">
      <w:pPr>
        <w:pStyle w:val="EndNoteBibliography"/>
        <w:rPr>
          <w:sz w:val="20"/>
        </w:rPr>
      </w:pPr>
      <w:r>
        <w:rPr>
          <w:sz w:val="20"/>
        </w:rPr>
        <w:t>(</w:t>
      </w:r>
      <w:r w:rsidR="00F87868">
        <w:rPr>
          <w:sz w:val="20"/>
        </w:rPr>
        <w:t>5</w:t>
      </w:r>
      <w:r>
        <w:rPr>
          <w:sz w:val="20"/>
        </w:rPr>
        <w:t xml:space="preserve">) Taguchi Y, Inoue Y, Kido T, Arai N (2018) Treatment costs and cost drivers among osteoporotic fracture patients in Japan: a retrospective database analysis. Arch Osteoporos 13(1):45. </w:t>
      </w:r>
      <w:hyperlink r:id="rId14" w:history="1">
        <w:r>
          <w:rPr>
            <w:rStyle w:val="Hyperlink"/>
            <w:sz w:val="20"/>
          </w:rPr>
          <w:t>https://doi.org/10.1007/s11657-018-0456-2</w:t>
        </w:r>
      </w:hyperlink>
    </w:p>
    <w:p w14:paraId="151F2FF8" w14:textId="4C821B73" w:rsidR="00F87868" w:rsidRDefault="00F87868" w:rsidP="00F87868">
      <w:pPr>
        <w:pStyle w:val="EndNoteBibliography"/>
        <w:rPr>
          <w:sz w:val="20"/>
        </w:rPr>
      </w:pPr>
      <w:r>
        <w:rPr>
          <w:sz w:val="20"/>
        </w:rPr>
        <w:t xml:space="preserve">(6) Ota T, Harada A, Tokuda H (2002) Cost-effectiveness of hip fracture in Japan (Japanese). Nihon Ronen Igakkai Zasshi 39(5):483–488. </w:t>
      </w:r>
      <w:hyperlink r:id="rId15" w:history="1">
        <w:r>
          <w:rPr>
            <w:rStyle w:val="Hyperlink"/>
            <w:sz w:val="20"/>
          </w:rPr>
          <w:t>https://doi.org/10.3143/geriatrics.39.483</w:t>
        </w:r>
      </w:hyperlink>
    </w:p>
    <w:p w14:paraId="21120572" w14:textId="77777777" w:rsidR="005C797B" w:rsidRDefault="005C797B">
      <w:pPr>
        <w:rPr>
          <w:b/>
          <w:sz w:val="28"/>
        </w:rPr>
      </w:pPr>
    </w:p>
    <w:p w14:paraId="41664E93" w14:textId="77777777" w:rsidR="005A7469" w:rsidRDefault="005A7469">
      <w:pPr>
        <w:rPr>
          <w:b/>
          <w:sz w:val="28"/>
        </w:rPr>
      </w:pPr>
    </w:p>
    <w:p w14:paraId="5F862F10" w14:textId="35601083" w:rsidR="005C797B" w:rsidRDefault="0010114D">
      <w:pPr>
        <w:rPr>
          <w:b/>
          <w:sz w:val="28"/>
        </w:rPr>
      </w:pPr>
      <w:r>
        <w:rPr>
          <w:b/>
          <w:sz w:val="20"/>
        </w:rPr>
        <w:lastRenderedPageBreak/>
        <w:t>Supplemental Figure 1-1: Surgical procedures for femoral neck fracture</w:t>
      </w:r>
    </w:p>
    <w:p w14:paraId="39C85427" w14:textId="77777777" w:rsidR="005C797B" w:rsidRDefault="0010114D">
      <w:pPr>
        <w:tabs>
          <w:tab w:val="left" w:pos="2772"/>
        </w:tabs>
        <w:rPr>
          <w:b/>
          <w:sz w:val="20"/>
        </w:rPr>
      </w:pPr>
      <w:r>
        <w:rPr>
          <w:b/>
          <w:sz w:val="20"/>
        </w:rPr>
        <w:t>a) Male (n=16,752)</w:t>
      </w:r>
    </w:p>
    <w:p w14:paraId="55511FC1" w14:textId="77777777" w:rsidR="005C797B" w:rsidRDefault="0010114D">
      <w:pPr>
        <w:tabs>
          <w:tab w:val="left" w:pos="2772"/>
        </w:tabs>
        <w:rPr>
          <w:b/>
          <w:sz w:val="28"/>
        </w:rPr>
      </w:pPr>
      <w:r>
        <w:rPr>
          <w:noProof/>
        </w:rPr>
        <w:drawing>
          <wp:inline distT="0" distB="0" distL="0" distR="0" wp14:anchorId="5E93F9D0" wp14:editId="24F049BB">
            <wp:extent cx="8281150" cy="54000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8281150" cy="5400000"/>
                    </a:xfrm>
                    <a:prstGeom prst="rect">
                      <a:avLst/>
                    </a:prstGeom>
                  </pic:spPr>
                </pic:pic>
              </a:graphicData>
            </a:graphic>
          </wp:inline>
        </w:drawing>
      </w:r>
    </w:p>
    <w:p w14:paraId="243C02CF" w14:textId="77777777" w:rsidR="005C797B" w:rsidRDefault="005C797B">
      <w:pPr>
        <w:tabs>
          <w:tab w:val="left" w:pos="2772"/>
        </w:tabs>
        <w:rPr>
          <w:b/>
          <w:sz w:val="20"/>
        </w:rPr>
      </w:pPr>
    </w:p>
    <w:p w14:paraId="2D4494EB" w14:textId="77777777" w:rsidR="005C797B" w:rsidRDefault="0010114D">
      <w:pPr>
        <w:tabs>
          <w:tab w:val="left" w:pos="2772"/>
        </w:tabs>
        <w:rPr>
          <w:b/>
          <w:sz w:val="20"/>
        </w:rPr>
      </w:pPr>
      <w:r>
        <w:rPr>
          <w:b/>
          <w:sz w:val="20"/>
        </w:rPr>
        <w:lastRenderedPageBreak/>
        <w:t xml:space="preserve">b) Female (n=63,677) </w:t>
      </w:r>
    </w:p>
    <w:p w14:paraId="3B11CD6B" w14:textId="77777777" w:rsidR="005C797B" w:rsidRDefault="0010114D">
      <w:pPr>
        <w:tabs>
          <w:tab w:val="left" w:pos="2772"/>
        </w:tabs>
        <w:rPr>
          <w:b/>
          <w:sz w:val="28"/>
        </w:rPr>
      </w:pPr>
      <w:r>
        <w:rPr>
          <w:noProof/>
        </w:rPr>
        <w:drawing>
          <wp:inline distT="0" distB="0" distL="0" distR="0" wp14:anchorId="3C3C1086" wp14:editId="7C4E3D90">
            <wp:extent cx="8281150" cy="54000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8281150" cy="5400000"/>
                    </a:xfrm>
                    <a:prstGeom prst="rect">
                      <a:avLst/>
                    </a:prstGeom>
                  </pic:spPr>
                </pic:pic>
              </a:graphicData>
            </a:graphic>
          </wp:inline>
        </w:drawing>
      </w:r>
    </w:p>
    <w:p w14:paraId="350257BD" w14:textId="77777777" w:rsidR="005C797B" w:rsidRDefault="005C797B">
      <w:pPr>
        <w:tabs>
          <w:tab w:val="left" w:pos="2772"/>
        </w:tabs>
        <w:rPr>
          <w:b/>
          <w:sz w:val="28"/>
        </w:rPr>
      </w:pPr>
    </w:p>
    <w:p w14:paraId="35ECCDA5" w14:textId="77777777" w:rsidR="005C797B" w:rsidRDefault="005C797B">
      <w:pPr>
        <w:tabs>
          <w:tab w:val="left" w:pos="2772"/>
        </w:tabs>
        <w:jc w:val="center"/>
        <w:rPr>
          <w:b/>
          <w:sz w:val="20"/>
        </w:rPr>
      </w:pPr>
    </w:p>
    <w:p w14:paraId="589A0091" w14:textId="77777777" w:rsidR="005C797B" w:rsidRDefault="0010114D">
      <w:pPr>
        <w:tabs>
          <w:tab w:val="left" w:pos="2772"/>
        </w:tabs>
        <w:rPr>
          <w:b/>
          <w:sz w:val="20"/>
        </w:rPr>
      </w:pPr>
      <w:r>
        <w:rPr>
          <w:b/>
          <w:sz w:val="20"/>
        </w:rPr>
        <w:lastRenderedPageBreak/>
        <w:t xml:space="preserve">Supplemental Figure 1-2: Surgical procedures for </w:t>
      </w:r>
      <w:r>
        <w:rPr>
          <w:b/>
          <w:color w:val="262626"/>
          <w:sz w:val="20"/>
        </w:rPr>
        <w:t xml:space="preserve">extracapsular (inter and subtrochanteric) </w:t>
      </w:r>
      <w:r>
        <w:rPr>
          <w:b/>
          <w:sz w:val="20"/>
        </w:rPr>
        <w:t>fractures</w:t>
      </w:r>
    </w:p>
    <w:p w14:paraId="27149B69" w14:textId="77777777" w:rsidR="005C797B" w:rsidRDefault="0010114D">
      <w:pPr>
        <w:tabs>
          <w:tab w:val="left" w:pos="2772"/>
        </w:tabs>
        <w:rPr>
          <w:b/>
          <w:sz w:val="20"/>
        </w:rPr>
      </w:pPr>
      <w:r>
        <w:rPr>
          <w:b/>
          <w:sz w:val="20"/>
        </w:rPr>
        <w:t>a) Male (n=12,116)</w:t>
      </w:r>
    </w:p>
    <w:p w14:paraId="5C9AD1BA" w14:textId="77777777" w:rsidR="005C797B" w:rsidRDefault="0010114D">
      <w:pPr>
        <w:tabs>
          <w:tab w:val="left" w:pos="2772"/>
        </w:tabs>
        <w:rPr>
          <w:b/>
          <w:sz w:val="28"/>
        </w:rPr>
      </w:pPr>
      <w:r>
        <w:rPr>
          <w:noProof/>
        </w:rPr>
        <w:drawing>
          <wp:inline distT="0" distB="0" distL="0" distR="0" wp14:anchorId="2ADEC3C4" wp14:editId="3A7D5CCC">
            <wp:extent cx="8274297" cy="540000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8274297" cy="5400000"/>
                    </a:xfrm>
                    <a:prstGeom prst="rect">
                      <a:avLst/>
                    </a:prstGeom>
                  </pic:spPr>
                </pic:pic>
              </a:graphicData>
            </a:graphic>
          </wp:inline>
        </w:drawing>
      </w:r>
    </w:p>
    <w:p w14:paraId="3A6CAA75" w14:textId="77777777" w:rsidR="005C797B" w:rsidRDefault="005C797B">
      <w:pPr>
        <w:tabs>
          <w:tab w:val="left" w:pos="2772"/>
        </w:tabs>
        <w:rPr>
          <w:b/>
          <w:sz w:val="20"/>
        </w:rPr>
      </w:pPr>
    </w:p>
    <w:p w14:paraId="75D414D4" w14:textId="77777777" w:rsidR="005C797B" w:rsidRDefault="0010114D">
      <w:pPr>
        <w:tabs>
          <w:tab w:val="left" w:pos="2772"/>
        </w:tabs>
        <w:rPr>
          <w:b/>
          <w:sz w:val="20"/>
        </w:rPr>
      </w:pPr>
      <w:r>
        <w:rPr>
          <w:b/>
          <w:sz w:val="20"/>
        </w:rPr>
        <w:lastRenderedPageBreak/>
        <w:t xml:space="preserve">b) Female (n=49,816) </w:t>
      </w:r>
    </w:p>
    <w:p w14:paraId="64301069" w14:textId="77777777" w:rsidR="005C797B" w:rsidRDefault="0010114D">
      <w:pPr>
        <w:tabs>
          <w:tab w:val="left" w:pos="2772"/>
        </w:tabs>
        <w:rPr>
          <w:b/>
          <w:sz w:val="28"/>
        </w:rPr>
      </w:pPr>
      <w:r>
        <w:rPr>
          <w:noProof/>
        </w:rPr>
        <w:drawing>
          <wp:inline distT="0" distB="0" distL="0" distR="0" wp14:anchorId="73F1316C" wp14:editId="7B3CA5CA">
            <wp:extent cx="8281150" cy="540000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8281150" cy="5400000"/>
                    </a:xfrm>
                    <a:prstGeom prst="rect">
                      <a:avLst/>
                    </a:prstGeom>
                  </pic:spPr>
                </pic:pic>
              </a:graphicData>
            </a:graphic>
          </wp:inline>
        </w:drawing>
      </w:r>
    </w:p>
    <w:p w14:paraId="22F26EAD" w14:textId="77777777" w:rsidR="005C797B" w:rsidRDefault="005C797B">
      <w:pPr>
        <w:tabs>
          <w:tab w:val="left" w:pos="2772"/>
        </w:tabs>
        <w:rPr>
          <w:b/>
          <w:sz w:val="28"/>
        </w:rPr>
        <w:sectPr w:rsidR="005C797B">
          <w:pgSz w:w="15840" w:h="12240" w:orient="landscape"/>
          <w:pgMar w:top="1440" w:right="1440" w:bottom="1440" w:left="1440" w:header="720" w:footer="720" w:gutter="0"/>
          <w:cols w:space="720"/>
        </w:sectPr>
      </w:pPr>
    </w:p>
    <w:p w14:paraId="498CB737" w14:textId="77777777" w:rsidR="005C797B" w:rsidRDefault="0010114D">
      <w:pPr>
        <w:tabs>
          <w:tab w:val="left" w:pos="2772"/>
        </w:tabs>
        <w:rPr>
          <w:b/>
          <w:sz w:val="20"/>
        </w:rPr>
      </w:pPr>
      <w:r>
        <w:rPr>
          <w:b/>
          <w:sz w:val="20"/>
        </w:rPr>
        <w:lastRenderedPageBreak/>
        <w:t>Supplemental Figure 2: Mean Charlson Comorbidity Index scores before fragility hip fracture</w:t>
      </w:r>
    </w:p>
    <w:p w14:paraId="365DA70D" w14:textId="77777777" w:rsidR="005C797B" w:rsidRDefault="0010114D">
      <w:pPr>
        <w:tabs>
          <w:tab w:val="left" w:pos="2772"/>
        </w:tabs>
        <w:rPr>
          <w:b/>
          <w:sz w:val="20"/>
        </w:rPr>
      </w:pPr>
      <w:r>
        <w:rPr>
          <w:b/>
          <w:sz w:val="20"/>
        </w:rPr>
        <w:t xml:space="preserve">a) Male (n=28,868) </w:t>
      </w:r>
    </w:p>
    <w:p w14:paraId="41DE710B" w14:textId="77777777" w:rsidR="005C797B" w:rsidRDefault="0010114D">
      <w:pPr>
        <w:tabs>
          <w:tab w:val="left" w:pos="2772"/>
        </w:tabs>
        <w:rPr>
          <w:b/>
          <w:sz w:val="28"/>
        </w:rPr>
      </w:pPr>
      <w:r>
        <w:rPr>
          <w:noProof/>
        </w:rPr>
        <w:drawing>
          <wp:inline distT="0" distB="0" distL="0" distR="0" wp14:anchorId="6E0F230F" wp14:editId="7601BDEC">
            <wp:extent cx="8281150" cy="54000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8281150" cy="5400000"/>
                    </a:xfrm>
                    <a:prstGeom prst="rect">
                      <a:avLst/>
                    </a:prstGeom>
                  </pic:spPr>
                </pic:pic>
              </a:graphicData>
            </a:graphic>
          </wp:inline>
        </w:drawing>
      </w:r>
    </w:p>
    <w:p w14:paraId="0DA38C3D" w14:textId="77777777" w:rsidR="005C797B" w:rsidRDefault="005C797B">
      <w:pPr>
        <w:tabs>
          <w:tab w:val="left" w:pos="2772"/>
        </w:tabs>
        <w:rPr>
          <w:b/>
          <w:sz w:val="20"/>
        </w:rPr>
      </w:pPr>
    </w:p>
    <w:p w14:paraId="5647C073" w14:textId="77777777" w:rsidR="005C797B" w:rsidRDefault="0010114D">
      <w:pPr>
        <w:tabs>
          <w:tab w:val="left" w:pos="2772"/>
        </w:tabs>
        <w:rPr>
          <w:b/>
          <w:sz w:val="20"/>
        </w:rPr>
      </w:pPr>
      <w:r>
        <w:rPr>
          <w:b/>
          <w:sz w:val="20"/>
        </w:rPr>
        <w:lastRenderedPageBreak/>
        <w:t xml:space="preserve">b) Female (n=113,493) </w:t>
      </w:r>
    </w:p>
    <w:p w14:paraId="19AECFC6" w14:textId="77777777" w:rsidR="005C797B" w:rsidRDefault="0010114D">
      <w:pPr>
        <w:tabs>
          <w:tab w:val="left" w:pos="2772"/>
        </w:tabs>
        <w:rPr>
          <w:b/>
          <w:sz w:val="20"/>
        </w:rPr>
      </w:pPr>
      <w:r>
        <w:rPr>
          <w:noProof/>
        </w:rPr>
        <w:drawing>
          <wp:inline distT="0" distB="0" distL="0" distR="0" wp14:anchorId="0701B433" wp14:editId="711EFF56">
            <wp:extent cx="8281150" cy="54000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8281150" cy="5400000"/>
                    </a:xfrm>
                    <a:prstGeom prst="rect">
                      <a:avLst/>
                    </a:prstGeom>
                  </pic:spPr>
                </pic:pic>
              </a:graphicData>
            </a:graphic>
          </wp:inline>
        </w:drawing>
      </w:r>
    </w:p>
    <w:p w14:paraId="6265AA28" w14:textId="77777777" w:rsidR="005C797B" w:rsidRDefault="0010114D">
      <w:pPr>
        <w:spacing w:after="160" w:line="259" w:lineRule="auto"/>
        <w:rPr>
          <w:b/>
          <w:sz w:val="20"/>
        </w:rPr>
      </w:pPr>
      <w:r>
        <w:br w:type="page"/>
      </w:r>
    </w:p>
    <w:p w14:paraId="713DA874" w14:textId="2C2D45E6" w:rsidR="005C797B" w:rsidRDefault="0010114D">
      <w:pPr>
        <w:tabs>
          <w:tab w:val="left" w:pos="2772"/>
        </w:tabs>
        <w:rPr>
          <w:b/>
          <w:sz w:val="20"/>
        </w:rPr>
      </w:pPr>
      <w:r>
        <w:rPr>
          <w:b/>
          <w:sz w:val="20"/>
        </w:rPr>
        <w:lastRenderedPageBreak/>
        <w:t xml:space="preserve">Supplemental Figure 3: Difference in </w:t>
      </w:r>
      <w:r w:rsidR="008D5E93">
        <w:rPr>
          <w:b/>
          <w:sz w:val="20"/>
        </w:rPr>
        <w:t>the total payments</w:t>
      </w:r>
      <w:r>
        <w:rPr>
          <w:b/>
          <w:sz w:val="20"/>
        </w:rPr>
        <w:t xml:space="preserve"> between six months before and after fragility hip fracture per patient</w:t>
      </w:r>
    </w:p>
    <w:p w14:paraId="779728CE" w14:textId="5EFC1DD5" w:rsidR="005C797B" w:rsidRPr="00EF1A1F" w:rsidRDefault="0010114D">
      <w:pPr>
        <w:tabs>
          <w:tab w:val="left" w:pos="2772"/>
        </w:tabs>
        <w:rPr>
          <w:b/>
          <w:sz w:val="20"/>
        </w:rPr>
      </w:pPr>
      <w:r>
        <w:rPr>
          <w:b/>
          <w:sz w:val="20"/>
        </w:rPr>
        <w:t xml:space="preserve">a) Male (n=28,868) </w:t>
      </w:r>
    </w:p>
    <w:p w14:paraId="3DC1A80F" w14:textId="1EB0D1C2" w:rsidR="000A0531" w:rsidRDefault="000A0531">
      <w:pPr>
        <w:tabs>
          <w:tab w:val="left" w:pos="2772"/>
        </w:tabs>
        <w:rPr>
          <w:b/>
          <w:sz w:val="28"/>
        </w:rPr>
        <w:sectPr w:rsidR="000A0531">
          <w:pgSz w:w="15840" w:h="12240" w:orient="landscape"/>
          <w:pgMar w:top="1440" w:right="1440" w:bottom="1440" w:left="1440" w:header="720" w:footer="720" w:gutter="0"/>
          <w:cols w:space="720"/>
        </w:sectPr>
      </w:pPr>
      <w:r w:rsidRPr="000A0531">
        <w:rPr>
          <w:b/>
          <w:noProof/>
          <w:sz w:val="28"/>
        </w:rPr>
        <w:drawing>
          <wp:inline distT="0" distB="0" distL="0" distR="0" wp14:anchorId="006BB701" wp14:editId="77D90709">
            <wp:extent cx="7425000" cy="54000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425000" cy="5400000"/>
                    </a:xfrm>
                    <a:prstGeom prst="rect">
                      <a:avLst/>
                    </a:prstGeom>
                  </pic:spPr>
                </pic:pic>
              </a:graphicData>
            </a:graphic>
          </wp:inline>
        </w:drawing>
      </w:r>
    </w:p>
    <w:p w14:paraId="49591D51" w14:textId="1F26F9DA" w:rsidR="005C797B" w:rsidRDefault="0010114D">
      <w:pPr>
        <w:tabs>
          <w:tab w:val="left" w:pos="2772"/>
        </w:tabs>
        <w:rPr>
          <w:b/>
          <w:sz w:val="20"/>
        </w:rPr>
      </w:pPr>
      <w:r>
        <w:rPr>
          <w:b/>
          <w:sz w:val="20"/>
        </w:rPr>
        <w:lastRenderedPageBreak/>
        <w:t xml:space="preserve">b) Female (n=113,493) </w:t>
      </w:r>
    </w:p>
    <w:p w14:paraId="354BEC79" w14:textId="3C683106" w:rsidR="00D80530" w:rsidRDefault="00D80530">
      <w:pPr>
        <w:tabs>
          <w:tab w:val="left" w:pos="2772"/>
        </w:tabs>
        <w:rPr>
          <w:b/>
          <w:sz w:val="20"/>
        </w:rPr>
      </w:pPr>
      <w:r w:rsidRPr="00D80530">
        <w:rPr>
          <w:b/>
          <w:noProof/>
          <w:sz w:val="20"/>
        </w:rPr>
        <w:drawing>
          <wp:inline distT="0" distB="0" distL="0" distR="0" wp14:anchorId="042D756C" wp14:editId="7B7CE281">
            <wp:extent cx="7425000" cy="540000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425000" cy="5400000"/>
                    </a:xfrm>
                    <a:prstGeom prst="rect">
                      <a:avLst/>
                    </a:prstGeom>
                  </pic:spPr>
                </pic:pic>
              </a:graphicData>
            </a:graphic>
          </wp:inline>
        </w:drawing>
      </w:r>
    </w:p>
    <w:p w14:paraId="4B02FF37" w14:textId="77777777" w:rsidR="00D80530" w:rsidRDefault="00D80530">
      <w:pPr>
        <w:tabs>
          <w:tab w:val="left" w:pos="2772"/>
        </w:tabs>
        <w:rPr>
          <w:b/>
          <w:sz w:val="20"/>
        </w:rPr>
      </w:pPr>
    </w:p>
    <w:p w14:paraId="75D8A747" w14:textId="77777777" w:rsidR="00EF1A1F" w:rsidRPr="006B2925" w:rsidRDefault="008D5E93">
      <w:pPr>
        <w:tabs>
          <w:tab w:val="left" w:pos="2772"/>
        </w:tabs>
        <w:rPr>
          <w:bCs/>
          <w:sz w:val="20"/>
        </w:rPr>
      </w:pPr>
      <w:r w:rsidRPr="006B2925">
        <w:rPr>
          <w:bCs/>
          <w:sz w:val="20"/>
        </w:rPr>
        <w:t>Figure note: the total payments consisted of both national health insurance reimbursements and copayments for inpatient and outpatient services.</w:t>
      </w:r>
    </w:p>
    <w:p w14:paraId="5446F18D" w14:textId="77E70C88" w:rsidR="005C797B" w:rsidRDefault="0010114D">
      <w:pPr>
        <w:tabs>
          <w:tab w:val="left" w:pos="2772"/>
        </w:tabs>
        <w:rPr>
          <w:b/>
          <w:sz w:val="20"/>
        </w:rPr>
      </w:pPr>
      <w:r>
        <w:rPr>
          <w:b/>
          <w:sz w:val="20"/>
        </w:rPr>
        <w:lastRenderedPageBreak/>
        <w:t xml:space="preserve">Supplemental Figure 4: Mean medical expenditures for </w:t>
      </w:r>
      <w:r w:rsidR="00D566E8">
        <w:rPr>
          <w:b/>
          <w:sz w:val="20"/>
        </w:rPr>
        <w:t xml:space="preserve">fragility </w:t>
      </w:r>
      <w:r>
        <w:rPr>
          <w:b/>
          <w:sz w:val="20"/>
        </w:rPr>
        <w:t>hip fracture per patient, stratified by prefectures</w:t>
      </w:r>
    </w:p>
    <w:p w14:paraId="40AD90AE" w14:textId="77777777" w:rsidR="005C797B" w:rsidRDefault="0010114D">
      <w:pPr>
        <w:tabs>
          <w:tab w:val="left" w:pos="2772"/>
        </w:tabs>
        <w:rPr>
          <w:b/>
          <w:sz w:val="20"/>
        </w:rPr>
      </w:pPr>
      <w:r>
        <w:rPr>
          <w:b/>
          <w:sz w:val="20"/>
        </w:rPr>
        <w:t xml:space="preserve">a) Male (n=28,868) </w:t>
      </w:r>
    </w:p>
    <w:p w14:paraId="5D94309C" w14:textId="2FC742CB" w:rsidR="005C797B" w:rsidRPr="00AB44E3" w:rsidRDefault="00AB44E3">
      <w:pPr>
        <w:tabs>
          <w:tab w:val="left" w:pos="2772"/>
        </w:tabs>
        <w:rPr>
          <w:lang w:val="en-US" w:eastAsia="ja-JP"/>
        </w:rPr>
      </w:pPr>
      <w:r>
        <w:rPr>
          <w:noProof/>
          <w:lang w:val="en-US" w:eastAsia="ja-JP"/>
        </w:rPr>
        <w:drawing>
          <wp:inline distT="0" distB="0" distL="0" distR="0" wp14:anchorId="0A5A3B9E" wp14:editId="4D730EC8">
            <wp:extent cx="8229600" cy="5362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8229600" cy="5362575"/>
                    </a:xfrm>
                    <a:prstGeom prst="rect">
                      <a:avLst/>
                    </a:prstGeom>
                  </pic:spPr>
                </pic:pic>
              </a:graphicData>
            </a:graphic>
          </wp:inline>
        </w:drawing>
      </w:r>
    </w:p>
    <w:p w14:paraId="1919C2DE" w14:textId="77777777" w:rsidR="005C797B" w:rsidRDefault="005C797B">
      <w:pPr>
        <w:tabs>
          <w:tab w:val="left" w:pos="2772"/>
        </w:tabs>
      </w:pPr>
    </w:p>
    <w:p w14:paraId="3EBEBA0F" w14:textId="3E5ADC7E" w:rsidR="005C797B" w:rsidRPr="00AB44E3" w:rsidRDefault="0010114D">
      <w:pPr>
        <w:tabs>
          <w:tab w:val="left" w:pos="2772"/>
        </w:tabs>
        <w:rPr>
          <w:b/>
          <w:sz w:val="20"/>
        </w:rPr>
      </w:pPr>
      <w:r>
        <w:rPr>
          <w:b/>
          <w:sz w:val="20"/>
        </w:rPr>
        <w:lastRenderedPageBreak/>
        <w:t xml:space="preserve"> b) Female (n=113,493) </w:t>
      </w:r>
    </w:p>
    <w:p w14:paraId="35F4A392" w14:textId="505DBE7A" w:rsidR="005C797B" w:rsidRDefault="00AB44E3">
      <w:r>
        <w:rPr>
          <w:noProof/>
        </w:rPr>
        <w:drawing>
          <wp:inline distT="0" distB="0" distL="0" distR="0" wp14:anchorId="37611BB9" wp14:editId="34C20ABE">
            <wp:extent cx="8229600" cy="5362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8229600" cy="5362575"/>
                    </a:xfrm>
                    <a:prstGeom prst="rect">
                      <a:avLst/>
                    </a:prstGeom>
                  </pic:spPr>
                </pic:pic>
              </a:graphicData>
            </a:graphic>
          </wp:inline>
        </w:drawing>
      </w:r>
    </w:p>
    <w:sectPr w:rsidR="005C797B">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4FC0F" w14:textId="77777777" w:rsidR="008F153A" w:rsidRDefault="008F153A">
      <w:r>
        <w:separator/>
      </w:r>
    </w:p>
  </w:endnote>
  <w:endnote w:type="continuationSeparator" w:id="0">
    <w:p w14:paraId="087AB74E" w14:textId="77777777" w:rsidR="008F153A" w:rsidRDefault="008F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E50D" w14:textId="77777777" w:rsidR="005C797B" w:rsidRDefault="0010114D">
    <w:pPr>
      <w:pStyle w:val="Footer"/>
      <w:jc w:val="center"/>
    </w:pPr>
    <w:r>
      <w:fldChar w:fldCharType="begin"/>
    </w:r>
    <w:r>
      <w:instrText xml:space="preserve"> PAGE   \* MERGEFORMAT </w:instrText>
    </w:r>
    <w:r>
      <w:fldChar w:fldCharType="separate"/>
    </w:r>
    <w:r>
      <w:t>2</w:t>
    </w:r>
    <w:r>
      <w:fldChar w:fldCharType="end"/>
    </w:r>
  </w:p>
  <w:p w14:paraId="2A9CEA4F" w14:textId="77777777" w:rsidR="005C797B" w:rsidRDefault="005C7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41C72" w14:textId="77777777" w:rsidR="008F153A" w:rsidRDefault="008F153A">
      <w:r>
        <w:separator/>
      </w:r>
    </w:p>
  </w:footnote>
  <w:footnote w:type="continuationSeparator" w:id="0">
    <w:p w14:paraId="1C6BE21D" w14:textId="77777777" w:rsidR="008F153A" w:rsidRDefault="008F1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7B"/>
    <w:rsid w:val="00031FDA"/>
    <w:rsid w:val="000A0531"/>
    <w:rsid w:val="0010114D"/>
    <w:rsid w:val="00124FCA"/>
    <w:rsid w:val="00180970"/>
    <w:rsid w:val="001A2CC2"/>
    <w:rsid w:val="002C22F7"/>
    <w:rsid w:val="002E6720"/>
    <w:rsid w:val="00333545"/>
    <w:rsid w:val="00384355"/>
    <w:rsid w:val="003D24BD"/>
    <w:rsid w:val="00406479"/>
    <w:rsid w:val="00416F1A"/>
    <w:rsid w:val="00462639"/>
    <w:rsid w:val="004E7B98"/>
    <w:rsid w:val="005A7469"/>
    <w:rsid w:val="005C5AD8"/>
    <w:rsid w:val="005C797B"/>
    <w:rsid w:val="00630023"/>
    <w:rsid w:val="006B2925"/>
    <w:rsid w:val="0070106C"/>
    <w:rsid w:val="007B712B"/>
    <w:rsid w:val="008D5E93"/>
    <w:rsid w:val="008F153A"/>
    <w:rsid w:val="00AB44E3"/>
    <w:rsid w:val="00D33D53"/>
    <w:rsid w:val="00D355A1"/>
    <w:rsid w:val="00D566E8"/>
    <w:rsid w:val="00D80530"/>
    <w:rsid w:val="00DD280D"/>
    <w:rsid w:val="00EE7A9E"/>
    <w:rsid w:val="00EF03E1"/>
    <w:rsid w:val="00EF1A1F"/>
    <w:rsid w:val="00F87868"/>
    <w:rsid w:val="00FF35A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0D15D01"/>
  <w15:docId w15:val="{A2C7C58E-6A09-2B40-9106-8BF1ECD0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pPr>
      <w:spacing w:after="0" w:line="240" w:lineRule="auto"/>
    </w:pPr>
    <w:rPr>
      <w:rFonts w:ascii="Times New Roman" w:eastAsia="Times New Roman" w:hAnsi="Times New Roman" w:cs="Times New Roman"/>
      <w:sz w:val="24"/>
      <w:lang w:val=""/>
    </w:rPr>
  </w:style>
  <w:style w:type="paragraph" w:styleId="Heading1">
    <w:name w:val="heading 1"/>
    <w:basedOn w:val="Normal"/>
    <w:qFormat/>
    <w:pPr>
      <w:spacing w:before="100" w:beforeAutospacing="1" w:after="100" w:afterAutospacing="1"/>
      <w:outlineLvl w:val="0"/>
    </w:pPr>
    <w:rPr>
      <w:rFonts w:asciiTheme="minorHAnsi" w:eastAsiaTheme="minorEastAsia" w:hAnsiTheme="minorHAnsi" w:cstheme="minorBidi"/>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sz w:val="26"/>
    </w:rPr>
  </w:style>
  <w:style w:type="paragraph" w:styleId="TOC2">
    <w:name w:val="toc 2"/>
    <w:basedOn w:val="Normal"/>
    <w:pPr>
      <w:spacing w:line="330" w:lineRule="auto"/>
    </w:pPr>
    <w:rPr>
      <w:rFonts w:ascii="Calibri" w:eastAsia="Calibri" w:hAnsi="Calibri" w:cs="Calibri"/>
    </w:rPr>
  </w:style>
  <w:style w:type="paragraph" w:styleId="TOC3">
    <w:name w:val="toc 3"/>
    <w:basedOn w:val="Normal"/>
    <w:pPr>
      <w:spacing w:line="360" w:lineRule="auto"/>
    </w:pPr>
    <w:rPr>
      <w:rFonts w:ascii="Calibri" w:eastAsia="Calibri" w:hAnsi="Calibri" w:cs="Calibri"/>
      <w:sz w:val="22"/>
    </w:rPr>
  </w:style>
  <w:style w:type="paragraph" w:styleId="TOC4">
    <w:name w:val="toc 4"/>
    <w:basedOn w:val="Normal"/>
    <w:pPr>
      <w:spacing w:line="330" w:lineRule="exact"/>
    </w:pPr>
    <w:rPr>
      <w:rFonts w:ascii="Calibri" w:eastAsia="Calibri" w:hAnsi="Calibri" w:cs="Calibri"/>
    </w:rPr>
  </w:style>
  <w:style w:type="paragraph" w:styleId="TOC5">
    <w:name w:val="toc 5"/>
    <w:basedOn w:val="Normal"/>
    <w:pPr>
      <w:spacing w:line="330" w:lineRule="exact"/>
    </w:pPr>
    <w:rPr>
      <w:rFonts w:ascii="Calibri" w:eastAsia="Calibri" w:hAnsi="Calibri" w:cs="Calibri"/>
    </w:rPr>
  </w:style>
  <w:style w:type="paragraph" w:styleId="TOC6">
    <w:name w:val="toc 6"/>
    <w:basedOn w:val="Normal"/>
    <w:pPr>
      <w:spacing w:line="330" w:lineRule="exact"/>
    </w:pPr>
    <w:rPr>
      <w:rFonts w:ascii="Calibri" w:eastAsia="Calibri" w:hAnsi="Calibri" w:cs="Calibri"/>
    </w:rPr>
  </w:style>
  <w:style w:type="paragraph" w:styleId="TOC7">
    <w:name w:val="toc 7"/>
    <w:basedOn w:val="Normal"/>
    <w:pPr>
      <w:spacing w:line="330" w:lineRule="exact"/>
    </w:pPr>
    <w:rPr>
      <w:rFonts w:ascii="Calibri" w:eastAsia="Calibri" w:hAnsi="Calibri" w:cs="Calibri"/>
    </w:rPr>
  </w:style>
  <w:style w:type="paragraph" w:styleId="TOC8">
    <w:name w:val="toc 8"/>
    <w:basedOn w:val="Normal"/>
    <w:pPr>
      <w:spacing w:line="330" w:lineRule="exact"/>
    </w:pPr>
    <w:rPr>
      <w:rFonts w:ascii="Calibri" w:eastAsia="Calibri" w:hAnsi="Calibri" w:cs="Calibri"/>
    </w:rPr>
  </w:style>
  <w:style w:type="paragraph" w:styleId="TOC9">
    <w:name w:val="toc 9"/>
    <w:basedOn w:val="Normal"/>
    <w:pPr>
      <w:spacing w:line="330" w:lineRule="exact"/>
    </w:pPr>
    <w:rPr>
      <w:rFonts w:ascii="Calibri" w:eastAsia="Calibri" w:hAnsi="Calibri" w:cs="Calibri"/>
    </w:rPr>
  </w:style>
  <w:style w:type="table" w:styleId="TableGrid">
    <w:name w:val="Table Grid"/>
    <w:basedOn w:val="TableNormal"/>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CommentReference">
    <w:name w:val="annotation reference"/>
    <w:basedOn w:val="DefaultParagraphFont"/>
    <w:uiPriority w:val="99"/>
    <w:rPr>
      <w:sz w:val="16"/>
    </w:rPr>
  </w:style>
  <w:style w:type="character" w:styleId="EndnoteReference">
    <w:name w:val="endnote reference"/>
    <w:basedOn w:val="DefaultParagraphFont"/>
    <w:rPr>
      <w:vertAlign w:val="superscript"/>
    </w:rPr>
  </w:style>
  <w:style w:type="character" w:styleId="FootnoteReference">
    <w:name w:val="footnote reference"/>
    <w:basedOn w:val="DefaultParagraphFont"/>
    <w:rPr>
      <w:vertAlign w:val="superscript"/>
    </w:rPr>
  </w:style>
  <w:style w:type="paragraph" w:styleId="CommentText">
    <w:name w:val="annotation text"/>
    <w:basedOn w:val="Normal"/>
    <w:link w:val="CommentTextChar"/>
    <w:uiPriority w:val="99"/>
    <w:rPr>
      <w:rFonts w:ascii="Calibri" w:eastAsia="Calibri" w:hAnsi="Calibri" w:cs="Calibri"/>
      <w:sz w:val="20"/>
    </w:rPr>
  </w:style>
  <w:style w:type="character" w:customStyle="1" w:styleId="apple-converted-space">
    <w:name w:val="apple-converted-space"/>
    <w:basedOn w:val="DefaultParagraphFont"/>
  </w:style>
  <w:style w:type="paragraph" w:customStyle="1" w:styleId="EndNoteBibliography">
    <w:name w:val="EndNote Bibliography"/>
    <w:basedOn w:val="Normal"/>
  </w:style>
  <w:style w:type="paragraph" w:styleId="CommentSubject">
    <w:name w:val="annotation subject"/>
    <w:basedOn w:val="CommentText"/>
    <w:rPr>
      <w:rFonts w:ascii="Times New Roman" w:eastAsia="Times New Roman" w:hAnsi="Times New Roman" w:cs="Times New Roman"/>
      <w:b/>
    </w:r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styleId="Revision">
    <w:name w:val="Revision"/>
    <w:pPr>
      <w:spacing w:after="0" w:line="240" w:lineRule="auto"/>
    </w:pPr>
    <w:rPr>
      <w:rFonts w:ascii="Times New Roman" w:eastAsia="Times New Roman" w:hAnsi="Times New Roman" w:cs="Times New Roman"/>
      <w:sz w:val="24"/>
    </w:rPr>
  </w:style>
  <w:style w:type="paragraph" w:customStyle="1" w:styleId="TableList">
    <w:name w:val="Table List"/>
    <w:basedOn w:val="Normal"/>
    <w:pPr>
      <w:ind w:left="300" w:hanging="300"/>
    </w:pPr>
    <w:rPr>
      <w:rFonts w:ascii="Calibri" w:eastAsia="Calibri" w:hAnsi="Calibri" w:cs="Calibri"/>
      <w:sz w:val="20"/>
    </w:rPr>
  </w:style>
  <w:style w:type="character" w:customStyle="1" w:styleId="GivenName">
    <w:name w:val="Given Name"/>
    <w:basedOn w:val="DefaultParagraphFont"/>
    <w:rPr>
      <w:shd w:val="clear" w:color="auto" w:fill="D0FCE2"/>
    </w:rPr>
  </w:style>
  <w:style w:type="character" w:customStyle="1" w:styleId="FamilyName">
    <w:name w:val="Family Name"/>
    <w:basedOn w:val="DefaultParagraphFont"/>
    <w:rPr>
      <w:shd w:val="clear" w:color="auto" w:fill="88F4BE"/>
    </w:rPr>
  </w:style>
  <w:style w:type="paragraph" w:customStyle="1" w:styleId="List8">
    <w:name w:val="List 8"/>
    <w:basedOn w:val="Normal"/>
    <w:pPr>
      <w:spacing w:line="360" w:lineRule="auto"/>
      <w:ind w:left="1980" w:hanging="400"/>
    </w:pPr>
    <w:rPr>
      <w:rFonts w:ascii="Calibri" w:eastAsia="Calibri" w:hAnsi="Calibri" w:cs="Calibri"/>
      <w:sz w:val="22"/>
    </w:rPr>
  </w:style>
  <w:style w:type="character" w:customStyle="1" w:styleId="Cross-reference">
    <w:name w:val="Cross-reference"/>
    <w:basedOn w:val="DefaultParagraphFont"/>
    <w:rPr>
      <w:shd w:val="clear" w:color="auto" w:fill="FFE3C9"/>
    </w:rPr>
  </w:style>
  <w:style w:type="character" w:customStyle="1" w:styleId="Postcode">
    <w:name w:val="Postcode"/>
    <w:basedOn w:val="DefaultParagraphFont"/>
    <w:rPr>
      <w:shd w:val="clear" w:color="auto" w:fill="BEBEBE"/>
    </w:rPr>
  </w:style>
  <w:style w:type="paragraph" w:customStyle="1" w:styleId="Authors">
    <w:name w:val="Authors"/>
    <w:basedOn w:val="Normal"/>
    <w:pPr>
      <w:spacing w:before="360" w:after="120" w:line="283" w:lineRule="auto"/>
    </w:pPr>
    <w:rPr>
      <w:rFonts w:ascii="Calibri" w:eastAsia="Calibri" w:hAnsi="Calibri" w:cs="Calibri"/>
      <w:sz w:val="28"/>
    </w:rPr>
  </w:style>
  <w:style w:type="character" w:customStyle="1" w:styleId="GrantID">
    <w:name w:val="Grant ID"/>
    <w:basedOn w:val="DefaultParagraphFont"/>
    <w:rPr>
      <w:shd w:val="clear" w:color="auto" w:fill="DDA5FF"/>
    </w:rPr>
  </w:style>
  <w:style w:type="paragraph" w:customStyle="1" w:styleId="Annotation">
    <w:name w:val="Annotation"/>
    <w:basedOn w:val="Normal"/>
    <w:pPr>
      <w:spacing w:after="160" w:line="360" w:lineRule="auto"/>
      <w:ind w:left="400"/>
    </w:pPr>
    <w:rPr>
      <w:rFonts w:ascii="Calibri" w:eastAsia="Calibri" w:hAnsi="Calibri" w:cs="Calibri"/>
      <w:sz w:val="22"/>
    </w:rPr>
  </w:style>
  <w:style w:type="paragraph" w:customStyle="1" w:styleId="Note">
    <w:name w:val="Note"/>
    <w:basedOn w:val="Normal"/>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Normal"/>
    <w:pPr>
      <w:shd w:val="clear" w:color="auto" w:fill="E9F9FF"/>
    </w:pPr>
    <w:rPr>
      <w:rFonts w:ascii="Calibri" w:eastAsia="Calibri" w:hAnsi="Calibri" w:cs="Calibri"/>
      <w:sz w:val="18"/>
      <w:shd w:val="clear" w:color="auto" w:fill="E9F9FF"/>
    </w:rPr>
  </w:style>
  <w:style w:type="paragraph" w:styleId="FootnoteText">
    <w:name w:val="footnote text"/>
    <w:basedOn w:val="Normal"/>
    <w:rPr>
      <w:rFonts w:ascii="Calibri" w:eastAsia="Calibri" w:hAnsi="Calibri" w:cs="Calibri"/>
    </w:rPr>
  </w:style>
  <w:style w:type="paragraph" w:customStyle="1" w:styleId="Formula">
    <w:name w:val="Formula"/>
    <w:basedOn w:val="Normal"/>
    <w:pPr>
      <w:shd w:val="clear" w:color="auto" w:fill="FFF5ED"/>
      <w:spacing w:before="120" w:after="120" w:line="360" w:lineRule="auto"/>
    </w:pPr>
    <w:rPr>
      <w:rFonts w:ascii="Calibri" w:eastAsia="Calibri" w:hAnsi="Calibri" w:cs="Calibri"/>
      <w:sz w:val="22"/>
      <w:shd w:val="clear" w:color="auto" w:fill="FFF5ED"/>
    </w:rPr>
  </w:style>
  <w:style w:type="paragraph" w:customStyle="1" w:styleId="Abstract">
    <w:name w:val="Abstract"/>
    <w:basedOn w:val="Normal"/>
    <w:pPr>
      <w:spacing w:after="160" w:line="360" w:lineRule="auto"/>
      <w:ind w:left="1440" w:right="1440"/>
      <w:jc w:val="both"/>
    </w:pPr>
    <w:rPr>
      <w:rFonts w:ascii="Calibri" w:eastAsia="Calibri" w:hAnsi="Calibri" w:cs="Calibri"/>
      <w:sz w:val="22"/>
    </w:rPr>
  </w:style>
  <w:style w:type="paragraph" w:customStyle="1" w:styleId="Reference">
    <w:name w:val="Reference"/>
    <w:basedOn w:val="Normal"/>
    <w:pPr>
      <w:spacing w:after="320" w:line="360" w:lineRule="auto"/>
      <w:ind w:left="400" w:hanging="400"/>
      <w:jc w:val="both"/>
    </w:pPr>
    <w:rPr>
      <w:rFonts w:ascii="Calibri" w:eastAsia="Calibri" w:hAnsi="Calibri" w:cs="Calibri"/>
      <w:sz w:val="22"/>
    </w:rPr>
  </w:style>
  <w:style w:type="character" w:customStyle="1" w:styleId="Label">
    <w:name w:val="Label"/>
    <w:basedOn w:val="DefaultParagraphFont"/>
    <w:rPr>
      <w:shd w:val="clear" w:color="auto" w:fill="FFC391"/>
      <w:vertAlign w:val="baseline"/>
    </w:rPr>
  </w:style>
  <w:style w:type="paragraph" w:customStyle="1" w:styleId="Keywords">
    <w:name w:val="Keywords"/>
    <w:basedOn w:val="Normal"/>
    <w:pPr>
      <w:spacing w:line="396" w:lineRule="auto"/>
      <w:ind w:left="1000"/>
    </w:pPr>
    <w:rPr>
      <w:rFonts w:ascii="Calibri" w:eastAsia="Calibri" w:hAnsi="Calibri" w:cs="Calibri"/>
      <w:sz w:val="20"/>
    </w:rPr>
  </w:style>
  <w:style w:type="character" w:customStyle="1" w:styleId="Organization">
    <w:name w:val="Organization"/>
    <w:basedOn w:val="DefaultParagraphFont"/>
    <w:rPr>
      <w:shd w:val="clear" w:color="auto" w:fill="D1FFB5"/>
    </w:rPr>
  </w:style>
  <w:style w:type="paragraph" w:styleId="List2">
    <w:name w:val="List 2"/>
    <w:basedOn w:val="Normal"/>
    <w:pPr>
      <w:spacing w:line="360" w:lineRule="auto"/>
      <w:ind w:left="800" w:hanging="400"/>
      <w:jc w:val="both"/>
    </w:pPr>
    <w:rPr>
      <w:rFonts w:ascii="Calibri" w:eastAsia="Calibri" w:hAnsi="Calibri" w:cs="Calibri"/>
      <w:sz w:val="22"/>
    </w:rPr>
  </w:style>
  <w:style w:type="character" w:customStyle="1" w:styleId="GlossaryTerm">
    <w:name w:val="Glossary Term"/>
    <w:basedOn w:val="DefaultParagraphFont"/>
    <w:rPr>
      <w:shd w:val="clear" w:color="auto" w:fill="FFCFD7"/>
    </w:rPr>
  </w:style>
  <w:style w:type="paragraph" w:styleId="EndnoteText">
    <w:name w:val="endnote text"/>
    <w:basedOn w:val="Normal"/>
    <w:rPr>
      <w:rFonts w:ascii="Calibri" w:eastAsia="Calibri" w:hAnsi="Calibri" w:cs="Calibri"/>
    </w:rPr>
  </w:style>
  <w:style w:type="paragraph" w:styleId="BlockText">
    <w:name w:val="Block Text"/>
    <w:basedOn w:val="Normal"/>
    <w:pPr>
      <w:spacing w:after="160" w:line="360" w:lineRule="auto"/>
      <w:ind w:left="1200"/>
    </w:pPr>
    <w:rPr>
      <w:rFonts w:ascii="Calibri" w:eastAsia="Calibri" w:hAnsi="Calibri" w:cs="Calibri"/>
      <w:sz w:val="22"/>
    </w:rPr>
  </w:style>
  <w:style w:type="character" w:customStyle="1" w:styleId="ArticleTitle">
    <w:name w:val="Article Title"/>
    <w:basedOn w:val="DefaultParagraphFont"/>
    <w:qFormat/>
    <w:rPr>
      <w:shd w:val="clear" w:color="auto" w:fill="E9F9FF"/>
    </w:rPr>
  </w:style>
  <w:style w:type="character" w:customStyle="1" w:styleId="City">
    <w:name w:val="City"/>
    <w:basedOn w:val="DefaultParagraphFont"/>
    <w:rPr>
      <w:shd w:val="clear" w:color="auto" w:fill="D7D7D7"/>
    </w:rPr>
  </w:style>
  <w:style w:type="character" w:styleId="Hyperlink">
    <w:name w:val="Hyperlink"/>
    <w:basedOn w:val="DefaultParagraphFont"/>
    <w:rPr>
      <w:color w:val="0563C1"/>
    </w:rPr>
  </w:style>
  <w:style w:type="character" w:customStyle="1" w:styleId="Region">
    <w:name w:val="Region"/>
    <w:basedOn w:val="DefaultParagraphFont"/>
    <w:rPr>
      <w:shd w:val="clear" w:color="auto" w:fill="D8E9EE"/>
    </w:rPr>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DatabaseLink">
    <w:name w:val="Database Link"/>
    <w:basedOn w:val="DefaultParagraphFont"/>
    <w:rPr>
      <w:shd w:val="clear" w:color="auto" w:fill="AFBEFF"/>
    </w:rPr>
  </w:style>
  <w:style w:type="paragraph" w:styleId="List4">
    <w:name w:val="List 4"/>
    <w:basedOn w:val="Normal"/>
    <w:pPr>
      <w:spacing w:line="360" w:lineRule="auto"/>
      <w:ind w:left="1600" w:hanging="400"/>
    </w:pPr>
    <w:rPr>
      <w:rFonts w:ascii="Calibri" w:eastAsia="Calibri" w:hAnsi="Calibri" w:cs="Calibri"/>
      <w:sz w:val="22"/>
    </w:rPr>
  </w:style>
  <w:style w:type="paragraph" w:customStyle="1" w:styleId="AbstractSubheading">
    <w:name w:val="Abstract Subheading"/>
    <w:basedOn w:val="Normal"/>
    <w:pPr>
      <w:numPr>
        <w:ilvl w:val="8"/>
      </w:numPr>
      <w:ind w:left="1440"/>
      <w:outlineLvl w:val="8"/>
    </w:pPr>
    <w:rPr>
      <w:rFonts w:asciiTheme="minorHAnsi" w:eastAsiaTheme="minorEastAsia" w:hAnsiTheme="minorHAnsi" w:cstheme="minorBidi"/>
      <w:sz w:val="22"/>
    </w:rPr>
  </w:style>
  <w:style w:type="paragraph" w:customStyle="1" w:styleId="QuotationSource">
    <w:name w:val="Quotation Source"/>
    <w:basedOn w:val="Normal"/>
    <w:pPr>
      <w:spacing w:after="170" w:line="360" w:lineRule="auto"/>
      <w:ind w:left="1200"/>
      <w:jc w:val="right"/>
    </w:pPr>
    <w:rPr>
      <w:rFonts w:ascii="Calibri" w:eastAsia="Calibri" w:hAnsi="Calibri" w:cs="Calibri"/>
      <w:sz w:val="22"/>
    </w:rPr>
  </w:style>
  <w:style w:type="paragraph" w:customStyle="1" w:styleId="Glossary">
    <w:name w:val="Glossary"/>
    <w:basedOn w:val="Normal"/>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Normal"/>
    <w:pPr>
      <w:spacing w:line="360" w:lineRule="auto"/>
      <w:ind w:left="1920" w:hanging="400"/>
    </w:pPr>
    <w:rPr>
      <w:rFonts w:ascii="Calibri" w:eastAsia="Calibri" w:hAnsi="Calibri" w:cs="Calibri"/>
      <w:sz w:val="22"/>
    </w:rPr>
  </w:style>
  <w:style w:type="character" w:customStyle="1" w:styleId="Country">
    <w:name w:val="Country"/>
    <w:basedOn w:val="DefaultParagraphFont"/>
    <w:rPr>
      <w:shd w:val="clear" w:color="auto" w:fill="97C5D1"/>
    </w:rPr>
  </w:style>
  <w:style w:type="paragraph" w:customStyle="1" w:styleId="Acknowledgements">
    <w:name w:val="Acknowledgements"/>
    <w:basedOn w:val="Normal"/>
    <w:pPr>
      <w:shd w:val="clear" w:color="auto" w:fill="F9EDFF"/>
      <w:spacing w:after="160" w:line="396" w:lineRule="auto"/>
      <w:jc w:val="both"/>
    </w:pPr>
    <w:rPr>
      <w:rFonts w:ascii="Calibri" w:eastAsia="Calibri" w:hAnsi="Calibri" w:cs="Calibri"/>
      <w:sz w:val="20"/>
      <w:shd w:val="clear" w:color="auto" w:fill="F9EDFF"/>
    </w:rPr>
  </w:style>
  <w:style w:type="character" w:customStyle="1" w:styleId="PageNumbers">
    <w:name w:val="Page Numbers"/>
    <w:basedOn w:val="DefaultParagraphFont"/>
    <w:rPr>
      <w:shd w:val="clear" w:color="auto" w:fill="FFEDF0"/>
    </w:rPr>
  </w:style>
  <w:style w:type="paragraph" w:styleId="NormalIndent">
    <w:name w:val="Normal Indent"/>
    <w:basedOn w:val="Normal"/>
    <w:qFormat/>
    <w:pPr>
      <w:ind w:firstLine="480"/>
    </w:pPr>
    <w:rPr>
      <w:rFonts w:asciiTheme="minorHAnsi" w:eastAsiaTheme="minorEastAsia" w:hAnsiTheme="minorHAnsi" w:cstheme="minorBidi"/>
      <w:sz w:val="22"/>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sz w:val="20"/>
      <w:shd w:val="clear" w:color="auto" w:fill="F4FFED"/>
    </w:rPr>
  </w:style>
  <w:style w:type="character" w:customStyle="1" w:styleId="VolumeNumber">
    <w:name w:val="Volume Number"/>
    <w:basedOn w:val="DefaultParagraphFont"/>
    <w:rPr>
      <w:shd w:val="clear" w:color="auto" w:fill="EDF0FF"/>
    </w:rPr>
  </w:style>
  <w:style w:type="character" w:customStyle="1" w:styleId="GeneSequence">
    <w:name w:val="Gene Sequence"/>
    <w:basedOn w:val="DefaultParagraphFont"/>
    <w:rPr>
      <w:shd w:val="clear" w:color="auto" w:fill="FFCDF2"/>
    </w:rPr>
  </w:style>
  <w:style w:type="paragraph" w:styleId="BalloonText">
    <w:name w:val="Balloon Text"/>
    <w:basedOn w:val="Normal"/>
    <w:rPr>
      <w:rFonts w:ascii="Calibri" w:eastAsia="Calibri" w:hAnsi="Calibri" w:cs="Calibri"/>
      <w:color w:val="000000"/>
      <w:sz w:val="16"/>
    </w:rPr>
  </w:style>
  <w:style w:type="character" w:customStyle="1" w:styleId="IssueNumber">
    <w:name w:val="Issue Number"/>
    <w:basedOn w:val="DefaultParagraphFont"/>
    <w:rPr>
      <w:shd w:val="clear" w:color="auto" w:fill="CDD5FF"/>
    </w:rPr>
  </w:style>
  <w:style w:type="paragraph" w:styleId="List">
    <w:name w:val="List"/>
    <w:basedOn w:val="Normal"/>
    <w:pPr>
      <w:spacing w:line="360" w:lineRule="auto"/>
      <w:ind w:left="400" w:hanging="400"/>
      <w:jc w:val="both"/>
    </w:pPr>
    <w:rPr>
      <w:rFonts w:ascii="Calibri" w:eastAsia="Calibri" w:hAnsi="Calibri" w:cs="Calibri"/>
      <w:sz w:val="22"/>
    </w:rPr>
  </w:style>
  <w:style w:type="character" w:customStyle="1" w:styleId="Edition">
    <w:name w:val="Edition"/>
    <w:basedOn w:val="DefaultParagraphFont"/>
    <w:rPr>
      <w:shd w:val="clear" w:color="auto" w:fill="FFF6A4"/>
    </w:rPr>
  </w:style>
  <w:style w:type="paragraph" w:customStyle="1" w:styleId="Biography">
    <w:name w:val="Biography"/>
    <w:basedOn w:val="Normal"/>
    <w:pPr>
      <w:shd w:val="clear" w:color="auto" w:fill="EEFEF4"/>
      <w:spacing w:after="160" w:line="396" w:lineRule="auto"/>
    </w:pPr>
    <w:rPr>
      <w:rFonts w:ascii="Calibri" w:eastAsia="Calibri" w:hAnsi="Calibri" w:cs="Calibri"/>
      <w:sz w:val="20"/>
      <w:shd w:val="clear" w:color="auto" w:fill="EEFEF4"/>
    </w:rPr>
  </w:style>
  <w:style w:type="paragraph" w:styleId="List3">
    <w:name w:val="List 3"/>
    <w:basedOn w:val="Normal"/>
    <w:pPr>
      <w:spacing w:line="360" w:lineRule="auto"/>
      <w:ind w:left="1200" w:hanging="400"/>
      <w:jc w:val="both"/>
    </w:pPr>
    <w:rPr>
      <w:rFonts w:ascii="Calibri" w:eastAsia="Calibri" w:hAnsi="Calibri" w:cs="Calibri"/>
      <w:sz w:val="22"/>
    </w:rPr>
  </w:style>
  <w:style w:type="character" w:customStyle="1" w:styleId="Conference">
    <w:name w:val="Conference"/>
    <w:basedOn w:val="DefaultParagraphFont"/>
    <w:rPr>
      <w:shd w:val="clear" w:color="auto" w:fill="FFAFBC"/>
    </w:rPr>
  </w:style>
  <w:style w:type="paragraph" w:customStyle="1" w:styleId="Surtitle">
    <w:name w:val="Surtitle"/>
    <w:basedOn w:val="Normal"/>
    <w:qFormat/>
    <w:pPr>
      <w:spacing w:after="160" w:line="208" w:lineRule="auto"/>
    </w:pPr>
    <w:rPr>
      <w:rFonts w:ascii="Calibri" w:eastAsia="Calibri" w:hAnsi="Calibri" w:cs="Calibri"/>
      <w:sz w:val="38"/>
    </w:rPr>
  </w:style>
  <w:style w:type="paragraph" w:customStyle="1" w:styleId="TableHeadSpan">
    <w:name w:val="Table Head Span"/>
    <w:basedOn w:val="Normal"/>
    <w:pPr>
      <w:shd w:val="clear" w:color="auto" w:fill="FFEDFA"/>
    </w:pPr>
    <w:rPr>
      <w:rFonts w:ascii="Calibri" w:eastAsia="Calibri" w:hAnsi="Calibri" w:cs="Calibri"/>
      <w:shd w:val="clear" w:color="auto" w:fill="FFEDFA"/>
    </w:rPr>
  </w:style>
  <w:style w:type="character" w:customStyle="1" w:styleId="Miscellaneous">
    <w:name w:val="Miscellaneous"/>
    <w:basedOn w:val="DefaultParagraphFont"/>
    <w:rPr>
      <w:shd w:val="clear" w:color="auto" w:fill="F0F0F0"/>
    </w:rPr>
  </w:style>
  <w:style w:type="paragraph" w:customStyle="1" w:styleId="List6">
    <w:name w:val="List 6"/>
    <w:basedOn w:val="Normal"/>
    <w:pPr>
      <w:spacing w:line="360" w:lineRule="auto"/>
      <w:ind w:left="1860" w:hanging="400"/>
    </w:pPr>
    <w:rPr>
      <w:rFonts w:ascii="Calibri" w:eastAsia="Calibri" w:hAnsi="Calibri" w:cs="Calibri"/>
      <w:sz w:val="22"/>
    </w:rPr>
  </w:style>
  <w:style w:type="character" w:customStyle="1" w:styleId="Heading">
    <w:name w:val="Heading:"/>
    <w:basedOn w:val="DefaultParagraphFont"/>
    <w:rPr>
      <w:color w:val="5B89C1"/>
    </w:rPr>
  </w:style>
  <w:style w:type="character" w:customStyle="1" w:styleId="Source">
    <w:name w:val="Source"/>
    <w:basedOn w:val="DefaultParagraphFont"/>
    <w:rPr>
      <w:shd w:val="clear" w:color="auto" w:fill="C1EDFF"/>
    </w:rPr>
  </w:style>
  <w:style w:type="paragraph" w:styleId="Subtitle">
    <w:name w:val="Subtitle"/>
    <w:basedOn w:val="Normal"/>
    <w:qFormat/>
    <w:pPr>
      <w:spacing w:after="160" w:line="208" w:lineRule="auto"/>
    </w:pPr>
    <w:rPr>
      <w:rFonts w:ascii="Calibri" w:eastAsia="Calibri" w:hAnsi="Calibri" w:cs="Calibri"/>
      <w:sz w:val="38"/>
    </w:rPr>
  </w:style>
  <w:style w:type="character" w:customStyle="1" w:styleId="NameScientific">
    <w:name w:val="Name Scientific"/>
    <w:basedOn w:val="DefaultParagraphFont"/>
    <w:rPr>
      <w:shd w:val="clear" w:color="auto" w:fill="91E0FF"/>
    </w:rPr>
  </w:style>
  <w:style w:type="paragraph" w:customStyle="1" w:styleId="Statement">
    <w:name w:val="Statement"/>
    <w:basedOn w:val="Normal"/>
    <w:pPr>
      <w:ind w:left="900"/>
    </w:pPr>
    <w:rPr>
      <w:rFonts w:ascii="Calibri" w:eastAsia="Calibri" w:hAnsi="Calibri" w:cs="Calibri"/>
      <w:sz w:val="22"/>
    </w:rPr>
  </w:style>
  <w:style w:type="paragraph" w:customStyle="1" w:styleId="TableHead">
    <w:name w:val="Table Head"/>
    <w:basedOn w:val="Normal"/>
    <w:pPr>
      <w:shd w:val="clear" w:color="auto" w:fill="FFEDFA"/>
    </w:pPr>
    <w:rPr>
      <w:rFonts w:ascii="Calibri" w:eastAsia="Calibri" w:hAnsi="Calibri" w:cs="Calibri"/>
      <w:sz w:val="20"/>
      <w:shd w:val="clear" w:color="auto" w:fill="FFEDFA"/>
    </w:rPr>
  </w:style>
  <w:style w:type="paragraph" w:customStyle="1" w:styleId="Quotation">
    <w:name w:val="Quotation"/>
    <w:basedOn w:val="Normal"/>
    <w:pPr>
      <w:spacing w:after="160" w:line="360" w:lineRule="auto"/>
      <w:ind w:left="1200" w:right="1200"/>
      <w:jc w:val="both"/>
    </w:pPr>
    <w:rPr>
      <w:rFonts w:ascii="Calibri" w:eastAsia="Calibri" w:hAnsi="Calibri" w:cs="Calibri"/>
      <w:sz w:val="22"/>
    </w:rPr>
  </w:style>
  <w:style w:type="paragraph" w:customStyle="1" w:styleId="TableNote">
    <w:name w:val="Table Note"/>
    <w:basedOn w:val="Normal"/>
    <w:rPr>
      <w:rFonts w:ascii="Calibri" w:eastAsia="Calibri" w:hAnsi="Calibri" w:cs="Calibri"/>
      <w:sz w:val="18"/>
    </w:rPr>
  </w:style>
  <w:style w:type="character" w:customStyle="1" w:styleId="Year">
    <w:name w:val="Year"/>
    <w:basedOn w:val="DefaultParagraphFont"/>
    <w:rPr>
      <w:shd w:val="clear" w:color="auto" w:fill="FFF9C9"/>
    </w:rPr>
  </w:style>
  <w:style w:type="paragraph" w:customStyle="1" w:styleId="TableBody">
    <w:name w:val="Table Body"/>
    <w:basedOn w:val="Normal"/>
    <w:pPr>
      <w:spacing w:after="160" w:line="396" w:lineRule="auto"/>
    </w:pPr>
    <w:rPr>
      <w:rFonts w:ascii="Calibri" w:eastAsia="Calibri" w:hAnsi="Calibri" w:cs="Calibri"/>
      <w:sz w:val="20"/>
    </w:rPr>
  </w:style>
  <w:style w:type="character" w:customStyle="1" w:styleId="Location">
    <w:name w:val="Location"/>
    <w:basedOn w:val="DefaultParagraphFont"/>
    <w:rPr>
      <w:shd w:val="clear" w:color="auto" w:fill="F9EDFF"/>
    </w:rPr>
  </w:style>
  <w:style w:type="paragraph" w:customStyle="1" w:styleId="ChapterNumber">
    <w:name w:val="Chapter Number"/>
    <w:basedOn w:val="Normal"/>
    <w:rPr>
      <w:rFonts w:ascii="Calibri" w:eastAsia="Calibri" w:hAnsi="Calibri" w:cs="Calibri"/>
    </w:rPr>
  </w:style>
  <w:style w:type="paragraph" w:styleId="List5">
    <w:name w:val="List 5"/>
    <w:basedOn w:val="Normal"/>
    <w:pPr>
      <w:spacing w:line="360" w:lineRule="auto"/>
      <w:ind w:left="1800" w:hanging="400"/>
    </w:pPr>
    <w:rPr>
      <w:rFonts w:ascii="Calibri" w:eastAsia="Calibri" w:hAnsi="Calibri" w:cs="Calibri"/>
      <w:sz w:val="22"/>
    </w:rPr>
  </w:style>
  <w:style w:type="character" w:customStyle="1" w:styleId="Publisher">
    <w:name w:val="Publisher"/>
    <w:basedOn w:val="DefaultParagraphFont"/>
    <w:rPr>
      <w:shd w:val="clear" w:color="auto" w:fill="F2DDFF"/>
    </w:rPr>
  </w:style>
  <w:style w:type="paragraph" w:styleId="Caption">
    <w:name w:val="caption"/>
    <w:basedOn w:val="Normal"/>
    <w:pPr>
      <w:shd w:val="clear" w:color="auto" w:fill="FFF5ED"/>
      <w:spacing w:before="240" w:line="349" w:lineRule="auto"/>
      <w:jc w:val="both"/>
    </w:pPr>
    <w:rPr>
      <w:rFonts w:ascii="Calibri" w:eastAsia="Calibri" w:hAnsi="Calibri" w:cs="Calibri"/>
      <w:sz w:val="22"/>
      <w:shd w:val="clear" w:color="auto" w:fill="FFF5ED"/>
    </w:rPr>
  </w:style>
  <w:style w:type="paragraph" w:customStyle="1" w:styleId="List1">
    <w:name w:val="List 1"/>
    <w:basedOn w:val="Normal"/>
    <w:pPr>
      <w:ind w:left="1200" w:hanging="600"/>
      <w:jc w:val="both"/>
    </w:pPr>
    <w:rPr>
      <w:sz w:val="22"/>
    </w:rPr>
  </w:style>
  <w:style w:type="paragraph" w:customStyle="1" w:styleId="List9">
    <w:name w:val="List 9"/>
    <w:basedOn w:val="Normal"/>
    <w:pPr>
      <w:ind w:left="1200" w:hanging="600"/>
      <w:jc w:val="both"/>
    </w:pPr>
    <w:rPr>
      <w:sz w:val="22"/>
    </w:rPr>
  </w:style>
  <w:style w:type="character" w:customStyle="1" w:styleId="CommentTextChar">
    <w:name w:val="Comment Text Char"/>
    <w:basedOn w:val="DefaultParagraphFont"/>
    <w:link w:val="CommentText"/>
    <w:uiPriority w:val="99"/>
    <w:rsid w:val="002E6720"/>
    <w:rPr>
      <w:rFonts w:ascii="Calibri" w:eastAsia="Calibri" w:hAnsi="Calibri" w:cs="Calibri"/>
      <w:sz w:val="20"/>
      <w:lang w:val=""/>
    </w:rPr>
  </w:style>
  <w:style w:type="character" w:styleId="FollowedHyperlink">
    <w:name w:val="FollowedHyperlink"/>
    <w:basedOn w:val="DefaultParagraphFont"/>
    <w:uiPriority w:val="99"/>
    <w:rsid w:val="00D566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healthpol.2008.12.006" TargetMode="External"/><Relationship Id="rId13" Type="http://schemas.openxmlformats.org/officeDocument/2006/relationships/hyperlink" Target="https://doi.org/10.1007/s11657-018-0448-2"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emf"/><Relationship Id="rId7" Type="http://schemas.openxmlformats.org/officeDocument/2006/relationships/hyperlink" Target="https://doi.org/10.1007/s11999-008-0377-2" TargetMode="External"/><Relationship Id="rId12" Type="http://schemas.openxmlformats.org/officeDocument/2006/relationships/hyperlink" Target="https://doi.org/10.1016/j.healthpol.2008.12.006" TargetMode="External"/><Relationship Id="rId17" Type="http://schemas.openxmlformats.org/officeDocument/2006/relationships/image" Target="media/image2.emf"/><Relationship Id="rId25"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styles" Target="styles.xml"/><Relationship Id="rId6" Type="http://schemas.openxmlformats.org/officeDocument/2006/relationships/hyperlink" Target="https://doi.org/10.1016/j.healthpol.2003.12.018" TargetMode="Externa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endnotes" Target="endnotes.xml"/><Relationship Id="rId15" Type="http://schemas.openxmlformats.org/officeDocument/2006/relationships/hyperlink" Target="https://doi.org/10.3143/geriatrics.39.483" TargetMode="External"/><Relationship Id="rId23" Type="http://schemas.openxmlformats.org/officeDocument/2006/relationships/image" Target="media/image8.emf"/><Relationship Id="rId10" Type="http://schemas.openxmlformats.org/officeDocument/2006/relationships/hyperlink" Target="https://doi.org/10.1007/s11657-018-0456-2" TargetMode="External"/><Relationship Id="rId19"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hyperlink" Target="https://doi.org/10.1007/s11657-018-0448-2" TargetMode="External"/><Relationship Id="rId14" Type="http://schemas.openxmlformats.org/officeDocument/2006/relationships/hyperlink" Target="https://doi.org/10.1007/s11657-018-0456-2" TargetMode="External"/><Relationship Id="rId22" Type="http://schemas.openxmlformats.org/officeDocument/2006/relationships/image" Target="media/image7.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1971</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Takahiro Mori</cp:lastModifiedBy>
  <cp:revision>4</cp:revision>
  <dcterms:created xsi:type="dcterms:W3CDTF">2022-03-28T03:24:00Z</dcterms:created>
  <dcterms:modified xsi:type="dcterms:W3CDTF">2022-03-28T03:54:00Z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numerical</vt:lpwstr>
  </property>
  <property fmtid="{D5CDD505-2E9C-101B-9397-08002B2CF9AE}" pid="14" name="Subject">
    <vt:lpwstr/>
  </property>
  <property fmtid="{D5CDD505-2E9C-101B-9397-08002B2CF9AE}" pid="15" name="Merops word count">
    <vt:lpwstr>1693</vt:lpwstr>
  </property>
  <property fmtid="{D5CDD505-2E9C-101B-9397-08002B2CF9AE}" pid="16" name="Merops references count">
    <vt:lpwstr>9</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6</vt:lpwstr>
  </property>
  <property fmtid="{D5CDD505-2E9C-101B-9397-08002B2CF9AE}" pid="20" name="Merops figures count">
    <vt:lpwstr>5</vt:lpwstr>
  </property>
  <property fmtid="{D5CDD505-2E9C-101B-9397-08002B2CF9AE}" pid="21" name="Merops graphics count">
    <vt:lpwstr>10</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vt:lpwstr>
  </property>
  <property fmtid="{D5CDD505-2E9C-101B-9397-08002B2CF9AE}" pid="26" name="Merops Standard Set modified">
    <vt:lpwstr>*</vt:lpwstr>
  </property>
  <property fmtid="{D5CDD505-2E9C-101B-9397-08002B2CF9AE}" pid="27" name="Merops client version">
    <vt:lpwstr>*</vt:lpwstr>
  </property>
  <property fmtid="{D5CDD505-2E9C-101B-9397-08002B2CF9AE}" pid="28" name="Merops input file path">
    <vt:lpwstr>*</vt:lpwstr>
  </property>
  <property fmtid="{D5CDD505-2E9C-101B-9397-08002B2CF9AE}" pid="29" name="Merops -Original extension">
    <vt:lpwstr>docx</vt:lpwstr>
  </property>
  <property fmtid="{D5CDD505-2E9C-101B-9397-08002B2CF9AE}" pid="30" name="Merops server path">
    <vt:lpwstr>*</vt:lpwstr>
  </property>
  <property fmtid="{D5CDD505-2E9C-101B-9397-08002B2CF9AE}" pid="31" name="Merops processed date">
    <vt:lpwstr>2022/02/21 12:48:03 AM</vt:lpwstr>
  </property>
  <property fmtid="{D5CDD505-2E9C-101B-9397-08002B2CF9AE}" pid="32" name="Merops WorldCat links count">
    <vt:lpwstr>0</vt:lpwstr>
  </property>
  <property fmtid="{D5CDD505-2E9C-101B-9397-08002B2CF9AE}" pid="33" name="Merops Scopus links count">
    <vt:lpwstr>0</vt:lpwstr>
  </property>
  <property fmtid="{D5CDD505-2E9C-101B-9397-08002B2CF9AE}" pid="34" name="Merops comment count">
    <vt:lpwstr>0</vt:lpwstr>
  </property>
  <property fmtid="{D5CDD505-2E9C-101B-9397-08002B2CF9AE}" pid="35" name="Merops change count">
    <vt:lpwstr>240</vt:lpwstr>
  </property>
</Properties>
</file>