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rPr>
          <w:rFonts w:cstheme="minorHAnsi"/>
          <w:lang w:val="en-US"/>
        </w:rPr>
      </w:pPr>
      <w:bookmarkStart w:id="1" w:name="_GoBack"/>
      <w:bookmarkEnd w:id="1"/>
      <w:bookmarkStart w:id="0" w:name="_Ref19806291"/>
      <w:r>
        <w:rPr>
          <w:rFonts w:hint="default" w:eastAsia="Times New Roman" w:cs="Times New Roman" w:asciiTheme="majorHAnsi" w:hAnsiTheme="majorHAnsi"/>
          <w:b/>
          <w:bCs w:val="0"/>
          <w:color w:val="auto"/>
          <w:sz w:val="20"/>
          <w:szCs w:val="18"/>
          <w:lang w:val="en-US" w:eastAsia="it-IT"/>
        </w:rPr>
        <w:t>Online Resource 1</w:t>
      </w:r>
      <w:r>
        <w:rPr>
          <w:rFonts w:eastAsia="Times New Roman" w:cs="Times New Roman" w:asciiTheme="majorHAnsi" w:hAnsiTheme="majorHAnsi"/>
          <w:bCs/>
          <w:color w:val="auto"/>
          <w:sz w:val="20"/>
          <w:szCs w:val="18"/>
          <w:lang w:val="en-US" w:eastAsia="it-IT"/>
        </w:rPr>
        <w:t>. C</w:t>
      </w:r>
      <w:r>
        <w:rPr>
          <w:rFonts w:eastAsia="Times New Roman" w:cs="Times New Roman" w:asciiTheme="majorHAnsi" w:hAnsiTheme="majorHAnsi"/>
          <w:bCs/>
          <w:sz w:val="20"/>
          <w:szCs w:val="18"/>
          <w:lang w:val="en-US" w:eastAsia="it-IT"/>
        </w:rPr>
        <w:t xml:space="preserve">omparison between baseline characteristics of the included patients and those lost to follow-up, according to the </w:t>
      </w:r>
      <w:r>
        <w:rPr>
          <w:rFonts w:hint="default" w:eastAsia="Times New Roman" w:cs="Times New Roman" w:asciiTheme="majorHAnsi" w:hAnsiTheme="majorHAnsi"/>
          <w:bCs/>
          <w:sz w:val="20"/>
          <w:szCs w:val="18"/>
          <w:lang w:val="en-US" w:eastAsia="it-IT"/>
        </w:rPr>
        <w:t xml:space="preserve">Fracture Liaison Service Care Pathway (FLS-CP) or Usual Care Pathway (U-CP) </w:t>
      </w:r>
    </w:p>
    <w:tbl>
      <w:tblPr>
        <w:tblStyle w:val="3"/>
        <w:tblW w:w="14231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159"/>
        <w:gridCol w:w="1814"/>
        <w:gridCol w:w="1814"/>
        <w:gridCol w:w="851"/>
        <w:gridCol w:w="1814"/>
        <w:gridCol w:w="1815"/>
        <w:gridCol w:w="964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1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79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FLS-CP</w:t>
            </w:r>
          </w:p>
        </w:tc>
        <w:tc>
          <w:tcPr>
            <w:tcW w:w="459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U-CP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1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GB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lang w:val="en-GB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Included (</w:t>
            </w:r>
            <w:r>
              <w:rPr>
                <w:rFonts w:eastAsia="Times New Roman" w:cstheme="minorHAnsi"/>
                <w:i/>
                <w:iCs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n</w:t>
            </w: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 = 212)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Lost to FU (n=56)</w:t>
            </w:r>
          </w:p>
        </w:tc>
        <w:tc>
          <w:tcPr>
            <w:tcW w:w="8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p-value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lang w:val="en-GB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Included (</w:t>
            </w:r>
            <w:r>
              <w:rPr>
                <w:rFonts w:eastAsia="Times New Roman" w:cstheme="minorHAnsi"/>
                <w:i/>
                <w:iCs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n</w:t>
            </w: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 = 248)</w:t>
            </w:r>
          </w:p>
        </w:tc>
        <w:tc>
          <w:tcPr>
            <w:tcW w:w="18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Lost to FU (n=24)</w:t>
            </w:r>
          </w:p>
        </w:tc>
        <w:tc>
          <w:tcPr>
            <w:tcW w:w="9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lang w:val="en-GB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p-value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1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GB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Women, n (%)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lang w:val="en-GB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170 (80.2%)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40 (75%)</w:t>
            </w:r>
          </w:p>
        </w:tc>
        <w:tc>
          <w:tcPr>
            <w:tcW w:w="8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0.4597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lang w:val="en-GB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183 (73.8%)</w:t>
            </w:r>
          </w:p>
        </w:tc>
        <w:tc>
          <w:tcPr>
            <w:tcW w:w="18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16 (66.7%)</w:t>
            </w:r>
          </w:p>
        </w:tc>
        <w:tc>
          <w:tcPr>
            <w:tcW w:w="9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lang w:val="en-GB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0.4727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1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GB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Age (mean ± SD)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lang w:val="en-GB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83.8 ± 7.4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82.0 ± 8.2</w:t>
            </w:r>
          </w:p>
        </w:tc>
        <w:tc>
          <w:tcPr>
            <w:tcW w:w="8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0.1671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lang w:val="en-GB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83.7 ± 7.6</w:t>
            </w:r>
          </w:p>
        </w:tc>
        <w:tc>
          <w:tcPr>
            <w:tcW w:w="18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87.6 ± 8.0</w:t>
            </w:r>
          </w:p>
        </w:tc>
        <w:tc>
          <w:tcPr>
            <w:tcW w:w="9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lang w:val="en-GB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0.0072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1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GB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Pre-fracture BADL, median score (IQR)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lang w:val="en-GB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5 (3; 6)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5 (3; 6)</w:t>
            </w:r>
          </w:p>
        </w:tc>
        <w:tc>
          <w:tcPr>
            <w:tcW w:w="8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0.7237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lang w:val="en-GB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5 (3; 6)</w:t>
            </w:r>
          </w:p>
        </w:tc>
        <w:tc>
          <w:tcPr>
            <w:tcW w:w="18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NA</w:t>
            </w:r>
          </w:p>
        </w:tc>
        <w:tc>
          <w:tcPr>
            <w:tcW w:w="9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lang w:val="en-GB" w:eastAsia="en-GB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1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Pre-fracture BADL independence, n (%)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129 (60.8%)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29 (51.8%)</w:t>
            </w:r>
          </w:p>
        </w:tc>
        <w:tc>
          <w:tcPr>
            <w:tcW w:w="8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0.2261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121 (59.3%)</w:t>
            </w:r>
          </w:p>
        </w:tc>
        <w:tc>
          <w:tcPr>
            <w:tcW w:w="18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NA</w:t>
            </w:r>
          </w:p>
        </w:tc>
        <w:tc>
          <w:tcPr>
            <w:tcW w:w="9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1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GB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Pre-fracture IADL, median score (IQR)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lang w:val="en-GB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3 (0; 7)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4 (0;7)</w:t>
            </w:r>
          </w:p>
        </w:tc>
        <w:tc>
          <w:tcPr>
            <w:tcW w:w="8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0.9882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lang w:val="en-GB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4 (2; 7)</w:t>
            </w:r>
          </w:p>
        </w:tc>
        <w:tc>
          <w:tcPr>
            <w:tcW w:w="18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NA</w:t>
            </w:r>
          </w:p>
        </w:tc>
        <w:tc>
          <w:tcPr>
            <w:tcW w:w="9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lang w:val="en-GB" w:eastAsia="en-GB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1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 xml:space="preserve">     - Women 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3 (0; 7)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4 (0; 7)</w:t>
            </w:r>
          </w:p>
        </w:tc>
        <w:tc>
          <w:tcPr>
            <w:tcW w:w="8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0.628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5 (2; 7)</w:t>
            </w:r>
          </w:p>
        </w:tc>
        <w:tc>
          <w:tcPr>
            <w:tcW w:w="18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NA</w:t>
            </w:r>
          </w:p>
        </w:tc>
        <w:tc>
          <w:tcPr>
            <w:tcW w:w="9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1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 xml:space="preserve">     - Men 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1.5 (0; 4)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3.5 (1; 5.75)</w:t>
            </w:r>
          </w:p>
        </w:tc>
        <w:tc>
          <w:tcPr>
            <w:tcW w:w="8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0.2897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4 (2; 8)</w:t>
            </w:r>
          </w:p>
        </w:tc>
        <w:tc>
          <w:tcPr>
            <w:tcW w:w="18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NA</w:t>
            </w:r>
          </w:p>
        </w:tc>
        <w:tc>
          <w:tcPr>
            <w:tcW w:w="9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1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rPr>
                <w:rFonts w:eastAsia="Times New Roman"/>
                <w:color w:val="00B050"/>
                <w:kern w:val="24"/>
                <w:sz w:val="24"/>
                <w:szCs w:val="24"/>
                <w:lang w:val="en-US" w:eastAsia="en-GB"/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Pre-fracture IADL independence, n (%)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82 (38.7%)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21 (37.5%)</w:t>
            </w:r>
          </w:p>
        </w:tc>
        <w:tc>
          <w:tcPr>
            <w:tcW w:w="8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&gt;0.999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95 (46.8%)</w:t>
            </w:r>
          </w:p>
        </w:tc>
        <w:tc>
          <w:tcPr>
            <w:tcW w:w="18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NA</w:t>
            </w:r>
          </w:p>
        </w:tc>
        <w:tc>
          <w:tcPr>
            <w:tcW w:w="9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1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rPr>
                <w:rFonts w:eastAsia="Times New Roman" w:cstheme="minorHAnsi"/>
                <w:lang w:val="en-GB" w:eastAsia="en-GB"/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Hip fracture type, n (%)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lang w:val="en-GB" w:eastAsia="en-GB"/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&gt;0.999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lang w:val="en-GB" w:eastAsia="en-GB"/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18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lang w:val="en-GB" w:eastAsia="en-GB"/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0.8276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1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rPr>
                <w:rFonts w:eastAsia="Times New Roman" w:cstheme="minorHAnsi"/>
                <w:lang w:val="en-GB" w:eastAsia="en-GB"/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GB" w:eastAsia="en-GB"/>
                <w14:textFill>
                  <w14:solidFill>
                    <w14:schemeClr w14:val="tx1"/>
                  </w14:solidFill>
                </w14:textFill>
              </w:rPr>
              <w:t xml:space="preserve">     - Lateral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lang w:val="en-GB" w:eastAsia="en-GB"/>
              </w:rPr>
            </w:pPr>
            <w:r>
              <w:rPr>
                <w:rFonts w:eastAsia="Calibri"/>
                <w:color w:val="000000" w:themeColor="text1"/>
                <w:kern w:val="24"/>
                <w:sz w:val="24"/>
                <w:szCs w:val="24"/>
                <w:lang w:eastAsia="en-GB"/>
                <w14:textFill>
                  <w14:solidFill>
                    <w14:schemeClr w14:val="tx1"/>
                  </w14:solidFill>
                </w14:textFill>
              </w:rPr>
              <w:t>109 (56.8%)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Calibri" w:cstheme="minorHAnsi"/>
                <w:color w:val="000000" w:themeColor="text1"/>
                <w:kern w:val="24"/>
                <w:lang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Calibri" w:cstheme="minorHAnsi"/>
                <w:color w:val="000000" w:themeColor="text1"/>
                <w:kern w:val="24"/>
                <w:lang w:eastAsia="en-GB"/>
                <w14:textFill>
                  <w14:solidFill>
                    <w14:schemeClr w14:val="tx1"/>
                  </w14:solidFill>
                </w14:textFill>
              </w:rPr>
              <w:t>29 (55.8%)</w:t>
            </w:r>
          </w:p>
        </w:tc>
        <w:tc>
          <w:tcPr>
            <w:tcW w:w="8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Calibri" w:cstheme="minorHAnsi"/>
                <w:color w:val="000000" w:themeColor="text1"/>
                <w:kern w:val="24"/>
                <w:lang w:eastAsia="en-GB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lang w:val="en-GB" w:eastAsia="en-GB"/>
              </w:rPr>
            </w:pPr>
            <w:r>
              <w:rPr>
                <w:rFonts w:eastAsia="Calibri"/>
                <w:color w:val="000000" w:themeColor="text1"/>
                <w:kern w:val="24"/>
                <w:sz w:val="24"/>
                <w:szCs w:val="24"/>
                <w:lang w:eastAsia="en-GB"/>
                <w14:textFill>
                  <w14:solidFill>
                    <w14:schemeClr w14:val="tx1"/>
                  </w14:solidFill>
                </w14:textFill>
              </w:rPr>
              <w:t>125 (52.3%)</w:t>
            </w:r>
          </w:p>
        </w:tc>
        <w:tc>
          <w:tcPr>
            <w:tcW w:w="18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rPr>
                <w:rFonts w:eastAsia="Times New Roman" w:cstheme="minorHAnsi"/>
                <w:lang w:val="en-GB" w:eastAsia="en-GB"/>
              </w:rPr>
            </w:pPr>
            <w:r>
              <w:rPr>
                <w:rFonts w:eastAsia="Times New Roman" w:cstheme="minorHAnsi"/>
                <w:lang w:val="en-GB" w:eastAsia="en-GB"/>
              </w:rPr>
              <w:t>11 (47.8%)</w:t>
            </w:r>
          </w:p>
        </w:tc>
        <w:tc>
          <w:tcPr>
            <w:tcW w:w="9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rPr>
                <w:rFonts w:eastAsia="Times New Roman" w:cstheme="minorHAnsi"/>
                <w:lang w:val="en-GB" w:eastAsia="en-GB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1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rPr>
                <w:rFonts w:eastAsia="Times New Roman" w:cstheme="minorHAnsi"/>
                <w:lang w:val="en-GB" w:eastAsia="en-GB"/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GB" w:eastAsia="en-GB"/>
                <w14:textFill>
                  <w14:solidFill>
                    <w14:schemeClr w14:val="tx1"/>
                  </w14:solidFill>
                </w14:textFill>
              </w:rPr>
              <w:t xml:space="preserve">     - Medial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lang w:val="en-GB" w:eastAsia="en-GB"/>
              </w:rPr>
            </w:pPr>
            <w:r>
              <w:rPr>
                <w:rFonts w:eastAsia="Calibri"/>
                <w:color w:val="000000" w:themeColor="text1"/>
                <w:kern w:val="24"/>
                <w:sz w:val="24"/>
                <w:szCs w:val="24"/>
                <w:lang w:eastAsia="en-GB"/>
                <w14:textFill>
                  <w14:solidFill>
                    <w14:schemeClr w14:val="tx1"/>
                  </w14:solidFill>
                </w14:textFill>
              </w:rPr>
              <w:t>83 (43.2%)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Calibri" w:cstheme="minorHAnsi"/>
                <w:color w:val="000000" w:themeColor="text1"/>
                <w:kern w:val="24"/>
                <w:lang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Calibri" w:cstheme="minorHAnsi"/>
                <w:color w:val="000000" w:themeColor="text1"/>
                <w:kern w:val="24"/>
                <w:lang w:eastAsia="en-GB"/>
                <w14:textFill>
                  <w14:solidFill>
                    <w14:schemeClr w14:val="tx1"/>
                  </w14:solidFill>
                </w14:textFill>
              </w:rPr>
              <w:t>23 (44.2%)</w:t>
            </w:r>
          </w:p>
        </w:tc>
        <w:tc>
          <w:tcPr>
            <w:tcW w:w="8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Calibri" w:cstheme="minorHAnsi"/>
                <w:color w:val="000000" w:themeColor="text1"/>
                <w:kern w:val="24"/>
                <w:lang w:eastAsia="en-GB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lang w:val="en-GB" w:eastAsia="en-GB"/>
              </w:rPr>
            </w:pPr>
            <w:r>
              <w:rPr>
                <w:rFonts w:eastAsia="Calibri"/>
                <w:color w:val="000000" w:themeColor="text1"/>
                <w:kern w:val="24"/>
                <w:sz w:val="24"/>
                <w:szCs w:val="24"/>
                <w:lang w:eastAsia="en-GB"/>
                <w14:textFill>
                  <w14:solidFill>
                    <w14:schemeClr w14:val="tx1"/>
                  </w14:solidFill>
                </w14:textFill>
              </w:rPr>
              <w:t>114  (47.7%)</w:t>
            </w:r>
          </w:p>
        </w:tc>
        <w:tc>
          <w:tcPr>
            <w:tcW w:w="18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rPr>
                <w:rFonts w:eastAsia="Times New Roman" w:cstheme="minorHAnsi"/>
                <w:lang w:val="en-GB" w:eastAsia="en-GB"/>
              </w:rPr>
            </w:pPr>
            <w:r>
              <w:rPr>
                <w:rFonts w:eastAsia="Times New Roman" w:cstheme="minorHAnsi"/>
                <w:lang w:val="en-GB" w:eastAsia="en-GB"/>
              </w:rPr>
              <w:t>12 (52.2%)</w:t>
            </w:r>
          </w:p>
        </w:tc>
        <w:tc>
          <w:tcPr>
            <w:tcW w:w="9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rPr>
                <w:rFonts w:eastAsia="Times New Roman" w:cstheme="minorHAnsi"/>
                <w:lang w:val="en-GB" w:eastAsia="en-GB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1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rPr>
                <w:rFonts w:eastAsia="Times New Roman" w:cstheme="minorHAnsi"/>
                <w:lang w:val="en-GB" w:eastAsia="en-GB"/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Surgery, n (%)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lang w:val="en-GB" w:eastAsia="en-GB"/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0.7527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lang w:val="en-GB" w:eastAsia="en-GB"/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18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lang w:val="en-GB" w:eastAsia="en-GB"/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0.5718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1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rPr>
                <w:rFonts w:eastAsia="Times New Roman" w:cstheme="minorHAnsi"/>
                <w:lang w:val="en-GB" w:eastAsia="en-GB"/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 xml:space="preserve">     - Prosthesis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lang w:val="en-GB" w:eastAsia="en-GB"/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82 (42.7%)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24 (46.2%)</w:t>
            </w:r>
          </w:p>
        </w:tc>
        <w:tc>
          <w:tcPr>
            <w:tcW w:w="8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lang w:val="en-GB" w:eastAsia="en-GB"/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93 (38.4%)</w:t>
            </w:r>
          </w:p>
        </w:tc>
        <w:tc>
          <w:tcPr>
            <w:tcW w:w="18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10 (43.5%)</w:t>
            </w:r>
          </w:p>
        </w:tc>
        <w:tc>
          <w:tcPr>
            <w:tcW w:w="9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lang w:val="en-GB" w:eastAsia="en-GB"/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1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GB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 xml:space="preserve">     - Osteosynthesis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lang w:val="en-GB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110 (57.3%)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28 (53.8%)</w:t>
            </w:r>
          </w:p>
        </w:tc>
        <w:tc>
          <w:tcPr>
            <w:tcW w:w="8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lang w:val="en-GB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142 (58.7%)</w:t>
            </w:r>
          </w:p>
        </w:tc>
        <w:tc>
          <w:tcPr>
            <w:tcW w:w="18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12 (52.2%)</w:t>
            </w:r>
          </w:p>
        </w:tc>
        <w:tc>
          <w:tcPr>
            <w:tcW w:w="9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lang w:val="en-GB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1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lang w:val="en-GB"/>
                <w14:textFill>
                  <w14:solidFill>
                    <w14:schemeClr w14:val="tx1"/>
                  </w14:solidFill>
                </w14:textFill>
              </w:rPr>
              <w:t xml:space="preserve">Time to surgery, day </w:t>
            </w:r>
            <w:r>
              <w:rPr>
                <w:rFonts w:eastAsia="Times New Roman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(mean ± SD)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4.1 ± 2.2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 xml:space="preserve">3.9 </w:t>
            </w:r>
            <w:r>
              <w:rPr>
                <w:rFonts w:eastAsia="Times New Roman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± 2.2</w:t>
            </w:r>
          </w:p>
        </w:tc>
        <w:tc>
          <w:tcPr>
            <w:tcW w:w="8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0.6808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3.9 ± 1.9</w:t>
            </w:r>
          </w:p>
        </w:tc>
        <w:tc>
          <w:tcPr>
            <w:tcW w:w="18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 xml:space="preserve">4.0 </w:t>
            </w:r>
            <w:r>
              <w:rPr>
                <w:rFonts w:eastAsia="Times New Roman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± 1.7</w:t>
            </w:r>
          </w:p>
        </w:tc>
        <w:tc>
          <w:tcPr>
            <w:tcW w:w="9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0.4597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1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jc w:val="both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lang w:val="en-GB"/>
                <w14:textFill>
                  <w14:solidFill>
                    <w14:schemeClr w14:val="tx1"/>
                  </w14:solidFill>
                </w14:textFill>
              </w:rPr>
              <w:t>Surgery within 48 hours, n (%)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lang w:val="en-GB"/>
                <w14:textFill>
                  <w14:solidFill>
                    <w14:schemeClr w14:val="tx1"/>
                  </w14:solidFill>
                </w14:textFill>
              </w:rPr>
              <w:t>44 (21.4%)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15 (27.8%)</w:t>
            </w:r>
          </w:p>
        </w:tc>
        <w:tc>
          <w:tcPr>
            <w:tcW w:w="8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0.3616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lang w:val="en-GB"/>
                <w14:textFill>
                  <w14:solidFill>
                    <w14:schemeClr w14:val="tx1"/>
                  </w14:solidFill>
                </w14:textFill>
              </w:rPr>
              <w:t>28 (12.0%)</w:t>
            </w:r>
          </w:p>
        </w:tc>
        <w:tc>
          <w:tcPr>
            <w:tcW w:w="18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2 (9.5%)</w:t>
            </w:r>
          </w:p>
        </w:tc>
        <w:tc>
          <w:tcPr>
            <w:tcW w:w="9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&gt;0.9999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1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rPr>
                <w:rFonts w:eastAsia="Times New Roman" w:cstheme="minorHAnsi"/>
                <w:color w:val="000000" w:themeColor="text1"/>
                <w:lang w:val="en-GB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lang w:val="en-GB"/>
                <w14:textFill>
                  <w14:solidFill>
                    <w14:schemeClr w14:val="tx1"/>
                  </w14:solidFill>
                </w14:textFill>
              </w:rPr>
              <w:t>Weigth-bearing, n (%)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lang w:val="en-GB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lang w:val="en-GB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&gt;0.999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lang w:val="en-GB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lang w:val="en-GB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  <w:tc>
          <w:tcPr>
            <w:tcW w:w="18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lang w:val="en-GB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0.6101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1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rPr>
                <w:rFonts w:eastAsia="Times New Roman" w:cstheme="minorHAnsi"/>
                <w:lang w:val="en-GB" w:eastAsia="en-GB"/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 xml:space="preserve">     - Early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lang w:val="en-GB" w:eastAsia="en-GB"/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176 (91.7%)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48 (92.3%)</w:t>
            </w:r>
          </w:p>
        </w:tc>
        <w:tc>
          <w:tcPr>
            <w:tcW w:w="8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lang w:val="en-GB" w:eastAsia="en-GB"/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152 (76.8%)</w:t>
            </w:r>
          </w:p>
        </w:tc>
        <w:tc>
          <w:tcPr>
            <w:tcW w:w="18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19 (82.6%)</w:t>
            </w:r>
          </w:p>
        </w:tc>
        <w:tc>
          <w:tcPr>
            <w:tcW w:w="9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lang w:val="en-GB" w:eastAsia="en-GB"/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51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rPr>
                <w:rFonts w:eastAsia="Times New Roman" w:cstheme="minorHAnsi"/>
                <w:lang w:val="en-GB" w:eastAsia="en-GB"/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 xml:space="preserve">     - Delayed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lang w:val="en-GB" w:eastAsia="en-GB"/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16 (8.3%)</w:t>
            </w: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4 (7.7%)</w:t>
            </w:r>
          </w:p>
        </w:tc>
        <w:tc>
          <w:tcPr>
            <w:tcW w:w="85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lang w:val="en-GB" w:eastAsia="en-GB"/>
              </w:rPr>
            </w:pPr>
            <w:r>
              <w:rPr>
                <w:rFonts w:eastAsia="Times New Roman"/>
                <w:color w:val="000000" w:themeColor="text1"/>
                <w:kern w:val="24"/>
                <w:sz w:val="24"/>
                <w:szCs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46 (23.2%)</w:t>
            </w:r>
          </w:p>
        </w:tc>
        <w:tc>
          <w:tcPr>
            <w:tcW w:w="18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4 (17.4%)</w:t>
            </w:r>
          </w:p>
        </w:tc>
        <w:tc>
          <w:tcPr>
            <w:tcW w:w="9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</w:tcPr>
          <w:p>
            <w:pPr>
              <w:spacing w:after="0" w:line="240" w:lineRule="auto"/>
              <w:jc w:val="center"/>
              <w:rPr>
                <w:rFonts w:eastAsia="Times New Roman" w:cstheme="minorHAnsi"/>
                <w:lang w:val="en-GB" w:eastAsia="en-GB"/>
              </w:rPr>
            </w:pPr>
            <w:r>
              <w:rPr>
                <w:rFonts w:eastAsia="Times New Roman" w:cstheme="minorHAnsi"/>
                <w:color w:val="000000" w:themeColor="text1"/>
                <w:kern w:val="24"/>
                <w:lang w:val="en-US" w:eastAsia="en-GB"/>
                <w14:textFill>
                  <w14:solidFill>
                    <w14:schemeClr w14:val="tx1"/>
                  </w14:solidFill>
                </w14:textFill>
              </w:rPr>
              <w:t> </w:t>
            </w:r>
          </w:p>
        </w:tc>
      </w:tr>
    </w:tbl>
    <w:p>
      <w:pPr>
        <w:spacing w:line="240" w:lineRule="auto"/>
        <w:rPr>
          <w:color w:val="000000" w:themeColor="text1"/>
          <w:lang w:val="en-US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lang w:val="en-US"/>
          <w14:textFill>
            <w14:solidFill>
              <w14:schemeClr w14:val="tx1"/>
            </w14:solidFill>
          </w14:textFill>
        </w:rPr>
        <w:t xml:space="preserve">SD standard deviation, BADL basic activities of daily living, IADL instrumental activities of daily living, </w:t>
      </w:r>
      <w:r>
        <w:rPr>
          <w:iCs/>
          <w:color w:val="000000" w:themeColor="text1"/>
          <w:lang w:val="en-US"/>
          <w14:textFill>
            <w14:solidFill>
              <w14:schemeClr w14:val="tx1"/>
            </w14:solidFill>
          </w14:textFill>
        </w:rPr>
        <w:t>IQR</w:t>
      </w:r>
      <w:r>
        <w:rPr>
          <w:color w:val="000000" w:themeColor="text1"/>
          <w:lang w:val="en-US"/>
          <w14:textFill>
            <w14:solidFill>
              <w14:schemeClr w14:val="tx1"/>
            </w14:solidFill>
          </w14:textFill>
        </w:rPr>
        <w:t xml:space="preserve"> interquartile range</w:t>
      </w:r>
    </w:p>
    <w:p>
      <w:pPr>
        <w:pStyle w:val="5"/>
        <w:keepNext/>
        <w:spacing w:before="240"/>
        <w:rPr>
          <w:rFonts w:asciiTheme="minorHAnsi" w:hAnsiTheme="minorHAnsi" w:cstheme="minorHAnsi"/>
          <w:sz w:val="22"/>
          <w:szCs w:val="22"/>
          <w:lang w:val="en-US"/>
        </w:rPr>
      </w:pPr>
    </w:p>
    <w:bookmarkEnd w:id="0"/>
    <w:p>
      <w:pPr>
        <w:pStyle w:val="5"/>
        <w:keepNext/>
        <w:spacing w:before="240"/>
        <w:rPr>
          <w:rFonts w:asciiTheme="minorHAnsi" w:hAnsiTheme="minorHAnsi" w:cstheme="minorHAnsi"/>
          <w:sz w:val="22"/>
          <w:szCs w:val="22"/>
          <w:lang w:val="en-US"/>
        </w:rPr>
      </w:pPr>
    </w:p>
    <w:sectPr>
      <w:headerReference r:id="rId5" w:type="default"/>
      <w:pgSz w:w="16838" w:h="11906" w:orient="landscape"/>
      <w:pgMar w:top="1134" w:right="1417" w:bottom="1134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</w:p>
  <w:p>
    <w:pPr>
      <w:pStyle w:val="1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hideSpellingErrors/>
  <w:hideGrammaticalErrors/>
  <w:trackRevisions w:val="1"/>
  <w:documentProtection w:enforcement="0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cztDQxMzIwNzUzszBX0lEKTi0uzszPAykwrAUAfMlZOiwAAAA="/>
  </w:docVars>
  <w:rsids>
    <w:rsidRoot w:val="00035F8E"/>
    <w:rsid w:val="00004645"/>
    <w:rsid w:val="00021F28"/>
    <w:rsid w:val="00035F8E"/>
    <w:rsid w:val="0007181B"/>
    <w:rsid w:val="001A5CDD"/>
    <w:rsid w:val="001B15AE"/>
    <w:rsid w:val="00246B6C"/>
    <w:rsid w:val="002751FF"/>
    <w:rsid w:val="0029083B"/>
    <w:rsid w:val="003E395B"/>
    <w:rsid w:val="00422136"/>
    <w:rsid w:val="00554968"/>
    <w:rsid w:val="00565A34"/>
    <w:rsid w:val="00585025"/>
    <w:rsid w:val="005F1FC1"/>
    <w:rsid w:val="006374B1"/>
    <w:rsid w:val="00650FD7"/>
    <w:rsid w:val="006B6790"/>
    <w:rsid w:val="006D035C"/>
    <w:rsid w:val="00723B42"/>
    <w:rsid w:val="00745C93"/>
    <w:rsid w:val="007B2D04"/>
    <w:rsid w:val="00835A64"/>
    <w:rsid w:val="00896494"/>
    <w:rsid w:val="008F716C"/>
    <w:rsid w:val="009460FC"/>
    <w:rsid w:val="009C023E"/>
    <w:rsid w:val="00AA40A3"/>
    <w:rsid w:val="00AB29BA"/>
    <w:rsid w:val="00B223D9"/>
    <w:rsid w:val="00B60405"/>
    <w:rsid w:val="00BC3BE5"/>
    <w:rsid w:val="00C15C83"/>
    <w:rsid w:val="00C46416"/>
    <w:rsid w:val="00CB071D"/>
    <w:rsid w:val="00D022D5"/>
    <w:rsid w:val="00D14DDE"/>
    <w:rsid w:val="00D545EB"/>
    <w:rsid w:val="00DF68E7"/>
    <w:rsid w:val="00E56AFF"/>
    <w:rsid w:val="00E6329A"/>
    <w:rsid w:val="00F85A16"/>
    <w:rsid w:val="00FC05E2"/>
    <w:rsid w:val="03F24335"/>
    <w:rsid w:val="06B15327"/>
    <w:rsid w:val="0B350FCF"/>
    <w:rsid w:val="0FBA79D5"/>
    <w:rsid w:val="19EF7F6D"/>
    <w:rsid w:val="1C3253EE"/>
    <w:rsid w:val="32EB7AF5"/>
    <w:rsid w:val="53EF7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99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it-IT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4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caption"/>
    <w:basedOn w:val="1"/>
    <w:next w:val="1"/>
    <w:qFormat/>
    <w:uiPriority w:val="99"/>
    <w:pPr>
      <w:spacing w:line="240" w:lineRule="auto"/>
    </w:pPr>
    <w:rPr>
      <w:rFonts w:ascii="Calibri" w:hAnsi="Calibri" w:eastAsia="Times New Roman" w:cs="Times New Roman"/>
      <w:b/>
      <w:bCs/>
      <w:sz w:val="18"/>
      <w:szCs w:val="18"/>
      <w:lang w:eastAsia="it-IT"/>
    </w:rPr>
  </w:style>
  <w:style w:type="character" w:styleId="6">
    <w:name w:val="annotation reference"/>
    <w:basedOn w:val="2"/>
    <w:unhideWhenUsed/>
    <w:qFormat/>
    <w:uiPriority w:val="0"/>
    <w:rPr>
      <w:sz w:val="16"/>
      <w:szCs w:val="16"/>
    </w:rPr>
  </w:style>
  <w:style w:type="paragraph" w:styleId="7">
    <w:name w:val="annotation text"/>
    <w:basedOn w:val="1"/>
    <w:link w:val="15"/>
    <w:unhideWhenUsed/>
    <w:qFormat/>
    <w:uiPriority w:val="0"/>
    <w:pPr>
      <w:spacing w:line="240" w:lineRule="auto"/>
    </w:pPr>
    <w:rPr>
      <w:sz w:val="20"/>
      <w:szCs w:val="20"/>
    </w:rPr>
  </w:style>
  <w:style w:type="paragraph" w:styleId="8">
    <w:name w:val="annotation subject"/>
    <w:basedOn w:val="7"/>
    <w:next w:val="7"/>
    <w:link w:val="16"/>
    <w:semiHidden/>
    <w:unhideWhenUsed/>
    <w:qFormat/>
    <w:uiPriority w:val="99"/>
    <w:rPr>
      <w:b/>
      <w:bCs/>
    </w:rPr>
  </w:style>
  <w:style w:type="paragraph" w:styleId="9">
    <w:name w:val="footer"/>
    <w:basedOn w:val="1"/>
    <w:link w:val="18"/>
    <w:unhideWhenUsed/>
    <w:qFormat/>
    <w:uiPriority w:val="99"/>
    <w:pPr>
      <w:tabs>
        <w:tab w:val="center" w:pos="4819"/>
        <w:tab w:val="right" w:pos="9638"/>
      </w:tabs>
      <w:spacing w:after="0" w:line="240" w:lineRule="auto"/>
    </w:pPr>
  </w:style>
  <w:style w:type="paragraph" w:styleId="10">
    <w:name w:val="header"/>
    <w:basedOn w:val="1"/>
    <w:link w:val="17"/>
    <w:unhideWhenUsed/>
    <w:qFormat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styleId="11">
    <w:name w:val="Hyperlink"/>
    <w:basedOn w:val="2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table" w:styleId="12">
    <w:name w:val="Table Grid"/>
    <w:basedOn w:val="3"/>
    <w:qFormat/>
    <w:uiPriority w:val="99"/>
    <w:pPr>
      <w:spacing w:after="0" w:line="360" w:lineRule="auto"/>
    </w:pPr>
    <w:rPr>
      <w:rFonts w:ascii="Times New Roman" w:hAnsi="Times New Roman" w:eastAsia="Times New Roman" w:cs="Times New Roman"/>
      <w:sz w:val="20"/>
      <w:szCs w:val="20"/>
      <w:lang w:eastAsia="it-IT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3">
    <w:name w:val="Title"/>
    <w:basedOn w:val="1"/>
    <w:next w:val="1"/>
    <w:link w:val="20"/>
    <w:qFormat/>
    <w:uiPriority w:val="10"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4">
    <w:name w:val="Testo fumetto Carattere"/>
    <w:basedOn w:val="2"/>
    <w:link w:val="4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5">
    <w:name w:val="Testo commento Carattere"/>
    <w:basedOn w:val="2"/>
    <w:link w:val="7"/>
    <w:qFormat/>
    <w:uiPriority w:val="0"/>
    <w:rPr>
      <w:sz w:val="20"/>
      <w:szCs w:val="20"/>
    </w:rPr>
  </w:style>
  <w:style w:type="character" w:customStyle="1" w:styleId="16">
    <w:name w:val="Soggetto commento Carattere"/>
    <w:basedOn w:val="15"/>
    <w:link w:val="8"/>
    <w:semiHidden/>
    <w:qFormat/>
    <w:uiPriority w:val="99"/>
    <w:rPr>
      <w:b/>
      <w:bCs/>
      <w:sz w:val="20"/>
      <w:szCs w:val="20"/>
    </w:rPr>
  </w:style>
  <w:style w:type="character" w:customStyle="1" w:styleId="17">
    <w:name w:val="Intestazione Carattere"/>
    <w:basedOn w:val="2"/>
    <w:link w:val="10"/>
    <w:uiPriority w:val="99"/>
  </w:style>
  <w:style w:type="character" w:customStyle="1" w:styleId="18">
    <w:name w:val="Piè di pagina Carattere"/>
    <w:basedOn w:val="2"/>
    <w:link w:val="9"/>
    <w:qFormat/>
    <w:uiPriority w:val="99"/>
  </w:style>
  <w:style w:type="paragraph" w:styleId="19">
    <w:name w:val="List Paragraph"/>
    <w:basedOn w:val="1"/>
    <w:qFormat/>
    <w:uiPriority w:val="34"/>
    <w:pPr>
      <w:ind w:left="720"/>
      <w:contextualSpacing/>
    </w:pPr>
    <w:rPr>
      <w:rFonts w:ascii="Times New Roman" w:hAnsi="Times New Roman" w:cs="Times New Roman"/>
      <w:sz w:val="20"/>
      <w:szCs w:val="20"/>
    </w:rPr>
  </w:style>
  <w:style w:type="character" w:customStyle="1" w:styleId="20">
    <w:name w:val="Titolo Carattere"/>
    <w:basedOn w:val="2"/>
    <w:link w:val="13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1">
    <w:name w:val="Unresolved Mention"/>
    <w:basedOn w:val="2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Hewlett-Packard Company</Company>
  <Pages>2</Pages>
  <Words>342</Words>
  <Characters>1953</Characters>
  <Lines>16</Lines>
  <Paragraphs>4</Paragraphs>
  <TotalTime>5</TotalTime>
  <ScaleCrop>false</ScaleCrop>
  <LinksUpToDate>false</LinksUpToDate>
  <CharactersWithSpaces>2291</CharactersWithSpaces>
  <Application>WPS Office_11.2.0.11254_F1E327BC-269C-435d-A152-05C5408002CA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2021-06-08T09:54:00Z</dcterms:created>
  <dc:creator>Laura Fascio Pecetto</dc:creator>
  <cp:lastModifiedBy>Carmelinda Ruggiero</cp:lastModifiedBy>
  <cp:lastPrinted>2020-08-06T06:37:00Z</cp:lastPrinted>
  <dcterms:modified xsi:type="dcterms:W3CDTF">2022-08-21T13:01:52Z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1033-11.2.0.11254</vt:lpwstr>
  </property>
  <property fmtid="{D5CDD505-2E9C-101B-9397-08002B2CF9AE}" pid="3" name="ICV">
    <vt:lpwstr>6C552EBEAAD9416E80D076FE6F29E09C</vt:lpwstr>
  </property>
</Properties>
</file>