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keepNext/>
        <w:spacing w:before="240"/>
        <w:rPr>
          <w:rFonts w:asciiTheme="minorHAnsi" w:hAnsiTheme="minorHAnsi" w:cstheme="minorHAnsi"/>
          <w:sz w:val="22"/>
          <w:szCs w:val="22"/>
          <w:lang w:val="en-US"/>
        </w:rPr>
      </w:pPr>
      <w:bookmarkStart w:id="1" w:name="_GoBack"/>
      <w:bookmarkEnd w:id="1"/>
      <w:bookmarkStart w:id="0" w:name="_Ref19806291"/>
      <w:r>
        <w:rPr>
          <w:rFonts w:hint="default" w:asciiTheme="majorHAnsi" w:hAnsiTheme="majorHAnsi"/>
          <w:b/>
          <w:bCs w:val="0"/>
          <w:sz w:val="20"/>
          <w:lang w:val="it-IT"/>
        </w:rPr>
        <w:t>Online Resource 2</w:t>
      </w:r>
      <w:r>
        <w:rPr>
          <w:rFonts w:hint="default" w:asciiTheme="majorHAnsi" w:hAnsiTheme="majorHAnsi"/>
          <w:b w:val="0"/>
          <w:sz w:val="20"/>
          <w:lang w:val="it-IT"/>
        </w:rPr>
        <w:t>. Ba</w:t>
      </w:r>
      <w:r>
        <w:rPr>
          <w:rFonts w:asciiTheme="majorHAnsi" w:hAnsiTheme="majorHAnsi"/>
          <w:b w:val="0"/>
          <w:sz w:val="20"/>
          <w:lang w:val="en-US"/>
        </w:rPr>
        <w:t xml:space="preserve">seline characteristics of </w:t>
      </w:r>
      <w:r>
        <w:rPr>
          <w:rFonts w:hint="default" w:asciiTheme="majorHAnsi" w:hAnsiTheme="majorHAnsi"/>
          <w:b w:val="0"/>
          <w:sz w:val="20"/>
          <w:lang w:val="it-IT"/>
        </w:rPr>
        <w:t>the F</w:t>
      </w:r>
      <w:r>
        <w:rPr>
          <w:rFonts w:asciiTheme="majorHAnsi" w:hAnsiTheme="majorHAnsi"/>
          <w:b w:val="0"/>
          <w:sz w:val="20"/>
          <w:lang w:val="en-US"/>
        </w:rPr>
        <w:t xml:space="preserve">LS-CP </w:t>
      </w:r>
      <w:r>
        <w:rPr>
          <w:rFonts w:hint="default" w:asciiTheme="majorHAnsi" w:hAnsiTheme="majorHAnsi"/>
          <w:b w:val="0"/>
          <w:sz w:val="20"/>
          <w:lang w:val="it-IT"/>
        </w:rPr>
        <w:t>participants who underwent CGA</w:t>
      </w:r>
      <w:r>
        <w:rPr>
          <w:rFonts w:asciiTheme="majorHAnsi" w:hAnsiTheme="majorHAnsi"/>
          <w:b w:val="0"/>
          <w:sz w:val="20"/>
          <w:lang w:val="en-US"/>
        </w:rPr>
        <w:t xml:space="preserve">. </w:t>
      </w:r>
    </w:p>
    <w:bookmarkEnd w:id="0"/>
    <w:tbl>
      <w:tblPr>
        <w:tblStyle w:val="12"/>
        <w:tblW w:w="1445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86"/>
        <w:gridCol w:w="90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Anthropometric parameters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Sex (male)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42 (19.8%)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Age (years)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85 (79; 89)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Weight (kg)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60 (52; 70)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Height (cm)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160 (155; 165)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BMI (kg/m</w:t>
            </w:r>
            <w:r>
              <w:rPr>
                <w:rFonts w:eastAsia="Times New Roman" w:asciiTheme="minorHAnsi" w:hAnsiTheme="minorHAnsi" w:cstheme="minorHAnsi"/>
                <w:sz w:val="22"/>
                <w:szCs w:val="22"/>
                <w:vertAlign w:val="superscript"/>
                <w:lang w:val="en-US" w:eastAsia="it-IT"/>
              </w:rPr>
              <w:t>2</w:t>
            </w: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)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23 (21; 26)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Fracture characteristics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Fracture at hospitalization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189 (89.2%) first fracture</w:t>
            </w:r>
          </w:p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20 (9.4</w:t>
            </w:r>
            <w:r>
              <w:rPr>
                <w:rFonts w:hint="default" w:eastAsia="Times New Roman" w:cstheme="minorHAnsi"/>
                <w:sz w:val="22"/>
                <w:szCs w:val="22"/>
                <w:lang w:val="en-US" w:eastAsia="it-IT"/>
              </w:rPr>
              <w:t>%</w:t>
            </w: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) second fracture</w:t>
            </w:r>
          </w:p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2 (0.9%) periprosthetic fracture</w:t>
            </w:r>
          </w:p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1 (0.5%) second femur fracture on a pre-existing fracture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Fracture type*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59 (30.7%) 31.B1</w:t>
            </w:r>
          </w:p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15 (7.8%) 31.B2</w:t>
            </w:r>
          </w:p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10 (5.2%) 31.B3</w:t>
            </w:r>
          </w:p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52 (27.1%) 31.A1</w:t>
            </w:r>
          </w:p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52 (27.1%) 31.A2</w:t>
            </w:r>
          </w:p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4 (2.1%) 31.A3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Surgery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82 (42.7%) endoprosthesis</w:t>
            </w:r>
          </w:p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110 (57.3%) osteosynthesis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color w:val="000000" w:themeColor="text1"/>
                <w:kern w:val="24"/>
                <w:sz w:val="22"/>
                <w:szCs w:val="22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 xml:space="preserve">Post-fracture independence in </w:t>
            </w:r>
            <w:r>
              <w:rPr>
                <w:rFonts w:eastAsia="Times New Roman" w:asciiTheme="minorHAnsi" w:hAnsiTheme="minorHAnsi" w:cstheme="minorHAnsi"/>
                <w:color w:val="000000" w:themeColor="text1"/>
                <w:kern w:val="24"/>
                <w:sz w:val="22"/>
                <w:szCs w:val="22"/>
                <w:u w:val="single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≥</w:t>
            </w:r>
            <w:r>
              <w:rPr>
                <w:rFonts w:eastAsia="Times New Roman" w:asciiTheme="minorHAnsi" w:hAnsiTheme="minorHAnsi" w:cstheme="minorHAnsi"/>
                <w:color w:val="000000" w:themeColor="text1"/>
                <w:kern w:val="24"/>
                <w:sz w:val="22"/>
                <w:szCs w:val="22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5 BADL</w:t>
            </w:r>
            <w:r>
              <w:rPr>
                <w:rFonts w:eastAsia="Times New Roman" w:asciiTheme="minorHAnsi" w:hAnsiTheme="minorHAnsi" w:cstheme="minorHAnsi"/>
                <w:color w:val="000000" w:themeColor="text1"/>
                <w:kern w:val="24"/>
                <w:position w:val="6"/>
                <w:sz w:val="22"/>
                <w:szCs w:val="22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eastAsia="Times New Roman" w:asciiTheme="minorHAnsi" w:hAnsiTheme="minorHAnsi" w:cstheme="minorHAnsi"/>
                <w:color w:val="000000" w:themeColor="text1"/>
                <w:kern w:val="24"/>
                <w:sz w:val="22"/>
                <w:szCs w:val="22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n (%)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cs="Times New Roman" w:asciiTheme="minorHAnsi" w:hAnsiTheme="minorHAnsi"/>
                <w:sz w:val="22"/>
                <w:szCs w:val="22"/>
                <w:lang w:val="en-US" w:eastAsia="it-IT"/>
              </w:rPr>
              <w:t xml:space="preserve">35 (13.1%)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color w:val="000000" w:themeColor="text1"/>
                <w:kern w:val="24"/>
                <w:sz w:val="22"/>
                <w:szCs w:val="22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Post-fracture independence in gender-specific IADL</w:t>
            </w:r>
            <w:r>
              <w:rPr>
                <w:rFonts w:eastAsia="Times New Roman" w:asciiTheme="minorHAnsi" w:hAnsiTheme="minorHAnsi" w:cstheme="minorHAnsi"/>
                <w:color w:val="000000" w:themeColor="text1"/>
                <w:kern w:val="24"/>
                <w:position w:val="6"/>
                <w:sz w:val="22"/>
                <w:szCs w:val="22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eastAsia="Times New Roman" w:asciiTheme="minorHAnsi" w:hAnsiTheme="minorHAnsi" w:cstheme="minorHAnsi"/>
                <w:color w:val="000000" w:themeColor="text1"/>
                <w:kern w:val="24"/>
                <w:sz w:val="22"/>
                <w:szCs w:val="22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n</w:t>
            </w:r>
            <w:r>
              <w:rPr>
                <w:rFonts w:eastAsia="Times New Roman" w:asciiTheme="minorHAnsi" w:hAnsiTheme="minorHAnsi" w:cstheme="minorHAnsi"/>
                <w:color w:val="000000" w:themeColor="text1"/>
                <w:kern w:val="24"/>
                <w:position w:val="6"/>
                <w:sz w:val="22"/>
                <w:szCs w:val="22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eastAsia="Times New Roman" w:asciiTheme="minorHAnsi" w:hAnsiTheme="minorHAnsi" w:cstheme="minorHAnsi"/>
                <w:color w:val="000000" w:themeColor="text1"/>
                <w:kern w:val="24"/>
                <w:sz w:val="22"/>
                <w:szCs w:val="22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(%)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cs="Times New Roman" w:asciiTheme="minorHAnsi" w:hAnsiTheme="minorHAnsi"/>
                <w:sz w:val="22"/>
                <w:szCs w:val="22"/>
                <w:lang w:val="en-US" w:eastAsia="it-IT"/>
              </w:rPr>
              <w:t>24 (9.0%)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Load-bearing capacity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6 (3.1%) grazing</w:t>
            </w:r>
          </w:p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167 (87%) partial</w:t>
            </w:r>
          </w:p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15 (7.8%) out of load</w:t>
            </w:r>
          </w:p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2 (1%) as tolerated</w:t>
            </w:r>
          </w:p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2 (1%) bed/armchair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Psycho-physical state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MMSE test (range 0-30)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24 (20; 27)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NPI test (range 0-20)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0 (0; 4)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Barthel test (range 0-100)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35 (15; 50)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GDS5 test (range 0-5)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0 (0; 1)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IQCODE test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40 (20.7%) no improving</w:t>
            </w:r>
          </w:p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54 (28%) mild decline</w:t>
            </w:r>
          </w:p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26 (13.5%) moderate decline</w:t>
            </w:r>
          </w:p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73 (37.8%) severe decline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CDR test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137 (64.6%) absent or very mild</w:t>
            </w:r>
          </w:p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23 (10.8%) mild</w:t>
            </w:r>
          </w:p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20 (9.4%) moderate</w:t>
            </w:r>
          </w:p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32 (15.1%) severe, highly severe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hint="default"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Parkinson</w:t>
            </w:r>
            <w:r>
              <w:rPr>
                <w:rFonts w:hint="default" w:eastAsia="Times New Roman" w:cstheme="minorHAnsi"/>
                <w:sz w:val="22"/>
                <w:szCs w:val="22"/>
                <w:lang w:val="en-US" w:eastAsia="it-IT"/>
              </w:rPr>
              <w:t xml:space="preserve"> disease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11 (5.2%)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MNA test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46 (24.7%) malnourished</w:t>
            </w:r>
          </w:p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112 (60.2%) at risk of malnutrition</w:t>
            </w:r>
          </w:p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28 (15.1%) normal nutritional status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Comorbidities and Risk factors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CIRS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7 (5; 9)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color w:val="FF0000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color w:val="FF0000"/>
                <w:sz w:val="22"/>
                <w:szCs w:val="22"/>
                <w:lang w:val="en-US" w:eastAsia="it-IT"/>
              </w:rPr>
              <w:t xml:space="preserve">   </w:t>
            </w: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Low vision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88 (41.5%)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Hypoacusia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74 (34.9%)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Alcohol consumption (&gt;1 unit/die)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24 (11.3%)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Smoking status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162 (76.4) non-smoker</w:t>
            </w:r>
          </w:p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39 (18.4%) former smoker</w:t>
            </w:r>
          </w:p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11 (5.2%) smoker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Steroid therapy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17 (8%)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Arthrosis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74 (34.9%)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COPD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30 (14.2%)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Rheumatoid/psoriatic arthritis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13 (6.1%)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Hypertension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130 (61.3%)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Atrial fibrillation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37 (17.5%)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Anticoagulant therapy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185 (87.3%) no therapy</w:t>
            </w:r>
          </w:p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11 (5.2%) warfarin</w:t>
            </w:r>
          </w:p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16 (7.5%) NOAC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Depression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25 (11.8%)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Restless legs syndrome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1 (0.5%)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Hypothyroidism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22 (10.4%)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Hyperthyroidism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3 (1.4%)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Diabetes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32 (15.1%)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Stroke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16 (7.5%)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Cardiopathy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56 (26.4%)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Tumor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22 (10.4%)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Previous gastric ulcer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14 (6.6%)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Peripheral vasculopathy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5 (2.4%)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Epilepsy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5 (2.4%)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Medullary canal stenosis/ischemia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7 (3.3%)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Miastenia gravis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1 (0.5%)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AKI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22 (10.4%)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Liver disease/HCV/HBV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3 (1.4%)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Myelodysplasia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3 (1.4%)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Kidney stone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2 (0.9%)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Inflammatory Bowel Disease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1 (0.5%)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Hiatal hernias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17 (8%)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Arterial hypotension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7 (4.2%)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Benign prostatic hyperplasia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18 (8.5%)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Fracture history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Previous vertebral fracture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12 (5.7%) one</w:t>
            </w:r>
          </w:p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8 (3.8%) two</w:t>
            </w:r>
          </w:p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4 (1.9%) more than two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Previous wrist fracture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16 (7.5%) one wrist</w:t>
            </w:r>
          </w:p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5 (2.4%) both wrists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Previous rib fracture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6 (2.8%) one</w:t>
            </w:r>
          </w:p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9 (4.2%) two</w:t>
            </w:r>
          </w:p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7 (3.3%) more than two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Other previous fracture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6 (2.8%) pelvis</w:t>
            </w:r>
          </w:p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2 (0.9%) shin</w:t>
            </w:r>
          </w:p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13 (6.1%) humerus</w:t>
            </w:r>
          </w:p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8 (3.8%) malleolus</w:t>
            </w:r>
          </w:p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2 (0.9%) kneecap</w:t>
            </w:r>
          </w:p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4 (1.9%) other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Falls during the last year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22 (10.4%) one</w:t>
            </w:r>
          </w:p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24 (11.3%) two</w:t>
            </w:r>
          </w:p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14 (6.6%) more than two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 xml:space="preserve">   Mineral Bone Density exam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  <w:lang w:val="en-US" w:eastAsia="it-IT"/>
              </w:rPr>
              <w:t>60 (29%)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ascii="Times New Roman" w:hAnsi="Times New Roman" w:eastAsia="Times New Roman" w:cstheme="minorHAnsi"/>
                <w:sz w:val="20"/>
                <w:szCs w:val="20"/>
                <w:lang w:val="en-US" w:eastAsia="it-IT"/>
              </w:rPr>
            </w:pPr>
            <w:r>
              <w:rPr>
                <w:rFonts w:eastAsia="Times New Roman" w:cs="Arial" w:asciiTheme="minorHAnsi" w:hAnsiTheme="minorHAnsi"/>
                <w:sz w:val="22"/>
                <w:szCs w:val="22"/>
                <w:lang w:val="en-US" w:eastAsia="it-IT"/>
              </w:rPr>
              <w:t>Initiation antifracture treatment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ascii="Times New Roman" w:hAnsi="Times New Roman" w:eastAsia="Times New Roman" w:cstheme="minorHAnsi"/>
                <w:sz w:val="20"/>
                <w:szCs w:val="20"/>
                <w:lang w:val="en-US" w:eastAsia="it-I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ascii="Times New Roman" w:hAnsi="Times New Roman" w:eastAsia="Times New Roman" w:cstheme="minorHAnsi"/>
                <w:sz w:val="20"/>
                <w:szCs w:val="20"/>
                <w:lang w:val="en-US" w:eastAsia="it-IT"/>
              </w:rPr>
            </w:pPr>
            <w:r>
              <w:rPr>
                <w:rFonts w:eastAsia="Times New Roman" w:cs="Arial" w:asciiTheme="minorHAnsi" w:hAnsiTheme="minorHAnsi"/>
                <w:sz w:val="22"/>
                <w:szCs w:val="22"/>
                <w:lang w:val="en-US" w:eastAsia="it-IT"/>
              </w:rPr>
              <w:t xml:space="preserve">   Vitamin D and calcium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ascii="Times New Roman" w:hAnsi="Times New Roman" w:eastAsia="Times New Roman" w:cstheme="minorHAnsi"/>
                <w:sz w:val="20"/>
                <w:szCs w:val="20"/>
                <w:lang w:val="en-US" w:eastAsia="it-IT"/>
              </w:rPr>
            </w:pPr>
            <w:r>
              <w:rPr>
                <w:rFonts w:eastAsia="Times New Roman" w:cs="Arial" w:asciiTheme="minorHAnsi" w:hAnsiTheme="minorHAnsi"/>
                <w:sz w:val="22"/>
                <w:szCs w:val="22"/>
                <w:lang w:val="en-US" w:eastAsia="it-IT"/>
              </w:rPr>
              <w:t>207 (97.6%)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6" w:type="dxa"/>
          </w:tcPr>
          <w:p>
            <w:pPr>
              <w:spacing w:after="0" w:line="240" w:lineRule="auto"/>
              <w:rPr>
                <w:rFonts w:ascii="Times New Roman" w:hAnsi="Times New Roman" w:eastAsia="Times New Roman" w:cstheme="minorHAnsi"/>
                <w:sz w:val="20"/>
                <w:szCs w:val="20"/>
                <w:lang w:val="en-US" w:eastAsia="it-IT"/>
              </w:rPr>
            </w:pPr>
            <w:r>
              <w:rPr>
                <w:rFonts w:eastAsia="Times New Roman" w:cs="Arial" w:asciiTheme="minorHAnsi" w:hAnsiTheme="minorHAnsi"/>
                <w:sz w:val="22"/>
                <w:szCs w:val="22"/>
                <w:lang w:val="en-US" w:eastAsia="it-IT"/>
              </w:rPr>
              <w:t xml:space="preserve">   Specific antifracture treatment</w:t>
            </w:r>
          </w:p>
        </w:tc>
        <w:tc>
          <w:tcPr>
            <w:tcW w:w="9071" w:type="dxa"/>
          </w:tcPr>
          <w:p>
            <w:pPr>
              <w:spacing w:after="0" w:line="240" w:lineRule="auto"/>
              <w:rPr>
                <w:rFonts w:ascii="Times New Roman" w:hAnsi="Times New Roman" w:eastAsia="Times New Roman" w:cstheme="minorHAnsi"/>
                <w:sz w:val="20"/>
                <w:szCs w:val="20"/>
                <w:lang w:val="en-US" w:eastAsia="it-IT"/>
              </w:rPr>
            </w:pPr>
            <w:r>
              <w:rPr>
                <w:rFonts w:eastAsia="Times New Roman" w:cs="Arial" w:asciiTheme="minorHAnsi" w:hAnsiTheme="minorHAnsi"/>
                <w:sz w:val="22"/>
                <w:szCs w:val="22"/>
                <w:lang w:val="en-US" w:eastAsia="it-IT"/>
              </w:rPr>
              <w:t>135 (63.7%)</w:t>
            </w:r>
          </w:p>
        </w:tc>
      </w:tr>
    </w:tbl>
    <w:p>
      <w:pPr>
        <w:rPr>
          <w:rFonts w:cstheme="minorHAnsi"/>
          <w:i/>
          <w:lang w:val="en-US"/>
        </w:rPr>
      </w:pPr>
      <w:r>
        <w:rPr>
          <w:rFonts w:eastAsia="Times New Roman" w:cstheme="minorHAnsi"/>
          <w:color w:val="000000"/>
          <w:lang w:val="en-US" w:eastAsia="it-IT"/>
        </w:rPr>
        <w:t xml:space="preserve">*classified according to the </w:t>
      </w:r>
      <w:r>
        <w:rPr>
          <w:rFonts w:cstheme="minorHAnsi"/>
          <w:color w:val="000000"/>
          <w:shd w:val="clear" w:color="auto" w:fill="FFFFFF"/>
          <w:lang w:val="en-US"/>
        </w:rPr>
        <w:t xml:space="preserve">Orthopaedic Trauma Association and the AO Foundation by two senior orthopedic surgeons </w:t>
      </w:r>
      <w:r>
        <w:rPr>
          <w:rFonts w:cstheme="minorHAnsi"/>
          <w:lang w:val="en-US"/>
        </w:rPr>
        <w:t>[21]</w:t>
      </w:r>
    </w:p>
    <w:p>
      <w:pPr>
        <w:rPr>
          <w:rFonts w:cstheme="minorHAnsi"/>
          <w:i w:val="0"/>
          <w:iCs/>
          <w:sz w:val="22"/>
          <w:szCs w:val="22"/>
          <w:lang w:val="en-US"/>
        </w:rPr>
      </w:pPr>
      <w:r>
        <w:rPr>
          <w:rFonts w:cstheme="minorHAnsi"/>
          <w:i w:val="0"/>
          <w:iCs/>
          <w:sz w:val="22"/>
          <w:szCs w:val="22"/>
          <w:lang w:val="en-US"/>
        </w:rPr>
        <w:t>Dichotomous and categorical data are presented as absolute number and percentage, continuous data are presented as the median and interquartile range</w:t>
      </w:r>
    </w:p>
    <w:p>
      <w:pPr>
        <w:rPr>
          <w:rFonts w:cstheme="minorHAnsi"/>
          <w:sz w:val="22"/>
          <w:szCs w:val="22"/>
          <w:lang w:val="en-US"/>
        </w:rPr>
      </w:pPr>
      <w:r>
        <w:rPr>
          <w:rFonts w:cstheme="minorHAnsi"/>
          <w:i/>
          <w:sz w:val="22"/>
          <w:szCs w:val="22"/>
          <w:lang w:val="en-US"/>
        </w:rPr>
        <w:t>MMSE</w:t>
      </w:r>
      <w:r>
        <w:rPr>
          <w:rFonts w:cstheme="minorHAnsi"/>
          <w:sz w:val="22"/>
          <w:szCs w:val="22"/>
          <w:lang w:val="en-US"/>
        </w:rPr>
        <w:t xml:space="preserve"> Mini Mental State Evaluation, </w:t>
      </w:r>
      <w:r>
        <w:rPr>
          <w:rFonts w:cstheme="minorHAnsi"/>
          <w:i/>
          <w:sz w:val="22"/>
          <w:szCs w:val="22"/>
          <w:lang w:val="en-US"/>
        </w:rPr>
        <w:t>NPI</w:t>
      </w:r>
      <w:r>
        <w:rPr>
          <w:rFonts w:cstheme="minorHAnsi"/>
          <w:sz w:val="22"/>
          <w:szCs w:val="22"/>
          <w:lang w:val="en-US"/>
        </w:rPr>
        <w:t xml:space="preserve"> Neuropsychiatric Inventory, </w:t>
      </w:r>
      <w:r>
        <w:rPr>
          <w:rFonts w:cstheme="minorHAnsi"/>
          <w:i/>
          <w:sz w:val="22"/>
          <w:szCs w:val="22"/>
          <w:lang w:val="en-US"/>
        </w:rPr>
        <w:t>GDS5</w:t>
      </w:r>
      <w:r>
        <w:rPr>
          <w:rFonts w:cstheme="minorHAnsi"/>
          <w:sz w:val="22"/>
          <w:szCs w:val="22"/>
          <w:lang w:val="en-US"/>
        </w:rPr>
        <w:t xml:space="preserve"> Geriatric Depression Scale 5 Items, </w:t>
      </w:r>
      <w:r>
        <w:rPr>
          <w:rFonts w:cstheme="minorHAnsi"/>
          <w:i/>
          <w:sz w:val="22"/>
          <w:szCs w:val="22"/>
          <w:lang w:val="en-US"/>
        </w:rPr>
        <w:t>IQCODE</w:t>
      </w:r>
      <w:r>
        <w:rPr>
          <w:rFonts w:cstheme="minorHAnsi"/>
          <w:sz w:val="22"/>
          <w:szCs w:val="22"/>
          <w:lang w:val="en-US"/>
        </w:rPr>
        <w:t xml:space="preserve"> Informant Questionnaire on Cognitive Decline in the Elderly, </w:t>
      </w:r>
      <w:r>
        <w:rPr>
          <w:rFonts w:cstheme="minorHAnsi"/>
          <w:i/>
          <w:sz w:val="22"/>
          <w:szCs w:val="22"/>
          <w:lang w:val="en-US"/>
        </w:rPr>
        <w:t>CDR</w:t>
      </w:r>
      <w:r>
        <w:rPr>
          <w:rFonts w:cstheme="minorHAnsi"/>
          <w:sz w:val="22"/>
          <w:szCs w:val="22"/>
          <w:lang w:val="en-US"/>
        </w:rPr>
        <w:t xml:space="preserve"> Clinical Demential Rating, </w:t>
      </w:r>
      <w:r>
        <w:rPr>
          <w:rFonts w:cstheme="minorHAnsi"/>
          <w:i/>
          <w:sz w:val="22"/>
          <w:szCs w:val="22"/>
          <w:lang w:val="en-US"/>
        </w:rPr>
        <w:t>MNA</w:t>
      </w:r>
      <w:r>
        <w:rPr>
          <w:rFonts w:cstheme="minorHAnsi"/>
          <w:sz w:val="22"/>
          <w:szCs w:val="22"/>
          <w:lang w:val="en-US"/>
        </w:rPr>
        <w:t xml:space="preserve"> Mini Nutritional Assessment, </w:t>
      </w:r>
      <w:r>
        <w:rPr>
          <w:rFonts w:cstheme="minorHAnsi"/>
          <w:i/>
          <w:sz w:val="22"/>
          <w:szCs w:val="22"/>
          <w:lang w:val="en-US"/>
        </w:rPr>
        <w:t>CIRS</w:t>
      </w:r>
      <w:r>
        <w:rPr>
          <w:rFonts w:cstheme="minorHAnsi"/>
          <w:sz w:val="22"/>
          <w:szCs w:val="22"/>
          <w:lang w:val="en-US"/>
        </w:rPr>
        <w:t xml:space="preserve"> Cumulative Illness Rating Scale, </w:t>
      </w:r>
      <w:r>
        <w:rPr>
          <w:rFonts w:cstheme="minorHAnsi"/>
          <w:i/>
          <w:sz w:val="22"/>
          <w:szCs w:val="22"/>
          <w:lang w:val="en-US"/>
        </w:rPr>
        <w:t>NOAC</w:t>
      </w:r>
      <w:r>
        <w:rPr>
          <w:rFonts w:cstheme="minorHAnsi"/>
          <w:sz w:val="22"/>
          <w:szCs w:val="22"/>
          <w:lang w:val="en-US"/>
        </w:rPr>
        <w:t xml:space="preserve"> non-vitamin K antagonist oral anticoagulants, </w:t>
      </w:r>
      <w:r>
        <w:rPr>
          <w:rFonts w:cstheme="minorHAnsi"/>
          <w:i/>
          <w:sz w:val="22"/>
          <w:szCs w:val="22"/>
          <w:lang w:val="en-US"/>
        </w:rPr>
        <w:t>AKI</w:t>
      </w:r>
      <w:r>
        <w:rPr>
          <w:rFonts w:cstheme="minorHAnsi"/>
          <w:sz w:val="22"/>
          <w:szCs w:val="22"/>
          <w:lang w:val="en-US"/>
        </w:rPr>
        <w:t xml:space="preserve"> acute kidney injury</w:t>
      </w:r>
    </w:p>
    <w:sectPr>
      <w:headerReference r:id="rId5" w:type="default"/>
      <w:pgSz w:w="16838" w:h="11906" w:orient="landscape"/>
      <w:pgMar w:top="1134" w:right="1417" w:bottom="1134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</w:p>
  <w:p>
    <w:pPr>
      <w:pStyle w:val="1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documentProtection w:enforcement="0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czMjA3NTQ1NzAD8pR0lIJTi4sz8/NACgxrAQe+iLYsAAAA"/>
  </w:docVars>
  <w:rsids>
    <w:rsidRoot w:val="00035F8E"/>
    <w:rsid w:val="00035F8E"/>
    <w:rsid w:val="0007181B"/>
    <w:rsid w:val="00121E81"/>
    <w:rsid w:val="001A5CDD"/>
    <w:rsid w:val="001B15AE"/>
    <w:rsid w:val="00246B6C"/>
    <w:rsid w:val="0029083B"/>
    <w:rsid w:val="003E395B"/>
    <w:rsid w:val="00422136"/>
    <w:rsid w:val="00554968"/>
    <w:rsid w:val="0056025E"/>
    <w:rsid w:val="00565A34"/>
    <w:rsid w:val="005A7129"/>
    <w:rsid w:val="005F1FC1"/>
    <w:rsid w:val="006374B1"/>
    <w:rsid w:val="006D035C"/>
    <w:rsid w:val="006D714C"/>
    <w:rsid w:val="00723B42"/>
    <w:rsid w:val="007B2D04"/>
    <w:rsid w:val="00835A64"/>
    <w:rsid w:val="00896494"/>
    <w:rsid w:val="008F716C"/>
    <w:rsid w:val="009460FC"/>
    <w:rsid w:val="00997E88"/>
    <w:rsid w:val="009C023E"/>
    <w:rsid w:val="00AA40A3"/>
    <w:rsid w:val="00B223D9"/>
    <w:rsid w:val="00B60405"/>
    <w:rsid w:val="00C46416"/>
    <w:rsid w:val="00CB071D"/>
    <w:rsid w:val="00CD69F9"/>
    <w:rsid w:val="00D022D5"/>
    <w:rsid w:val="00D14DDE"/>
    <w:rsid w:val="00D545EB"/>
    <w:rsid w:val="00E56AFF"/>
    <w:rsid w:val="00E6329A"/>
    <w:rsid w:val="00F17AE9"/>
    <w:rsid w:val="00FC05E2"/>
    <w:rsid w:val="1C132910"/>
    <w:rsid w:val="223F28F0"/>
    <w:rsid w:val="45E30AF2"/>
    <w:rsid w:val="47B107D1"/>
    <w:rsid w:val="561D7877"/>
    <w:rsid w:val="766B4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nhideWhenUsed="0" w:uiPriority="99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it-IT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4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caption"/>
    <w:basedOn w:val="1"/>
    <w:next w:val="1"/>
    <w:qFormat/>
    <w:uiPriority w:val="99"/>
    <w:pPr>
      <w:spacing w:line="240" w:lineRule="auto"/>
    </w:pPr>
    <w:rPr>
      <w:rFonts w:ascii="Calibri" w:hAnsi="Calibri" w:eastAsia="Times New Roman" w:cs="Times New Roman"/>
      <w:b/>
      <w:bCs/>
      <w:sz w:val="18"/>
      <w:szCs w:val="18"/>
      <w:lang w:eastAsia="it-IT"/>
    </w:rPr>
  </w:style>
  <w:style w:type="character" w:styleId="6">
    <w:name w:val="annotation reference"/>
    <w:basedOn w:val="2"/>
    <w:semiHidden/>
    <w:unhideWhenUsed/>
    <w:uiPriority w:val="99"/>
    <w:rPr>
      <w:sz w:val="16"/>
      <w:szCs w:val="16"/>
    </w:rPr>
  </w:style>
  <w:style w:type="paragraph" w:styleId="7">
    <w:name w:val="annotation text"/>
    <w:basedOn w:val="1"/>
    <w:link w:val="15"/>
    <w:semiHidden/>
    <w:unhideWhenUsed/>
    <w:uiPriority w:val="99"/>
    <w:pPr>
      <w:spacing w:line="240" w:lineRule="auto"/>
    </w:pPr>
    <w:rPr>
      <w:sz w:val="20"/>
      <w:szCs w:val="20"/>
    </w:rPr>
  </w:style>
  <w:style w:type="paragraph" w:styleId="8">
    <w:name w:val="annotation subject"/>
    <w:basedOn w:val="7"/>
    <w:next w:val="7"/>
    <w:link w:val="16"/>
    <w:semiHidden/>
    <w:unhideWhenUsed/>
    <w:uiPriority w:val="99"/>
    <w:rPr>
      <w:b/>
      <w:bCs/>
    </w:rPr>
  </w:style>
  <w:style w:type="paragraph" w:styleId="9">
    <w:name w:val="footer"/>
    <w:basedOn w:val="1"/>
    <w:link w:val="18"/>
    <w:unhideWhenUsed/>
    <w:uiPriority w:val="99"/>
    <w:pPr>
      <w:tabs>
        <w:tab w:val="center" w:pos="4819"/>
        <w:tab w:val="right" w:pos="9638"/>
      </w:tabs>
      <w:spacing w:after="0" w:line="240" w:lineRule="auto"/>
    </w:pPr>
  </w:style>
  <w:style w:type="paragraph" w:styleId="10">
    <w:name w:val="header"/>
    <w:basedOn w:val="1"/>
    <w:link w:val="17"/>
    <w:unhideWhenUsed/>
    <w:qFormat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styleId="11">
    <w:name w:val="Hyperlink"/>
    <w:basedOn w:val="2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table" w:styleId="12">
    <w:name w:val="Table Grid"/>
    <w:basedOn w:val="3"/>
    <w:qFormat/>
    <w:uiPriority w:val="99"/>
    <w:pPr>
      <w:spacing w:after="0" w:line="360" w:lineRule="auto"/>
    </w:pPr>
    <w:rPr>
      <w:rFonts w:ascii="Times New Roman" w:hAnsi="Times New Roman" w:eastAsia="Times New Roman" w:cs="Times New Roman"/>
      <w:sz w:val="20"/>
      <w:szCs w:val="20"/>
      <w:lang w:eastAsia="it-IT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3">
    <w:name w:val="Title"/>
    <w:basedOn w:val="1"/>
    <w:next w:val="1"/>
    <w:link w:val="20"/>
    <w:qFormat/>
    <w:uiPriority w:val="10"/>
    <w:pPr>
      <w:spacing w:after="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4">
    <w:name w:val="Testo fumetto Carattere"/>
    <w:basedOn w:val="2"/>
    <w:link w:val="4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5">
    <w:name w:val="Testo commento Carattere"/>
    <w:basedOn w:val="2"/>
    <w:link w:val="7"/>
    <w:semiHidden/>
    <w:qFormat/>
    <w:uiPriority w:val="99"/>
    <w:rPr>
      <w:sz w:val="20"/>
      <w:szCs w:val="20"/>
    </w:rPr>
  </w:style>
  <w:style w:type="character" w:customStyle="1" w:styleId="16">
    <w:name w:val="Soggetto commento Carattere"/>
    <w:basedOn w:val="15"/>
    <w:link w:val="8"/>
    <w:semiHidden/>
    <w:uiPriority w:val="99"/>
    <w:rPr>
      <w:b/>
      <w:bCs/>
      <w:sz w:val="20"/>
      <w:szCs w:val="20"/>
    </w:rPr>
  </w:style>
  <w:style w:type="character" w:customStyle="1" w:styleId="17">
    <w:name w:val="Intestazione Carattere"/>
    <w:basedOn w:val="2"/>
    <w:link w:val="10"/>
    <w:uiPriority w:val="99"/>
  </w:style>
  <w:style w:type="character" w:customStyle="1" w:styleId="18">
    <w:name w:val="Piè di pagina Carattere"/>
    <w:basedOn w:val="2"/>
    <w:link w:val="9"/>
    <w:qFormat/>
    <w:uiPriority w:val="99"/>
  </w:style>
  <w:style w:type="paragraph" w:styleId="19">
    <w:name w:val="List Paragraph"/>
    <w:basedOn w:val="1"/>
    <w:qFormat/>
    <w:uiPriority w:val="34"/>
    <w:pPr>
      <w:ind w:left="720"/>
      <w:contextualSpacing/>
    </w:pPr>
    <w:rPr>
      <w:rFonts w:ascii="Times New Roman" w:hAnsi="Times New Roman" w:cs="Times New Roman"/>
      <w:sz w:val="20"/>
      <w:szCs w:val="20"/>
    </w:rPr>
  </w:style>
  <w:style w:type="character" w:customStyle="1" w:styleId="20">
    <w:name w:val="Titolo Carattere"/>
    <w:basedOn w:val="2"/>
    <w:link w:val="13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1">
    <w:name w:val="Unresolved Mention"/>
    <w:basedOn w:val="2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Hewlett-Packard Company</Company>
  <Pages>4</Pages>
  <Words>665</Words>
  <Characters>3794</Characters>
  <Lines>31</Lines>
  <Paragraphs>8</Paragraphs>
  <TotalTime>6</TotalTime>
  <ScaleCrop>false</ScaleCrop>
  <LinksUpToDate>false</LinksUpToDate>
  <CharactersWithSpaces>4451</CharactersWithSpaces>
  <Application>WPS Office_11.2.0.11254_F1E327BC-269C-435d-A152-05C5408002CA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2021-06-08T10:14:00Z</dcterms:created>
  <dc:creator>Carmelinda Ruggiero</dc:creator>
  <cp:lastModifiedBy>Carmelinda Ruggiero</cp:lastModifiedBy>
  <cp:lastPrinted>2020-08-06T06:37:00Z</cp:lastPrinted>
  <dcterms:modified xsi:type="dcterms:W3CDTF">2022-08-21T13:02:12Z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1033-11.2.0.11254</vt:lpwstr>
  </property>
  <property fmtid="{D5CDD505-2E9C-101B-9397-08002B2CF9AE}" pid="3" name="ICV">
    <vt:lpwstr>E7C6FFECC4B346E498028D47D0531DE9</vt:lpwstr>
  </property>
</Properties>
</file>