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466A2" w14:textId="77777777" w:rsidR="00006157" w:rsidRDefault="00006157" w:rsidP="00006157">
      <w:pPr>
        <w:tabs>
          <w:tab w:val="left" w:pos="2253"/>
        </w:tabs>
        <w:rPr>
          <w:rFonts w:cstheme="minorHAnsi"/>
          <w:sz w:val="18"/>
          <w:szCs w:val="18"/>
        </w:rPr>
      </w:pPr>
    </w:p>
    <w:p w14:paraId="22421AFD" w14:textId="77777777" w:rsidR="00006157" w:rsidRDefault="00006157" w:rsidP="00006157">
      <w:pPr>
        <w:tabs>
          <w:tab w:val="left" w:pos="2253"/>
        </w:tabs>
        <w:rPr>
          <w:rFonts w:cstheme="minorHAnsi"/>
          <w:sz w:val="18"/>
          <w:szCs w:val="18"/>
        </w:rPr>
      </w:pPr>
      <w:r>
        <w:rPr>
          <w:rFonts w:cs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6F07BB" wp14:editId="30886228">
                <wp:simplePos x="0" y="0"/>
                <wp:positionH relativeFrom="leftMargin">
                  <wp:align>right</wp:align>
                </wp:positionH>
                <wp:positionV relativeFrom="paragraph">
                  <wp:posOffset>1295719</wp:posOffset>
                </wp:positionV>
                <wp:extent cx="2352675" cy="292100"/>
                <wp:effectExtent l="1588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352675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2BFA4D" w14:textId="77777777" w:rsidR="00006157" w:rsidRPr="00E50867" w:rsidRDefault="00006157" w:rsidP="00006157">
                            <w:pPr>
                              <w:rPr>
                                <w:color w:val="7F7F7F" w:themeColor="text1" w:themeTint="80"/>
                                <w:sz w:val="24"/>
                                <w:szCs w:val="24"/>
                              </w:rPr>
                            </w:pPr>
                            <w:r w:rsidRPr="00E50867">
                              <w:rPr>
                                <w:rFonts w:cstheme="minorHAnsi"/>
                                <w:color w:val="7F7F7F" w:themeColor="text1" w:themeTint="80"/>
                                <w:sz w:val="20"/>
                                <w:szCs w:val="20"/>
                              </w:rPr>
                              <w:t>Proportion of subsequent fractures (%)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6F07BB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134.05pt;margin-top:102.05pt;width:185.25pt;height:23pt;rotation:-90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" fillcolor="white [3201]" stroked="f" strokeweight=".5pt">
                <v:textbox>
                  <w:txbxContent>
                    <w:p w14:paraId="2A2BFA4D" w14:textId="77777777" w:rsidR="00006157" w:rsidRPr="00E50867" w:rsidRDefault="00006157" w:rsidP="00006157">
                      <w:pPr>
                        <w:rPr>
                          <w:color w:val="7F7F7F" w:themeColor="text1" w:themeTint="80"/>
                          <w:sz w:val="24"/>
                          <w:szCs w:val="24"/>
                        </w:rPr>
                      </w:pPr>
                      <w:r w:rsidRPr="00E50867">
                        <w:rPr>
                          <w:rFonts w:cstheme="minorHAnsi"/>
                          <w:color w:val="7F7F7F" w:themeColor="text1" w:themeTint="80"/>
                          <w:sz w:val="20"/>
                          <w:szCs w:val="20"/>
                        </w:rPr>
                        <w:t>Proportion of subsequent fractures (%)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  <w:noProof/>
          <w:sz w:val="18"/>
          <w:szCs w:val="18"/>
        </w:rPr>
        <w:drawing>
          <wp:inline distT="0" distB="0" distL="0" distR="0" wp14:anchorId="7B2A6E79" wp14:editId="25DCFEE9">
            <wp:extent cx="6502338" cy="3721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616" cy="37309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120FFC" w14:textId="16FA08B5" w:rsidR="00006157" w:rsidRDefault="00006157" w:rsidP="00006157">
      <w:pPr>
        <w:spacing w:before="240" w:line="240" w:lineRule="auto"/>
        <w:jc w:val="both"/>
      </w:pPr>
      <w:r>
        <w:rPr>
          <w:rFonts w:cstheme="minorHAnsi"/>
          <w:b/>
          <w:bCs/>
          <w:sz w:val="18"/>
          <w:szCs w:val="18"/>
        </w:rPr>
        <w:t>Supplementary</w:t>
      </w:r>
      <w:r w:rsidRPr="00933D6F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b/>
          <w:bCs/>
          <w:sz w:val="18"/>
          <w:szCs w:val="18"/>
        </w:rPr>
        <w:t xml:space="preserve">Fig </w:t>
      </w:r>
      <w:r w:rsidR="00F05904">
        <w:rPr>
          <w:rFonts w:cstheme="minorHAnsi"/>
          <w:b/>
          <w:bCs/>
          <w:sz w:val="18"/>
          <w:szCs w:val="18"/>
        </w:rPr>
        <w:t>1</w:t>
      </w:r>
      <w:r>
        <w:rPr>
          <w:rFonts w:cstheme="minorHAnsi"/>
          <w:b/>
          <w:bCs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 xml:space="preserve">Distribution of </w:t>
      </w:r>
      <w:r w:rsidR="00A36794">
        <w:rPr>
          <w:rFonts w:cstheme="minorHAnsi"/>
          <w:sz w:val="18"/>
          <w:szCs w:val="18"/>
        </w:rPr>
        <w:t xml:space="preserve">major </w:t>
      </w:r>
      <w:r>
        <w:rPr>
          <w:rFonts w:cstheme="minorHAnsi"/>
          <w:sz w:val="18"/>
          <w:szCs w:val="18"/>
        </w:rPr>
        <w:t xml:space="preserve">subsequent fractures in patients with an index forearm fracture 2008–2019 divided into three </w:t>
      </w:r>
      <w:r w:rsidR="00A36794">
        <w:rPr>
          <w:rFonts w:cstheme="minorHAnsi"/>
          <w:sz w:val="18"/>
          <w:szCs w:val="18"/>
        </w:rPr>
        <w:t xml:space="preserve">regions of origin </w:t>
      </w:r>
      <w:r w:rsidR="00F05904">
        <w:rPr>
          <w:rFonts w:cstheme="minorHAnsi"/>
          <w:sz w:val="18"/>
          <w:szCs w:val="18"/>
        </w:rPr>
        <w:t xml:space="preserve">and </w:t>
      </w:r>
      <w:r>
        <w:rPr>
          <w:rFonts w:cstheme="minorHAnsi"/>
          <w:sz w:val="18"/>
          <w:szCs w:val="18"/>
        </w:rPr>
        <w:t>by age</w:t>
      </w:r>
    </w:p>
    <w:p w14:paraId="18FC199B" w14:textId="77777777" w:rsidR="00B438B6" w:rsidRDefault="00B438B6"/>
    <w:sectPr w:rsidR="00B4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394"/>
    <w:rsid w:val="00006157"/>
    <w:rsid w:val="00502FEC"/>
    <w:rsid w:val="00A36794"/>
    <w:rsid w:val="00B438B6"/>
    <w:rsid w:val="00C67394"/>
    <w:rsid w:val="00F017A5"/>
    <w:rsid w:val="00F0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DEA19"/>
  <w15:chartTrackingRefBased/>
  <w15:docId w15:val="{C55F7CFE-E2DC-46E0-A540-60638E1C8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15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144</Characters>
  <Application>Microsoft Office Word</Application>
  <DocSecurity>4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Cecilie Dahl</cp:lastModifiedBy>
  <cp:revision>2</cp:revision>
  <dcterms:created xsi:type="dcterms:W3CDTF">2024-08-01T13:38:00Z</dcterms:created>
  <dcterms:modified xsi:type="dcterms:W3CDTF">2024-08-01T13:38:00Z</dcterms:modified>
</cp:coreProperties>
</file>