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4ED8E" w14:textId="77777777" w:rsidR="003C0237" w:rsidRPr="008F6A30" w:rsidRDefault="003C0237" w:rsidP="003C0237">
      <w:pPr>
        <w:shd w:val="clear" w:color="auto" w:fill="FFFFFF"/>
        <w:jc w:val="both"/>
        <w:rPr>
          <w:rFonts w:cs="Arial"/>
          <w:b/>
          <w:bCs/>
          <w:szCs w:val="22"/>
          <w:u w:val="single"/>
          <w:lang w:val="en-US"/>
        </w:rPr>
      </w:pPr>
      <w:r w:rsidRPr="00F70A4D">
        <w:rPr>
          <w:b/>
          <w:bCs/>
          <w:u w:val="single"/>
          <w:lang w:val="en-US"/>
        </w:rPr>
        <w:t>Supplementary</w:t>
      </w:r>
      <w:r>
        <w:rPr>
          <w:b/>
          <w:bCs/>
          <w:u w:val="single"/>
          <w:lang w:val="en-US"/>
        </w:rPr>
        <w:t xml:space="preserve"> material</w:t>
      </w:r>
    </w:p>
    <w:p w14:paraId="16DA4584" w14:textId="77777777" w:rsidR="003C0237" w:rsidRPr="002C76DA" w:rsidRDefault="003C0237" w:rsidP="003C0237">
      <w:pPr>
        <w:shd w:val="clear" w:color="auto" w:fill="FFFFFF"/>
        <w:jc w:val="both"/>
        <w:rPr>
          <w:rFonts w:cs="Arial"/>
          <w:b/>
          <w:bCs/>
          <w:szCs w:val="22"/>
          <w:lang w:val="en-US"/>
        </w:rPr>
      </w:pPr>
    </w:p>
    <w:p w14:paraId="4EA9A621" w14:textId="77777777" w:rsidR="003C0237" w:rsidRPr="002C76DA" w:rsidRDefault="003C0237" w:rsidP="003C0237">
      <w:pPr>
        <w:shd w:val="clear" w:color="auto" w:fill="FFFFFF"/>
        <w:jc w:val="both"/>
        <w:rPr>
          <w:rFonts w:cs="Arial"/>
          <w:b/>
          <w:bCs/>
          <w:szCs w:val="22"/>
          <w:lang w:val="en-US"/>
        </w:rPr>
      </w:pPr>
      <w:r w:rsidRPr="002C76DA">
        <w:rPr>
          <w:rFonts w:cs="Arial"/>
          <w:b/>
          <w:bCs/>
          <w:szCs w:val="22"/>
          <w:lang w:val="en-US"/>
        </w:rPr>
        <w:t>Supplementary Figure 1 - Therapeutic sequence after teriparatide treatment (number of patients)</w:t>
      </w:r>
    </w:p>
    <w:p w14:paraId="5D571D46" w14:textId="77777777" w:rsidR="003C0237" w:rsidRPr="002C76DA" w:rsidRDefault="003C0237" w:rsidP="003C0237">
      <w:pPr>
        <w:shd w:val="clear" w:color="auto" w:fill="FFFFFF"/>
        <w:jc w:val="both"/>
        <w:rPr>
          <w:rFonts w:cs="Arial"/>
          <w:b/>
          <w:bCs/>
          <w:szCs w:val="22"/>
          <w:lang w:val="en-US"/>
        </w:rPr>
      </w:pPr>
    </w:p>
    <w:p w14:paraId="720AE5BC" w14:textId="77777777" w:rsidR="003C0237" w:rsidRPr="002C76DA" w:rsidRDefault="003C0237" w:rsidP="003C0237">
      <w:pPr>
        <w:jc w:val="center"/>
        <w:rPr>
          <w:rFonts w:cs="Arial"/>
          <w:szCs w:val="22"/>
        </w:rPr>
      </w:pPr>
      <w:r w:rsidRPr="002C76DA">
        <w:rPr>
          <w:rFonts w:cs="Arial"/>
          <w:noProof/>
          <w:szCs w:val="22"/>
        </w:rPr>
        <w:drawing>
          <wp:inline distT="0" distB="0" distL="0" distR="0" wp14:anchorId="1F52C277" wp14:editId="44FB0FAB">
            <wp:extent cx="5982788" cy="3560536"/>
            <wp:effectExtent l="0" t="0" r="18415" b="1905"/>
            <wp:docPr id="2088173112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50211A80-72D6-72C8-DC0B-78CE5BE236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48DFD81" w14:textId="77777777" w:rsidR="003C0237" w:rsidRDefault="003C0237" w:rsidP="003C0237">
      <w:pPr>
        <w:spacing w:after="160" w:line="259" w:lineRule="auto"/>
        <w:rPr>
          <w:rFonts w:cs="Arial"/>
          <w:szCs w:val="22"/>
        </w:rPr>
        <w:sectPr w:rsidR="003C0237" w:rsidSect="008325B4">
          <w:pgSz w:w="11900" w:h="16840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22FC565F" w14:textId="073D6BBC" w:rsidR="003C0237" w:rsidRPr="002C76DA" w:rsidRDefault="003C0237" w:rsidP="003C0237">
      <w:pPr>
        <w:rPr>
          <w:rFonts w:cs="Arial"/>
          <w:sz w:val="18"/>
          <w:szCs w:val="18"/>
          <w:lang w:val="en-US"/>
        </w:rPr>
      </w:pPr>
    </w:p>
    <w:p w14:paraId="63B201FE" w14:textId="3F035008" w:rsidR="003C0237" w:rsidRPr="002C76DA" w:rsidRDefault="003C0237" w:rsidP="003C0237">
      <w:pPr>
        <w:rPr>
          <w:rFonts w:cs="Arial"/>
          <w:sz w:val="20"/>
          <w:szCs w:val="20"/>
          <w:lang w:val="en-US"/>
        </w:rPr>
      </w:pPr>
      <w:r w:rsidRPr="002C76DA">
        <w:rPr>
          <w:rFonts w:cs="Arial"/>
          <w:b/>
          <w:bCs/>
          <w:sz w:val="20"/>
          <w:szCs w:val="20"/>
          <w:lang w:val="en-US"/>
        </w:rPr>
        <w:t>Supplementary Table 1</w:t>
      </w:r>
      <w:r w:rsidRPr="002C76DA">
        <w:rPr>
          <w:rFonts w:cs="Arial"/>
          <w:sz w:val="20"/>
          <w:szCs w:val="20"/>
          <w:lang w:val="en-US"/>
        </w:rPr>
        <w:t xml:space="preserve"> – Overview of the profiles of the patients with an indication of TPT finally recused due to MGUS </w:t>
      </w:r>
    </w:p>
    <w:tbl>
      <w:tblPr>
        <w:tblStyle w:val="Grilledutableau"/>
        <w:tblpPr w:leftFromText="141" w:rightFromText="141" w:horzAnchor="margin" w:tblpY="609"/>
        <w:tblW w:w="0" w:type="auto"/>
        <w:tblLook w:val="04A0" w:firstRow="1" w:lastRow="0" w:firstColumn="1" w:lastColumn="0" w:noHBand="0" w:noVBand="1"/>
      </w:tblPr>
      <w:tblGrid>
        <w:gridCol w:w="884"/>
        <w:gridCol w:w="572"/>
        <w:gridCol w:w="1027"/>
        <w:gridCol w:w="2131"/>
        <w:gridCol w:w="1923"/>
        <w:gridCol w:w="1645"/>
        <w:gridCol w:w="2900"/>
        <w:gridCol w:w="2664"/>
        <w:gridCol w:w="1644"/>
      </w:tblGrid>
      <w:tr w:rsidR="003C0237" w:rsidRPr="002C76DA" w14:paraId="493040DE" w14:textId="77777777" w:rsidTr="007C2A3A">
        <w:tc>
          <w:tcPr>
            <w:tcW w:w="0" w:type="auto"/>
            <w:hideMark/>
          </w:tcPr>
          <w:p w14:paraId="639417BE" w14:textId="77777777" w:rsidR="003C0237" w:rsidRPr="002C76DA" w:rsidRDefault="003C0237" w:rsidP="007C2A3A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Patient </w:t>
            </w:r>
          </w:p>
        </w:tc>
        <w:tc>
          <w:tcPr>
            <w:tcW w:w="0" w:type="auto"/>
            <w:hideMark/>
          </w:tcPr>
          <w:p w14:paraId="435FAF23" w14:textId="77777777" w:rsidR="003C0237" w:rsidRPr="002C76DA" w:rsidRDefault="003C0237" w:rsidP="007C2A3A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Sex</w:t>
            </w:r>
          </w:p>
        </w:tc>
        <w:tc>
          <w:tcPr>
            <w:tcW w:w="0" w:type="auto"/>
            <w:hideMark/>
          </w:tcPr>
          <w:p w14:paraId="48CEA6C2" w14:textId="77777777" w:rsidR="003C0237" w:rsidRPr="002C76DA" w:rsidRDefault="003C0237" w:rsidP="007C2A3A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Age at follow-up</w:t>
            </w:r>
          </w:p>
        </w:tc>
        <w:tc>
          <w:tcPr>
            <w:tcW w:w="0" w:type="auto"/>
            <w:hideMark/>
          </w:tcPr>
          <w:p w14:paraId="3AE04089" w14:textId="77777777" w:rsidR="003C0237" w:rsidRPr="002C76DA" w:rsidRDefault="003C0237" w:rsidP="007C2A3A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Comorbidities </w:t>
            </w:r>
          </w:p>
        </w:tc>
        <w:tc>
          <w:tcPr>
            <w:tcW w:w="0" w:type="auto"/>
            <w:hideMark/>
          </w:tcPr>
          <w:p w14:paraId="48189C5D" w14:textId="77777777" w:rsidR="003C0237" w:rsidRPr="002C76DA" w:rsidRDefault="003C0237" w:rsidP="007C2A3A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Osteoporotic fractures</w:t>
            </w:r>
          </w:p>
        </w:tc>
        <w:tc>
          <w:tcPr>
            <w:tcW w:w="0" w:type="auto"/>
            <w:hideMark/>
          </w:tcPr>
          <w:p w14:paraId="73337865" w14:textId="77777777" w:rsidR="003C0237" w:rsidRPr="002C76DA" w:rsidRDefault="003C0237" w:rsidP="007C2A3A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BMD (T-score, site)</w:t>
            </w:r>
          </w:p>
        </w:tc>
        <w:tc>
          <w:tcPr>
            <w:tcW w:w="0" w:type="auto"/>
            <w:hideMark/>
          </w:tcPr>
          <w:p w14:paraId="189EA804" w14:textId="77777777" w:rsidR="003C0237" w:rsidRPr="002C76DA" w:rsidRDefault="003C0237" w:rsidP="007C2A3A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MGUS characteristics</w:t>
            </w:r>
          </w:p>
        </w:tc>
        <w:tc>
          <w:tcPr>
            <w:tcW w:w="0" w:type="auto"/>
            <w:hideMark/>
          </w:tcPr>
          <w:p w14:paraId="19A05588" w14:textId="77777777" w:rsidR="003C0237" w:rsidRPr="002C76DA" w:rsidRDefault="003C0237" w:rsidP="007C2A3A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TPT decision &amp; alternative therapy</w:t>
            </w:r>
          </w:p>
        </w:tc>
        <w:tc>
          <w:tcPr>
            <w:tcW w:w="0" w:type="auto"/>
            <w:hideMark/>
          </w:tcPr>
          <w:p w14:paraId="36FDFF19" w14:textId="77777777" w:rsidR="003C0237" w:rsidRPr="002C76DA" w:rsidRDefault="003C0237" w:rsidP="007C2A3A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Hematologic follow-up</w:t>
            </w:r>
          </w:p>
        </w:tc>
      </w:tr>
      <w:tr w:rsidR="003C0237" w:rsidRPr="002C76DA" w14:paraId="4DF757CE" w14:textId="77777777" w:rsidTr="007C2A3A">
        <w:tc>
          <w:tcPr>
            <w:tcW w:w="0" w:type="auto"/>
            <w:hideMark/>
          </w:tcPr>
          <w:p w14:paraId="5B3555DF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hideMark/>
          </w:tcPr>
          <w:p w14:paraId="282C21F5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F</w:t>
            </w:r>
          </w:p>
        </w:tc>
        <w:tc>
          <w:tcPr>
            <w:tcW w:w="0" w:type="auto"/>
            <w:hideMark/>
          </w:tcPr>
          <w:p w14:paraId="401F7498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83</w:t>
            </w:r>
          </w:p>
        </w:tc>
        <w:tc>
          <w:tcPr>
            <w:tcW w:w="0" w:type="auto"/>
            <w:hideMark/>
          </w:tcPr>
          <w:p w14:paraId="11C8B4BA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HBP, depression, polymyalgia rheumatica</w:t>
            </w:r>
          </w:p>
        </w:tc>
        <w:tc>
          <w:tcPr>
            <w:tcW w:w="0" w:type="auto"/>
            <w:hideMark/>
          </w:tcPr>
          <w:p w14:paraId="5BC9FE50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2C76DA">
              <w:rPr>
                <w:rFonts w:cs="Arial"/>
                <w:sz w:val="20"/>
                <w:szCs w:val="20"/>
              </w:rPr>
              <w:t xml:space="preserve">Multiple </w:t>
            </w:r>
            <w:proofErr w:type="spellStart"/>
            <w:r w:rsidRPr="002C76DA">
              <w:rPr>
                <w:rFonts w:cs="Arial"/>
                <w:sz w:val="20"/>
                <w:szCs w:val="20"/>
              </w:rPr>
              <w:t>VFs</w:t>
            </w:r>
            <w:proofErr w:type="spellEnd"/>
            <w:r w:rsidRPr="002C76DA">
              <w:rPr>
                <w:rFonts w:cs="Arial"/>
                <w:sz w:val="20"/>
                <w:szCs w:val="20"/>
              </w:rPr>
              <w:t xml:space="preserve"> (L4, L5, T7, T9), FF</w:t>
            </w:r>
          </w:p>
        </w:tc>
        <w:tc>
          <w:tcPr>
            <w:tcW w:w="0" w:type="auto"/>
            <w:hideMark/>
          </w:tcPr>
          <w:p w14:paraId="6F2E2C7C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FN −2.1; Spine −1.8; Hip −1.8</w:t>
            </w:r>
          </w:p>
        </w:tc>
        <w:tc>
          <w:tcPr>
            <w:tcW w:w="0" w:type="auto"/>
            <w:hideMark/>
          </w:tcPr>
          <w:p w14:paraId="596D80B0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IgA lambda, M-spike 3.7 g/L, no Bence-Jones</w:t>
            </w:r>
          </w:p>
          <w:p w14:paraId="58EED2A7" w14:textId="77777777" w:rsidR="003C0237" w:rsidRPr="002C76DA" w:rsidRDefault="003C0237" w:rsidP="007C2A3A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Intermediate risk (at least)</w:t>
            </w:r>
          </w:p>
        </w:tc>
        <w:tc>
          <w:tcPr>
            <w:tcW w:w="0" w:type="auto"/>
            <w:hideMark/>
          </w:tcPr>
          <w:p w14:paraId="5D142E07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 xml:space="preserve">TPT contraindicated → Risedronate switched to zoledronate </w:t>
            </w:r>
          </w:p>
        </w:tc>
        <w:tc>
          <w:tcPr>
            <w:tcW w:w="0" w:type="auto"/>
            <w:hideMark/>
          </w:tcPr>
          <w:p w14:paraId="6A36A8D1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None (GP only)</w:t>
            </w:r>
          </w:p>
        </w:tc>
      </w:tr>
      <w:tr w:rsidR="003C0237" w:rsidRPr="002C76DA" w14:paraId="0B6B4757" w14:textId="77777777" w:rsidTr="007C2A3A">
        <w:tc>
          <w:tcPr>
            <w:tcW w:w="0" w:type="auto"/>
            <w:hideMark/>
          </w:tcPr>
          <w:p w14:paraId="24F059AC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hideMark/>
          </w:tcPr>
          <w:p w14:paraId="33ACDB2D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0" w:type="auto"/>
            <w:hideMark/>
          </w:tcPr>
          <w:p w14:paraId="09610FF6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76</w:t>
            </w:r>
          </w:p>
        </w:tc>
        <w:tc>
          <w:tcPr>
            <w:tcW w:w="0" w:type="auto"/>
            <w:hideMark/>
          </w:tcPr>
          <w:p w14:paraId="6BAE1633" w14:textId="77777777" w:rsidR="003C0237" w:rsidRPr="002C76DA" w:rsidRDefault="003C0237" w:rsidP="007C2A3A">
            <w:pPr>
              <w:spacing w:line="240" w:lineRule="auto"/>
              <w:rPr>
                <w:sz w:val="20"/>
                <w:lang w:val="it-IT"/>
              </w:rPr>
            </w:pPr>
            <w:r w:rsidRPr="002C76DA">
              <w:rPr>
                <w:sz w:val="20"/>
                <w:lang w:val="it-IT"/>
              </w:rPr>
              <w:t>Epilepsy, COPD/OSA, cognitive disorders</w:t>
            </w:r>
          </w:p>
        </w:tc>
        <w:tc>
          <w:tcPr>
            <w:tcW w:w="0" w:type="auto"/>
            <w:hideMark/>
          </w:tcPr>
          <w:p w14:paraId="10968775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Multiple VFs, wrist fracture</w:t>
            </w:r>
          </w:p>
        </w:tc>
        <w:tc>
          <w:tcPr>
            <w:tcW w:w="0" w:type="auto"/>
            <w:hideMark/>
          </w:tcPr>
          <w:p w14:paraId="79D760C0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Spine −4.8; FN −1.9; Hip −1.3</w:t>
            </w:r>
          </w:p>
        </w:tc>
        <w:tc>
          <w:tcPr>
            <w:tcW w:w="0" w:type="auto"/>
            <w:hideMark/>
          </w:tcPr>
          <w:p w14:paraId="56A7B05E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Ig subtype not specified, M-spike 6.4 g/L</w:t>
            </w:r>
          </w:p>
          <w:p w14:paraId="7A25E17C" w14:textId="77777777" w:rsidR="003C0237" w:rsidRPr="002C76DA" w:rsidRDefault="003C0237" w:rsidP="007C2A3A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Undetermined</w:t>
            </w:r>
          </w:p>
        </w:tc>
        <w:tc>
          <w:tcPr>
            <w:tcW w:w="0" w:type="auto"/>
            <w:hideMark/>
          </w:tcPr>
          <w:p w14:paraId="1A483C00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TPT contraindicated → Anti-resorptive (unspecified)</w:t>
            </w:r>
          </w:p>
        </w:tc>
        <w:tc>
          <w:tcPr>
            <w:tcW w:w="0" w:type="auto"/>
            <w:hideMark/>
          </w:tcPr>
          <w:p w14:paraId="6032797B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Initial hematologic, then GP</w:t>
            </w:r>
          </w:p>
        </w:tc>
      </w:tr>
      <w:tr w:rsidR="003C0237" w:rsidRPr="002C76DA" w14:paraId="5CC00668" w14:textId="77777777" w:rsidTr="007C2A3A">
        <w:tc>
          <w:tcPr>
            <w:tcW w:w="0" w:type="auto"/>
            <w:hideMark/>
          </w:tcPr>
          <w:p w14:paraId="2D9C9E69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hideMark/>
          </w:tcPr>
          <w:p w14:paraId="6C75F8C2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F</w:t>
            </w:r>
          </w:p>
        </w:tc>
        <w:tc>
          <w:tcPr>
            <w:tcW w:w="0" w:type="auto"/>
            <w:hideMark/>
          </w:tcPr>
          <w:p w14:paraId="04D529C9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 xml:space="preserve">89 </w:t>
            </w:r>
          </w:p>
        </w:tc>
        <w:tc>
          <w:tcPr>
            <w:tcW w:w="0" w:type="auto"/>
            <w:hideMark/>
          </w:tcPr>
          <w:p w14:paraId="00B0A884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HBP, asthma, dyslipidemia</w:t>
            </w:r>
          </w:p>
        </w:tc>
        <w:tc>
          <w:tcPr>
            <w:tcW w:w="0" w:type="auto"/>
            <w:hideMark/>
          </w:tcPr>
          <w:p w14:paraId="143D6EAD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Multiple VFs (T7–T8)</w:t>
            </w:r>
          </w:p>
        </w:tc>
        <w:tc>
          <w:tcPr>
            <w:tcW w:w="0" w:type="auto"/>
            <w:hideMark/>
          </w:tcPr>
          <w:p w14:paraId="13CBA876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Spine −0.4; Wrist −1.7</w:t>
            </w:r>
          </w:p>
        </w:tc>
        <w:tc>
          <w:tcPr>
            <w:tcW w:w="0" w:type="auto"/>
            <w:hideMark/>
          </w:tcPr>
          <w:p w14:paraId="070A6C08" w14:textId="77777777" w:rsidR="003C0237" w:rsidRPr="002C76DA" w:rsidRDefault="003C0237" w:rsidP="007C2A3A">
            <w:pPr>
              <w:spacing w:line="240" w:lineRule="auto"/>
              <w:rPr>
                <w:sz w:val="20"/>
              </w:rPr>
            </w:pPr>
            <w:r w:rsidRPr="002C76DA">
              <w:rPr>
                <w:sz w:val="20"/>
              </w:rPr>
              <w:t xml:space="preserve">IgM kappa, M-spike 1.4 g/L, </w:t>
            </w:r>
            <w:proofErr w:type="spellStart"/>
            <w:r w:rsidRPr="002C76DA">
              <w:rPr>
                <w:sz w:val="20"/>
              </w:rPr>
              <w:t>hypogammaglobulinemia</w:t>
            </w:r>
            <w:proofErr w:type="spellEnd"/>
          </w:p>
          <w:p w14:paraId="35DF30BB" w14:textId="77777777" w:rsidR="003C0237" w:rsidRPr="002C76DA" w:rsidRDefault="003C0237" w:rsidP="007C2A3A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Intermediate risk (at least)</w:t>
            </w:r>
          </w:p>
        </w:tc>
        <w:tc>
          <w:tcPr>
            <w:tcW w:w="0" w:type="auto"/>
            <w:hideMark/>
          </w:tcPr>
          <w:p w14:paraId="4E5D5282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 xml:space="preserve">TPT contraindicated → Zoledronate </w:t>
            </w:r>
          </w:p>
        </w:tc>
        <w:tc>
          <w:tcPr>
            <w:tcW w:w="0" w:type="auto"/>
            <w:hideMark/>
          </w:tcPr>
          <w:p w14:paraId="6D331BD7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None</w:t>
            </w:r>
          </w:p>
        </w:tc>
      </w:tr>
      <w:tr w:rsidR="003C0237" w:rsidRPr="002C76DA" w14:paraId="031057F9" w14:textId="77777777" w:rsidTr="007C2A3A">
        <w:tc>
          <w:tcPr>
            <w:tcW w:w="0" w:type="auto"/>
            <w:hideMark/>
          </w:tcPr>
          <w:p w14:paraId="4DC2B4FF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hideMark/>
          </w:tcPr>
          <w:p w14:paraId="41A68616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F</w:t>
            </w:r>
          </w:p>
        </w:tc>
        <w:tc>
          <w:tcPr>
            <w:tcW w:w="0" w:type="auto"/>
            <w:hideMark/>
          </w:tcPr>
          <w:p w14:paraId="2C72BF9A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69</w:t>
            </w:r>
          </w:p>
        </w:tc>
        <w:tc>
          <w:tcPr>
            <w:tcW w:w="0" w:type="auto"/>
            <w:hideMark/>
          </w:tcPr>
          <w:p w14:paraId="492D46F8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RA, multiple peripheral fractures</w:t>
            </w:r>
          </w:p>
        </w:tc>
        <w:tc>
          <w:tcPr>
            <w:tcW w:w="0" w:type="auto"/>
            <w:hideMark/>
          </w:tcPr>
          <w:p w14:paraId="690871A2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2C76DA">
              <w:rPr>
                <w:rFonts w:cs="Arial"/>
                <w:sz w:val="20"/>
                <w:szCs w:val="20"/>
              </w:rPr>
              <w:t xml:space="preserve">Multiple </w:t>
            </w:r>
            <w:proofErr w:type="spellStart"/>
            <w:r w:rsidRPr="002C76DA">
              <w:rPr>
                <w:rFonts w:cs="Arial"/>
                <w:sz w:val="20"/>
                <w:szCs w:val="20"/>
              </w:rPr>
              <w:t>VFs</w:t>
            </w:r>
            <w:proofErr w:type="spellEnd"/>
            <w:r w:rsidRPr="002C76DA">
              <w:rPr>
                <w:rFonts w:cs="Arial"/>
                <w:sz w:val="20"/>
                <w:szCs w:val="20"/>
              </w:rPr>
              <w:t xml:space="preserve"> (T6–T7), sacrum, </w:t>
            </w:r>
            <w:proofErr w:type="spellStart"/>
            <w:r w:rsidRPr="002C76DA">
              <w:rPr>
                <w:rFonts w:cs="Arial"/>
                <w:sz w:val="20"/>
                <w:szCs w:val="20"/>
              </w:rPr>
              <w:t>metatarsals</w:t>
            </w:r>
            <w:proofErr w:type="spellEnd"/>
          </w:p>
        </w:tc>
        <w:tc>
          <w:tcPr>
            <w:tcW w:w="0" w:type="auto"/>
            <w:hideMark/>
          </w:tcPr>
          <w:p w14:paraId="03FC3004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Spine −0.2; Hip −1.0</w:t>
            </w:r>
          </w:p>
        </w:tc>
        <w:tc>
          <w:tcPr>
            <w:tcW w:w="0" w:type="auto"/>
            <w:hideMark/>
          </w:tcPr>
          <w:p w14:paraId="7CCACCF6" w14:textId="77777777" w:rsidR="003C0237" w:rsidRPr="002C76DA" w:rsidRDefault="003C0237" w:rsidP="007C2A3A">
            <w:pPr>
              <w:spacing w:line="240" w:lineRule="auto"/>
              <w:rPr>
                <w:sz w:val="20"/>
                <w:lang w:val="nl-NL"/>
              </w:rPr>
            </w:pPr>
            <w:r w:rsidRPr="002C76DA">
              <w:rPr>
                <w:sz w:val="20"/>
                <w:lang w:val="nl-NL"/>
              </w:rPr>
              <w:t>IgG kappa, M-spike 1.5 g/L</w:t>
            </w:r>
          </w:p>
          <w:p w14:paraId="0B25EC76" w14:textId="77777777" w:rsidR="003C0237" w:rsidRPr="002C76DA" w:rsidRDefault="003C0237" w:rsidP="007C2A3A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Low-risk</w:t>
            </w:r>
          </w:p>
        </w:tc>
        <w:tc>
          <w:tcPr>
            <w:tcW w:w="0" w:type="auto"/>
            <w:hideMark/>
          </w:tcPr>
          <w:p w14:paraId="48ED1E58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 xml:space="preserve">TPT contraindicated → Denosumab </w:t>
            </w:r>
          </w:p>
        </w:tc>
        <w:tc>
          <w:tcPr>
            <w:tcW w:w="0" w:type="auto"/>
            <w:hideMark/>
          </w:tcPr>
          <w:p w14:paraId="4BB1E7A4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Not documented</w:t>
            </w:r>
          </w:p>
        </w:tc>
      </w:tr>
      <w:tr w:rsidR="003C0237" w:rsidRPr="002C76DA" w14:paraId="487D07D8" w14:textId="77777777" w:rsidTr="007C2A3A">
        <w:tc>
          <w:tcPr>
            <w:tcW w:w="0" w:type="auto"/>
            <w:hideMark/>
          </w:tcPr>
          <w:p w14:paraId="250B9352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hideMark/>
          </w:tcPr>
          <w:p w14:paraId="481F7C8B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F</w:t>
            </w:r>
          </w:p>
        </w:tc>
        <w:tc>
          <w:tcPr>
            <w:tcW w:w="0" w:type="auto"/>
            <w:hideMark/>
          </w:tcPr>
          <w:p w14:paraId="7AF9C379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64</w:t>
            </w:r>
          </w:p>
        </w:tc>
        <w:tc>
          <w:tcPr>
            <w:tcW w:w="0" w:type="auto"/>
            <w:hideMark/>
          </w:tcPr>
          <w:p w14:paraId="5ACCF723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Thyroid disease, menopause at 50, former smoker</w:t>
            </w:r>
          </w:p>
        </w:tc>
        <w:tc>
          <w:tcPr>
            <w:tcW w:w="0" w:type="auto"/>
            <w:hideMark/>
          </w:tcPr>
          <w:p w14:paraId="0431CF10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Multiple VFs (L4, later L5)</w:t>
            </w:r>
          </w:p>
        </w:tc>
        <w:tc>
          <w:tcPr>
            <w:tcW w:w="0" w:type="auto"/>
            <w:hideMark/>
          </w:tcPr>
          <w:p w14:paraId="05E14805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Spine −4.1; FN −2.1; Hip −2.4 (2019); Spine −3.3 (2023)</w:t>
            </w:r>
          </w:p>
        </w:tc>
        <w:tc>
          <w:tcPr>
            <w:tcW w:w="0" w:type="auto"/>
            <w:hideMark/>
          </w:tcPr>
          <w:p w14:paraId="2E94ABED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IgG kappa, M-spike 3.6 g/L, normal FLC ratio</w:t>
            </w:r>
          </w:p>
          <w:p w14:paraId="18948136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b/>
                <w:bCs/>
                <w:sz w:val="20"/>
                <w:szCs w:val="20"/>
                <w:lang w:val="en-US"/>
              </w:rPr>
              <w:t>Low-risk</w:t>
            </w:r>
          </w:p>
        </w:tc>
        <w:tc>
          <w:tcPr>
            <w:tcW w:w="0" w:type="auto"/>
            <w:hideMark/>
          </w:tcPr>
          <w:p w14:paraId="142DAD7E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TPT contraindicated → Alendronate → Zoledronate, switch planned to Denosumab</w:t>
            </w:r>
          </w:p>
        </w:tc>
        <w:tc>
          <w:tcPr>
            <w:tcW w:w="0" w:type="auto"/>
            <w:hideMark/>
          </w:tcPr>
          <w:p w14:paraId="37656914" w14:textId="77777777" w:rsidR="003C0237" w:rsidRPr="002C76DA" w:rsidRDefault="003C0237" w:rsidP="007C2A3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C76DA">
              <w:rPr>
                <w:rFonts w:cs="Arial"/>
                <w:sz w:val="20"/>
                <w:szCs w:val="20"/>
                <w:lang w:val="en-US"/>
              </w:rPr>
              <w:t>None</w:t>
            </w:r>
          </w:p>
        </w:tc>
      </w:tr>
    </w:tbl>
    <w:p w14:paraId="7FA2D2AA" w14:textId="77777777" w:rsidR="003C0237" w:rsidRPr="002C76DA" w:rsidRDefault="003C0237" w:rsidP="003C0237">
      <w:pPr>
        <w:rPr>
          <w:rFonts w:cs="Arial"/>
          <w:sz w:val="18"/>
          <w:szCs w:val="18"/>
          <w:lang w:val="en-US"/>
        </w:rPr>
      </w:pPr>
    </w:p>
    <w:p w14:paraId="2478C4DC" w14:textId="77777777" w:rsidR="003C0237" w:rsidRPr="002C76DA" w:rsidRDefault="003C0237" w:rsidP="003C0237">
      <w:pPr>
        <w:rPr>
          <w:rFonts w:cs="Arial"/>
          <w:sz w:val="18"/>
          <w:szCs w:val="18"/>
          <w:lang w:val="en-US"/>
        </w:rPr>
      </w:pPr>
      <w:r w:rsidRPr="002C76DA">
        <w:rPr>
          <w:rFonts w:cs="Arial"/>
          <w:sz w:val="18"/>
          <w:szCs w:val="18"/>
          <w:lang w:val="en-US"/>
        </w:rPr>
        <w:t>Abbreviations: BMD = bone mineral density; COPD = chronic obstructive pulmonary disease; FLC = free light chain; FN = femoral neck; GP = general practitioner; HBP = high blood pressure; Ig = immunoglobulin (IgA, IgG, IgM); MGUS = monoclonal gammopathy of undetermined significance; M-spike = monoclonal protein spike (serum protein electrophoresis); OP = osteoporosis; OSA = obstructive sleep apnea; RA = rheumatoid arthritis; TPT = teriparatide; VF = vertebral fractures.</w:t>
      </w:r>
    </w:p>
    <w:p w14:paraId="48250490" w14:textId="77777777" w:rsidR="003C0237" w:rsidRPr="003C0237" w:rsidRDefault="003C0237" w:rsidP="003C0237">
      <w:pPr>
        <w:rPr>
          <w:lang w:val="en-US"/>
        </w:rPr>
      </w:pPr>
    </w:p>
    <w:p w14:paraId="271C5F4D" w14:textId="4F2CDD95" w:rsidR="003C0237" w:rsidRPr="003C0237" w:rsidRDefault="003C0237" w:rsidP="003C0237">
      <w:pPr>
        <w:spacing w:after="160" w:line="259" w:lineRule="auto"/>
        <w:rPr>
          <w:rFonts w:cs="Arial"/>
          <w:szCs w:val="22"/>
          <w:lang w:val="en-US"/>
        </w:rPr>
      </w:pPr>
    </w:p>
    <w:p w14:paraId="0680C626" w14:textId="77777777" w:rsidR="003C0237" w:rsidRPr="002C76DA" w:rsidRDefault="003C0237" w:rsidP="003C0237">
      <w:pPr>
        <w:rPr>
          <w:rFonts w:cs="Arial"/>
          <w:sz w:val="18"/>
          <w:szCs w:val="18"/>
          <w:lang w:val="en-US"/>
        </w:rPr>
        <w:sectPr w:rsidR="003C0237" w:rsidRPr="002C76DA" w:rsidSect="003C0237">
          <w:pgSz w:w="16840" w:h="11900" w:orient="landscape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0A9FCD10" w14:textId="77777777" w:rsidR="00AF6471" w:rsidRPr="003C0237" w:rsidRDefault="00AF6471" w:rsidP="003C0237">
      <w:pPr>
        <w:rPr>
          <w:lang w:val="en-US"/>
        </w:rPr>
      </w:pPr>
    </w:p>
    <w:sectPr w:rsidR="00AF6471" w:rsidRPr="003C0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37"/>
    <w:rsid w:val="003C0237"/>
    <w:rsid w:val="00AF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DDCD3"/>
  <w15:chartTrackingRefBased/>
  <w15:docId w15:val="{DC40C57C-212C-4702-9965-23AC637E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237"/>
    <w:pPr>
      <w:spacing w:after="0" w:line="278" w:lineRule="auto"/>
    </w:pPr>
    <w:rPr>
      <w:rFonts w:ascii="Arial" w:eastAsia="Times New Roman" w:hAnsi="Arial" w:cs="Times New Roman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C023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Feuil1!$K$34</c:f>
              <c:strCache>
                <c:ptCount val="1"/>
                <c:pt idx="0">
                  <c:v>Number of patients</c:v>
                </c:pt>
              </c:strCache>
            </c:strRef>
          </c:tx>
          <c:dPt>
            <c:idx val="0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5D9-4F14-B736-FBE7E8B50E0A}"/>
              </c:ext>
            </c:extLst>
          </c:dPt>
          <c:dPt>
            <c:idx val="1"/>
            <c:bubble3D val="0"/>
            <c:spPr>
              <a:solidFill>
                <a:schemeClr val="accent1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5D9-4F14-B736-FBE7E8B50E0A}"/>
              </c:ext>
            </c:extLst>
          </c:dPt>
          <c:dPt>
            <c:idx val="2"/>
            <c:bubble3D val="0"/>
            <c:spPr>
              <a:solidFill>
                <a:schemeClr val="accent5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5D9-4F14-B736-FBE7E8B50E0A}"/>
              </c:ext>
            </c:extLst>
          </c:dPt>
          <c:dPt>
            <c:idx val="3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5D9-4F14-B736-FBE7E8B50E0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5D9-4F14-B736-FBE7E8B50E0A}"/>
              </c:ext>
            </c:extLst>
          </c:dPt>
          <c:dPt>
            <c:idx val="5"/>
            <c:bubble3D val="0"/>
            <c:spPr>
              <a:solidFill>
                <a:schemeClr val="bg1">
                  <a:lumMod val="8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25D9-4F14-B736-FBE7E8B50E0A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5D9-4F14-B736-FBE7E8B50E0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aseline="0"/>
                      <a:t>13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5D9-4F14-B736-FBE7E8B50E0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aseline="0"/>
                      <a:t>1</a:t>
                    </a:r>
                    <a:endParaRPr lang="en-US"/>
                  </a:p>
                </c:rich>
              </c:tx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5D9-4F14-B736-FBE7E8B50E0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25D9-4F14-B736-FBE7E8B50E0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25D9-4F14-B736-FBE7E8B50E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Feuil1!$L$33:$Q$33</c:f>
              <c:strCache>
                <c:ptCount val="6"/>
                <c:pt idx="0">
                  <c:v>Denosumab</c:v>
                </c:pt>
                <c:pt idx="1">
                  <c:v>Zoledronic acid </c:v>
                </c:pt>
                <c:pt idx="2">
                  <c:v>Alendronate</c:v>
                </c:pt>
                <c:pt idx="3">
                  <c:v>Risedronate</c:v>
                </c:pt>
                <c:pt idx="5">
                  <c:v>No relay</c:v>
                </c:pt>
              </c:strCache>
            </c:strRef>
          </c:cat>
          <c:val>
            <c:numRef>
              <c:f>Feuil1!$L$34:$Q$34</c:f>
              <c:numCache>
                <c:formatCode>General</c:formatCode>
                <c:ptCount val="6"/>
                <c:pt idx="0">
                  <c:v>6</c:v>
                </c:pt>
                <c:pt idx="1">
                  <c:v>13</c:v>
                </c:pt>
                <c:pt idx="2">
                  <c:v>1</c:v>
                </c:pt>
                <c:pt idx="3">
                  <c:v>1</c:v>
                </c:pt>
                <c:pt idx="5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5D9-4F14-B736-FBE7E8B50E0A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4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316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Philippoteaux</dc:creator>
  <cp:keywords/>
  <dc:description/>
  <cp:lastModifiedBy>Cécile Philippoteaux</cp:lastModifiedBy>
  <cp:revision>1</cp:revision>
  <dcterms:created xsi:type="dcterms:W3CDTF">2025-11-06T15:55:00Z</dcterms:created>
  <dcterms:modified xsi:type="dcterms:W3CDTF">2025-11-06T15:56:00Z</dcterms:modified>
</cp:coreProperties>
</file>