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451" w:rsidRPr="00C3264B" w:rsidRDefault="00681451" w:rsidP="00C3264B">
      <w:pPr>
        <w:pStyle w:val="PlainText"/>
        <w:spacing w:line="480" w:lineRule="auto"/>
        <w:jc w:val="center"/>
        <w:rPr>
          <w:rFonts w:ascii="Times New Roman" w:hAnsi="Times New Roman" w:cs="Times New Roman"/>
          <w:b/>
          <w:sz w:val="28"/>
          <w:szCs w:val="28"/>
        </w:rPr>
      </w:pPr>
      <w:r w:rsidRPr="00C3264B">
        <w:rPr>
          <w:rFonts w:ascii="Times New Roman" w:hAnsi="Times New Roman" w:cs="Times New Roman"/>
          <w:b/>
          <w:sz w:val="28"/>
          <w:szCs w:val="28"/>
        </w:rPr>
        <w:t>Do increasing respiratory costs explain the</w:t>
      </w:r>
      <w:bookmarkStart w:id="0" w:name="_GoBack"/>
      <w:bookmarkEnd w:id="0"/>
      <w:r w:rsidRPr="00C3264B">
        <w:rPr>
          <w:rFonts w:ascii="Times New Roman" w:hAnsi="Times New Roman" w:cs="Times New Roman"/>
          <w:b/>
          <w:sz w:val="28"/>
          <w:szCs w:val="28"/>
        </w:rPr>
        <w:t xml:space="preserve"> decline with age of forest growth rate?</w:t>
      </w:r>
    </w:p>
    <w:p w:rsidR="00681451" w:rsidRPr="00C3264B" w:rsidRDefault="00681451" w:rsidP="00C3264B">
      <w:pPr>
        <w:pStyle w:val="PlainText"/>
        <w:spacing w:line="480" w:lineRule="auto"/>
        <w:jc w:val="center"/>
        <w:rPr>
          <w:rFonts w:ascii="Times New Roman" w:hAnsi="Times New Roman" w:cs="Times New Roman"/>
          <w:b/>
          <w:sz w:val="24"/>
          <w:szCs w:val="24"/>
        </w:rPr>
      </w:pPr>
      <w:r w:rsidRPr="00C3264B">
        <w:rPr>
          <w:rFonts w:ascii="Times New Roman" w:hAnsi="Times New Roman" w:cs="Times New Roman"/>
          <w:b/>
          <w:sz w:val="24"/>
          <w:szCs w:val="24"/>
        </w:rPr>
        <w:t>P.W. West</w:t>
      </w:r>
    </w:p>
    <w:p w:rsidR="00DA21A9" w:rsidRPr="00681451" w:rsidRDefault="00DA21A9" w:rsidP="00C3264B">
      <w:pPr>
        <w:pStyle w:val="PlainText"/>
        <w:spacing w:line="480" w:lineRule="auto"/>
        <w:jc w:val="center"/>
        <w:rPr>
          <w:rFonts w:ascii="Times New Roman" w:hAnsi="Times New Roman" w:cs="Times New Roman"/>
          <w:b/>
          <w:sz w:val="26"/>
          <w:szCs w:val="26"/>
        </w:rPr>
      </w:pPr>
      <w:r w:rsidRPr="00681451">
        <w:rPr>
          <w:rFonts w:ascii="Times New Roman" w:hAnsi="Times New Roman" w:cs="Times New Roman"/>
          <w:b/>
          <w:sz w:val="26"/>
          <w:szCs w:val="26"/>
        </w:rPr>
        <w:t>Supplementary Appendices A-D</w:t>
      </w:r>
    </w:p>
    <w:p w:rsidR="00DA21A9" w:rsidRPr="00C3264B" w:rsidRDefault="00DA21A9" w:rsidP="00C3264B">
      <w:pPr>
        <w:spacing w:before="240" w:after="0" w:line="480" w:lineRule="auto"/>
        <w:jc w:val="both"/>
        <w:rPr>
          <w:rFonts w:ascii="Times New Roman" w:hAnsi="Times New Roman" w:cs="Times New Roman"/>
          <w:b/>
          <w:sz w:val="26"/>
          <w:szCs w:val="26"/>
        </w:rPr>
      </w:pPr>
      <w:r w:rsidRPr="00C3264B">
        <w:rPr>
          <w:rFonts w:ascii="Times New Roman" w:hAnsi="Times New Roman" w:cs="Times New Roman"/>
          <w:b/>
          <w:sz w:val="26"/>
          <w:szCs w:val="26"/>
          <w:u w:val="single"/>
        </w:rPr>
        <w:t>Supplementary Appendix A.</w:t>
      </w:r>
      <w:r w:rsidRPr="00C3264B">
        <w:rPr>
          <w:rFonts w:ascii="Times New Roman" w:hAnsi="Times New Roman" w:cs="Times New Roman"/>
          <w:b/>
          <w:sz w:val="26"/>
          <w:szCs w:val="26"/>
        </w:rPr>
        <w:t xml:space="preserve">    </w:t>
      </w:r>
    </w:p>
    <w:p w:rsidR="00DA21A9" w:rsidRPr="0098752C" w:rsidRDefault="00DA21A9" w:rsidP="00DA21A9">
      <w:pPr>
        <w:spacing w:before="240" w:after="0" w:line="480" w:lineRule="auto"/>
        <w:jc w:val="both"/>
        <w:rPr>
          <w:rFonts w:ascii="Times New Roman" w:hAnsi="Times New Roman" w:cs="Times New Roman"/>
          <w:b/>
          <w:sz w:val="26"/>
          <w:szCs w:val="26"/>
        </w:rPr>
      </w:pPr>
      <w:r w:rsidRPr="0098752C">
        <w:rPr>
          <w:rFonts w:ascii="Times New Roman" w:hAnsi="Times New Roman" w:cs="Times New Roman"/>
          <w:b/>
          <w:sz w:val="26"/>
          <w:szCs w:val="26"/>
        </w:rPr>
        <w:t>Methods to measure GPP and NPP</w:t>
      </w:r>
    </w:p>
    <w:p w:rsidR="00DA21A9" w:rsidRPr="0098752C" w:rsidRDefault="00DA21A9" w:rsidP="00DA21A9">
      <w:pPr>
        <w:pStyle w:val="PlainText"/>
        <w:spacing w:before="240" w:after="240" w:line="480" w:lineRule="auto"/>
        <w:jc w:val="both"/>
        <w:rPr>
          <w:rFonts w:ascii="Times New Roman" w:hAnsi="Times New Roman" w:cs="Times New Roman"/>
          <w:b/>
          <w:sz w:val="24"/>
          <w:szCs w:val="24"/>
        </w:rPr>
      </w:pPr>
      <w:r w:rsidRPr="0098752C">
        <w:rPr>
          <w:rFonts w:ascii="Times New Roman" w:hAnsi="Times New Roman" w:cs="Times New Roman"/>
          <w:b/>
          <w:sz w:val="24"/>
          <w:szCs w:val="24"/>
        </w:rPr>
        <w:t>Biomass pool methods</w:t>
      </w:r>
    </w:p>
    <w:p w:rsidR="00DA21A9" w:rsidRPr="0098752C" w:rsidRDefault="00DA21A9" w:rsidP="00DA21A9">
      <w:pPr>
        <w:pStyle w:val="PlainText"/>
        <w:spacing w:before="120" w:line="480" w:lineRule="auto"/>
        <w:jc w:val="both"/>
        <w:rPr>
          <w:rFonts w:ascii="Times New Roman" w:hAnsi="Times New Roman" w:cs="Times New Roman"/>
          <w:sz w:val="24"/>
          <w:szCs w:val="24"/>
          <w:lang w:val="en-US"/>
        </w:rPr>
      </w:pPr>
      <w:r w:rsidRPr="0098752C">
        <w:rPr>
          <w:rFonts w:ascii="Times New Roman" w:hAnsi="Times New Roman" w:cs="Times New Roman"/>
          <w:sz w:val="24"/>
          <w:szCs w:val="24"/>
        </w:rPr>
        <w:t>These methods are based on the principle that</w:t>
      </w:r>
      <w:r w:rsidRPr="0098752C">
        <w:rPr>
          <w:rFonts w:ascii="Times New Roman" w:hAnsi="Times New Roman" w:cs="Times New Roman"/>
          <w:sz w:val="24"/>
          <w:szCs w:val="24"/>
          <w:lang w:val="en-US"/>
        </w:rPr>
        <w:t xml:space="preserve"> NPP can be determined by measuring the oven-dry biomass of the plants in the ecosystem at the start and end of a growth period (</w:t>
      </w: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1</w:t>
      </w:r>
      <w:r w:rsidRPr="0098752C">
        <w:rPr>
          <w:rFonts w:ascii="Times New Roman" w:hAnsi="Times New Roman" w:cs="Times New Roman"/>
          <w:sz w:val="24"/>
          <w:szCs w:val="24"/>
          <w:lang w:val="en-US"/>
        </w:rPr>
        <w:t xml:space="preserve"> and </w:t>
      </w: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2</w:t>
      </w:r>
      <w:r w:rsidRPr="0098752C">
        <w:rPr>
          <w:rFonts w:ascii="Times New Roman" w:hAnsi="Times New Roman" w:cs="Times New Roman"/>
          <w:sz w:val="24"/>
          <w:szCs w:val="24"/>
          <w:lang w:val="en-US"/>
        </w:rPr>
        <w:t>, respectively, determined per unit ground area of a stand) as well as the biomass losses from them during the period (</w:t>
      </w:r>
      <w:r w:rsidRPr="0098752C">
        <w:rPr>
          <w:rFonts w:ascii="Times New Roman" w:hAnsi="Times New Roman" w:cs="Times New Roman"/>
          <w:i/>
          <w:sz w:val="24"/>
          <w:szCs w:val="24"/>
          <w:lang w:val="en-US"/>
        </w:rPr>
        <w:t>B</w:t>
      </w:r>
      <w:r w:rsidRPr="0098752C">
        <w:rPr>
          <w:rFonts w:ascii="Times New Roman" w:hAnsi="Times New Roman" w:cs="Times New Roman"/>
          <w:i/>
          <w:sz w:val="24"/>
          <w:szCs w:val="24"/>
          <w:vertAlign w:val="subscript"/>
          <w:lang w:val="en-US"/>
        </w:rPr>
        <w:t>D</w:t>
      </w:r>
      <w:r w:rsidRPr="0098752C">
        <w:rPr>
          <w:rFonts w:ascii="Times New Roman" w:hAnsi="Times New Roman" w:cs="Times New Roman"/>
          <w:sz w:val="24"/>
          <w:szCs w:val="24"/>
          <w:lang w:val="en-US"/>
        </w:rPr>
        <w:t xml:space="preserve">). Suppose </w:t>
      </w:r>
      <w:r w:rsidRPr="0098752C">
        <w:rPr>
          <w:rFonts w:ascii="Times New Roman" w:hAnsi="Times New Roman" w:cs="Times New Roman"/>
          <w:i/>
          <w:sz w:val="24"/>
          <w:szCs w:val="24"/>
          <w:lang w:val="en-US"/>
        </w:rPr>
        <w:t>B</w:t>
      </w:r>
      <w:r w:rsidRPr="0098752C">
        <w:rPr>
          <w:rFonts w:ascii="Times New Roman" w:hAnsi="Times New Roman" w:cs="Times New Roman"/>
          <w:i/>
          <w:sz w:val="24"/>
          <w:szCs w:val="24"/>
          <w:vertAlign w:val="subscript"/>
          <w:lang w:val="en-US"/>
        </w:rPr>
        <w:t xml:space="preserve">L </w:t>
      </w:r>
      <w:r w:rsidRPr="0098752C">
        <w:rPr>
          <w:rFonts w:ascii="Times New Roman" w:hAnsi="Times New Roman" w:cs="Times New Roman"/>
          <w:sz w:val="24"/>
          <w:szCs w:val="24"/>
          <w:lang w:val="en-US"/>
        </w:rPr>
        <w:t>is the biomass at the start of the growth period of the plants that survive the period (</w:t>
      </w:r>
      <w:r w:rsidRPr="0098752C">
        <w:rPr>
          <w:rFonts w:ascii="Times New Roman" w:hAnsi="Times New Roman" w:cs="Times New Roman"/>
          <w:i/>
          <w:sz w:val="24"/>
          <w:szCs w:val="24"/>
          <w:lang w:val="en-US"/>
        </w:rPr>
        <w:t>B</w:t>
      </w:r>
      <w:r w:rsidRPr="0098752C">
        <w:rPr>
          <w:rFonts w:ascii="Times New Roman" w:hAnsi="Times New Roman" w:cs="Times New Roman"/>
          <w:i/>
          <w:sz w:val="24"/>
          <w:szCs w:val="24"/>
          <w:vertAlign w:val="subscript"/>
          <w:lang w:val="en-US"/>
        </w:rPr>
        <w:t>L</w:t>
      </w:r>
      <w:r w:rsidRPr="0098752C">
        <w:rPr>
          <w:rFonts w:ascii="Times New Roman" w:hAnsi="Times New Roman" w:cs="Times New Roman"/>
          <w:sz w:val="24"/>
          <w:szCs w:val="24"/>
          <w:lang w:val="en-US"/>
        </w:rPr>
        <w:t>≤</w:t>
      </w: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1</w:t>
      </w:r>
      <w:r w:rsidRPr="0098752C">
        <w:rPr>
          <w:rFonts w:ascii="Times New Roman" w:hAnsi="Times New Roman" w:cs="Times New Roman"/>
          <w:sz w:val="24"/>
          <w:szCs w:val="24"/>
          <w:lang w:val="en-US"/>
        </w:rPr>
        <w:t>). Then:</w:t>
      </w:r>
    </w:p>
    <w:p w:rsidR="00DA21A9" w:rsidRPr="0098752C" w:rsidRDefault="00DA21A9" w:rsidP="00DA21A9">
      <w:pPr>
        <w:pStyle w:val="PlainText"/>
        <w:spacing w:before="120" w:line="480" w:lineRule="auto"/>
        <w:jc w:val="both"/>
        <w:rPr>
          <w:rFonts w:ascii="Times New Roman" w:hAnsi="Times New Roman" w:cs="Times New Roman"/>
          <w:sz w:val="24"/>
          <w:szCs w:val="24"/>
          <w:lang w:val="en-US"/>
        </w:rPr>
      </w:pP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1</w:t>
      </w:r>
      <w:r w:rsidRPr="0098752C">
        <w:rPr>
          <w:rFonts w:ascii="Times New Roman" w:hAnsi="Times New Roman" w:cs="Times New Roman"/>
          <w:sz w:val="24"/>
          <w:szCs w:val="24"/>
          <w:lang w:val="en-US"/>
        </w:rPr>
        <w:t xml:space="preserve"> = </w:t>
      </w:r>
      <w:r w:rsidRPr="0098752C">
        <w:rPr>
          <w:rFonts w:ascii="Times New Roman" w:hAnsi="Times New Roman" w:cs="Times New Roman"/>
          <w:i/>
          <w:sz w:val="24"/>
          <w:szCs w:val="24"/>
          <w:lang w:val="en-US"/>
        </w:rPr>
        <w:t>B</w:t>
      </w:r>
      <w:r w:rsidRPr="0098752C">
        <w:rPr>
          <w:rFonts w:ascii="Times New Roman" w:hAnsi="Times New Roman" w:cs="Times New Roman"/>
          <w:i/>
          <w:sz w:val="24"/>
          <w:szCs w:val="24"/>
          <w:vertAlign w:val="subscript"/>
          <w:lang w:val="en-US"/>
        </w:rPr>
        <w:t>L</w:t>
      </w:r>
      <w:r w:rsidRPr="0098752C">
        <w:rPr>
          <w:rFonts w:ascii="Times New Roman" w:hAnsi="Times New Roman" w:cs="Times New Roman"/>
          <w:i/>
          <w:sz w:val="24"/>
          <w:szCs w:val="24"/>
          <w:lang w:val="en-US"/>
        </w:rPr>
        <w:t xml:space="preserve"> </w:t>
      </w:r>
      <w:r w:rsidRPr="0098752C">
        <w:rPr>
          <w:rFonts w:ascii="Times New Roman" w:hAnsi="Times New Roman" w:cs="Times New Roman"/>
          <w:sz w:val="24"/>
          <w:szCs w:val="24"/>
          <w:lang w:val="en-US"/>
        </w:rPr>
        <w:t xml:space="preserve">+ </w:t>
      </w:r>
      <w:r w:rsidRPr="0098752C">
        <w:rPr>
          <w:rFonts w:ascii="Times New Roman" w:hAnsi="Times New Roman" w:cs="Times New Roman"/>
          <w:i/>
          <w:sz w:val="24"/>
          <w:szCs w:val="24"/>
          <w:lang w:val="en-US"/>
        </w:rPr>
        <w:t>B</w:t>
      </w:r>
      <w:r w:rsidRPr="0098752C">
        <w:rPr>
          <w:rFonts w:ascii="Times New Roman" w:hAnsi="Times New Roman" w:cs="Times New Roman"/>
          <w:i/>
          <w:sz w:val="24"/>
          <w:szCs w:val="24"/>
          <w:vertAlign w:val="subscript"/>
          <w:lang w:val="en-US"/>
        </w:rPr>
        <w:t>D</w:t>
      </w:r>
      <w:r w:rsidRPr="0098752C">
        <w:rPr>
          <w:rFonts w:ascii="Times New Roman" w:hAnsi="Times New Roman" w:cs="Times New Roman"/>
          <w:sz w:val="24"/>
          <w:szCs w:val="24"/>
          <w:lang w:val="en-US"/>
        </w:rPr>
        <w:tab/>
        <w:t>,</w:t>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t xml:space="preserve">  </w:t>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t xml:space="preserve">     </w:t>
      </w:r>
      <w:r w:rsidR="00C47899">
        <w:rPr>
          <w:rFonts w:ascii="Times New Roman" w:hAnsi="Times New Roman" w:cs="Times New Roman"/>
          <w:sz w:val="24"/>
          <w:szCs w:val="24"/>
          <w:lang w:val="en-US"/>
        </w:rPr>
        <w:tab/>
      </w:r>
      <w:r w:rsidR="00C47899">
        <w:rPr>
          <w:rFonts w:ascii="Times New Roman" w:hAnsi="Times New Roman" w:cs="Times New Roman"/>
          <w:sz w:val="24"/>
          <w:szCs w:val="24"/>
          <w:lang w:val="en-US"/>
        </w:rPr>
        <w:tab/>
      </w:r>
      <w:r w:rsidR="00C47899">
        <w:rPr>
          <w:rFonts w:ascii="Times New Roman" w:hAnsi="Times New Roman" w:cs="Times New Roman"/>
          <w:sz w:val="24"/>
          <w:szCs w:val="24"/>
          <w:lang w:val="en-US"/>
        </w:rPr>
        <w:tab/>
      </w:r>
      <w:r w:rsidR="00C47899">
        <w:rPr>
          <w:rFonts w:ascii="Times New Roman" w:hAnsi="Times New Roman" w:cs="Times New Roman"/>
          <w:sz w:val="24"/>
          <w:szCs w:val="24"/>
          <w:lang w:val="en-US"/>
        </w:rPr>
        <w:tab/>
      </w:r>
      <w:r w:rsidR="00C47899">
        <w:rPr>
          <w:rFonts w:ascii="Times New Roman" w:hAnsi="Times New Roman" w:cs="Times New Roman"/>
          <w:sz w:val="24"/>
          <w:szCs w:val="24"/>
          <w:lang w:val="en-US"/>
        </w:rPr>
        <w:tab/>
      </w:r>
      <w:r w:rsidR="00C47899">
        <w:rPr>
          <w:rFonts w:ascii="Times New Roman" w:hAnsi="Times New Roman" w:cs="Times New Roman"/>
          <w:sz w:val="24"/>
          <w:szCs w:val="24"/>
          <w:lang w:val="en-US"/>
        </w:rPr>
        <w:tab/>
      </w:r>
      <w:r w:rsidR="00C47899">
        <w:rPr>
          <w:rFonts w:ascii="Times New Roman" w:hAnsi="Times New Roman" w:cs="Times New Roman"/>
          <w:sz w:val="24"/>
          <w:szCs w:val="24"/>
          <w:lang w:val="en-US"/>
        </w:rPr>
        <w:tab/>
      </w:r>
      <w:r w:rsidRPr="0098752C">
        <w:rPr>
          <w:rFonts w:ascii="Times New Roman" w:hAnsi="Times New Roman" w:cs="Times New Roman"/>
          <w:sz w:val="24"/>
          <w:szCs w:val="24"/>
          <w:lang w:val="en-US"/>
        </w:rPr>
        <w:t>(A.1)</w:t>
      </w:r>
    </w:p>
    <w:p w:rsidR="00DA21A9" w:rsidRPr="0098752C" w:rsidRDefault="00DA21A9" w:rsidP="00DA21A9">
      <w:pPr>
        <w:pStyle w:val="PlainText"/>
        <w:spacing w:before="120" w:line="480" w:lineRule="auto"/>
        <w:jc w:val="both"/>
        <w:rPr>
          <w:rFonts w:ascii="Times New Roman" w:hAnsi="Times New Roman" w:cs="Times New Roman"/>
          <w:sz w:val="24"/>
          <w:szCs w:val="24"/>
          <w:lang w:val="en-US"/>
        </w:rPr>
      </w:pPr>
      <w:r w:rsidRPr="0098752C">
        <w:rPr>
          <w:rFonts w:ascii="Times New Roman" w:hAnsi="Times New Roman" w:cs="Times New Roman"/>
          <w:sz w:val="24"/>
          <w:szCs w:val="24"/>
          <w:lang w:val="en-US"/>
        </w:rPr>
        <w:t>and, following the definition of NPP as biomass growth over the period (see Introduction to the main text),</w:t>
      </w:r>
    </w:p>
    <w:p w:rsidR="00DA21A9" w:rsidRPr="0098752C" w:rsidRDefault="00DA21A9" w:rsidP="00DA21A9">
      <w:pPr>
        <w:pStyle w:val="PlainText"/>
        <w:spacing w:before="120" w:line="480" w:lineRule="auto"/>
        <w:jc w:val="both"/>
        <w:rPr>
          <w:rFonts w:ascii="Times New Roman" w:hAnsi="Times New Roman" w:cs="Times New Roman"/>
          <w:sz w:val="24"/>
          <w:szCs w:val="24"/>
          <w:lang w:val="en-US"/>
        </w:rPr>
      </w:pP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2</w:t>
      </w:r>
      <w:r w:rsidRPr="0098752C">
        <w:rPr>
          <w:rFonts w:ascii="Times New Roman" w:hAnsi="Times New Roman" w:cs="Times New Roman"/>
          <w:sz w:val="24"/>
          <w:szCs w:val="24"/>
          <w:lang w:val="en-US"/>
        </w:rPr>
        <w:t xml:space="preserve"> = </w:t>
      </w:r>
      <w:r w:rsidRPr="0098752C">
        <w:rPr>
          <w:rFonts w:ascii="Times New Roman" w:hAnsi="Times New Roman" w:cs="Times New Roman"/>
          <w:i/>
          <w:sz w:val="24"/>
          <w:szCs w:val="24"/>
          <w:lang w:val="en-US"/>
        </w:rPr>
        <w:t>B</w:t>
      </w:r>
      <w:r w:rsidRPr="0098752C">
        <w:rPr>
          <w:rFonts w:ascii="Times New Roman" w:hAnsi="Times New Roman" w:cs="Times New Roman"/>
          <w:i/>
          <w:sz w:val="24"/>
          <w:szCs w:val="24"/>
          <w:vertAlign w:val="subscript"/>
          <w:lang w:val="en-US"/>
        </w:rPr>
        <w:t>L</w:t>
      </w:r>
      <w:r w:rsidRPr="0098752C">
        <w:rPr>
          <w:rFonts w:ascii="Times New Roman" w:hAnsi="Times New Roman" w:cs="Times New Roman"/>
          <w:i/>
          <w:sz w:val="24"/>
          <w:szCs w:val="24"/>
          <w:lang w:val="en-US"/>
        </w:rPr>
        <w:t xml:space="preserve"> </w:t>
      </w:r>
      <w:r w:rsidRPr="0098752C">
        <w:rPr>
          <w:rFonts w:ascii="Times New Roman" w:hAnsi="Times New Roman" w:cs="Times New Roman"/>
          <w:sz w:val="24"/>
          <w:szCs w:val="24"/>
          <w:lang w:val="en-US"/>
        </w:rPr>
        <w:t>+ NPP</w:t>
      </w:r>
      <w:r w:rsidRPr="0098752C">
        <w:rPr>
          <w:rFonts w:ascii="Times New Roman" w:hAnsi="Times New Roman" w:cs="Times New Roman"/>
          <w:sz w:val="24"/>
          <w:szCs w:val="24"/>
          <w:vertAlign w:val="subscript"/>
          <w:lang w:val="en-US"/>
        </w:rPr>
        <w:tab/>
      </w:r>
      <w:r w:rsidRPr="0098752C">
        <w:rPr>
          <w:rFonts w:ascii="Times New Roman" w:hAnsi="Times New Roman" w:cs="Times New Roman"/>
          <w:sz w:val="24"/>
          <w:szCs w:val="24"/>
          <w:lang w:val="en-US"/>
        </w:rPr>
        <w:t xml:space="preserve">   . </w:t>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t xml:space="preserve">                 </w:t>
      </w:r>
      <w:r w:rsidR="00687483">
        <w:rPr>
          <w:rFonts w:ascii="Times New Roman" w:hAnsi="Times New Roman" w:cs="Times New Roman"/>
          <w:sz w:val="24"/>
          <w:szCs w:val="24"/>
          <w:lang w:val="en-US"/>
        </w:rPr>
        <w:tab/>
      </w:r>
      <w:r w:rsidR="00687483">
        <w:rPr>
          <w:rFonts w:ascii="Times New Roman" w:hAnsi="Times New Roman" w:cs="Times New Roman"/>
          <w:sz w:val="24"/>
          <w:szCs w:val="24"/>
          <w:lang w:val="en-US"/>
        </w:rPr>
        <w:tab/>
      </w:r>
      <w:r w:rsidR="00687483">
        <w:rPr>
          <w:rFonts w:ascii="Times New Roman" w:hAnsi="Times New Roman" w:cs="Times New Roman"/>
          <w:sz w:val="24"/>
          <w:szCs w:val="24"/>
          <w:lang w:val="en-US"/>
        </w:rPr>
        <w:tab/>
      </w:r>
      <w:r w:rsidRPr="0098752C">
        <w:rPr>
          <w:rFonts w:ascii="Times New Roman" w:hAnsi="Times New Roman" w:cs="Times New Roman"/>
          <w:sz w:val="24"/>
          <w:szCs w:val="24"/>
          <w:lang w:val="en-US"/>
        </w:rPr>
        <w:t>(A.2)</w:t>
      </w:r>
    </w:p>
    <w:p w:rsidR="00DA21A9" w:rsidRPr="0098752C" w:rsidRDefault="00DA21A9" w:rsidP="00DA21A9">
      <w:pPr>
        <w:pStyle w:val="PlainText"/>
        <w:spacing w:before="120" w:line="480" w:lineRule="auto"/>
        <w:jc w:val="both"/>
        <w:rPr>
          <w:rFonts w:ascii="Times New Roman" w:hAnsi="Times New Roman" w:cs="Times New Roman"/>
          <w:sz w:val="24"/>
          <w:szCs w:val="24"/>
          <w:lang w:val="en-US"/>
        </w:rPr>
      </w:pP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1</w:t>
      </w:r>
      <w:r w:rsidRPr="0098752C">
        <w:rPr>
          <w:rFonts w:ascii="Times New Roman" w:hAnsi="Times New Roman" w:cs="Times New Roman"/>
          <w:sz w:val="24"/>
          <w:szCs w:val="24"/>
          <w:lang w:val="en-US"/>
        </w:rPr>
        <w:t xml:space="preserve">, </w:t>
      </w: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2</w:t>
      </w:r>
      <w:r w:rsidRPr="0098752C">
        <w:rPr>
          <w:rFonts w:ascii="Times New Roman" w:hAnsi="Times New Roman" w:cs="Times New Roman"/>
          <w:sz w:val="24"/>
          <w:szCs w:val="24"/>
          <w:lang w:val="en-US"/>
        </w:rPr>
        <w:t xml:space="preserve"> and </w:t>
      </w:r>
      <w:r w:rsidRPr="0098752C">
        <w:rPr>
          <w:rFonts w:ascii="Times New Roman" w:hAnsi="Times New Roman" w:cs="Times New Roman"/>
          <w:i/>
          <w:sz w:val="24"/>
          <w:szCs w:val="24"/>
          <w:lang w:val="en-US"/>
        </w:rPr>
        <w:t>B</w:t>
      </w:r>
      <w:r w:rsidRPr="0098752C">
        <w:rPr>
          <w:rFonts w:ascii="Times New Roman" w:hAnsi="Times New Roman" w:cs="Times New Roman"/>
          <w:i/>
          <w:sz w:val="24"/>
          <w:szCs w:val="24"/>
          <w:vertAlign w:val="subscript"/>
          <w:lang w:val="en-US"/>
        </w:rPr>
        <w:t>L</w:t>
      </w:r>
      <w:r w:rsidRPr="0098752C">
        <w:rPr>
          <w:rFonts w:ascii="Times New Roman" w:hAnsi="Times New Roman" w:cs="Times New Roman"/>
          <w:sz w:val="24"/>
          <w:szCs w:val="24"/>
          <w:lang w:val="en-US"/>
        </w:rPr>
        <w:t xml:space="preserve"> may all determined by measurement of the biomass of the individual plants in the ecosystem. With straightforward algebraic manipulation of Eqs. (A.1) and (A.2), it follows that NPP may be determined as:</w:t>
      </w:r>
    </w:p>
    <w:p w:rsidR="00DA21A9" w:rsidRPr="0098752C" w:rsidRDefault="00DA21A9" w:rsidP="00DA21A9">
      <w:pPr>
        <w:pStyle w:val="PlainText"/>
        <w:spacing w:before="120" w:line="480" w:lineRule="auto"/>
        <w:jc w:val="both"/>
        <w:rPr>
          <w:rFonts w:ascii="Times New Roman" w:hAnsi="Times New Roman" w:cs="Times New Roman"/>
          <w:sz w:val="24"/>
          <w:szCs w:val="24"/>
          <w:lang w:val="en-US"/>
        </w:rPr>
      </w:pPr>
      <w:r w:rsidRPr="0098752C">
        <w:rPr>
          <w:rFonts w:ascii="Times New Roman" w:hAnsi="Times New Roman" w:cs="Times New Roman"/>
          <w:sz w:val="24"/>
          <w:szCs w:val="24"/>
          <w:lang w:val="en-US"/>
        </w:rPr>
        <w:t xml:space="preserve">NPP = </w:t>
      </w: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2</w:t>
      </w:r>
      <w:r w:rsidRPr="0098752C">
        <w:rPr>
          <w:rFonts w:ascii="Times New Roman" w:hAnsi="Times New Roman" w:cs="Times New Roman"/>
          <w:sz w:val="24"/>
          <w:szCs w:val="24"/>
          <w:lang w:val="en-US"/>
        </w:rPr>
        <w:t xml:space="preserve"> ‒</w:t>
      </w:r>
      <w:r w:rsidRPr="0098752C">
        <w:rPr>
          <w:rFonts w:ascii="Times New Roman" w:hAnsi="Times New Roman" w:cs="Times New Roman"/>
          <w:sz w:val="24"/>
          <w:szCs w:val="24"/>
          <w:vertAlign w:val="subscript"/>
          <w:lang w:val="en-US"/>
        </w:rPr>
        <w:t xml:space="preserve"> </w:t>
      </w: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1</w:t>
      </w:r>
      <w:r w:rsidRPr="0098752C">
        <w:rPr>
          <w:rFonts w:ascii="Times New Roman" w:hAnsi="Times New Roman" w:cs="Times New Roman"/>
          <w:sz w:val="24"/>
          <w:szCs w:val="24"/>
          <w:lang w:val="en-US"/>
        </w:rPr>
        <w:t xml:space="preserve"> + </w:t>
      </w:r>
      <w:r w:rsidRPr="0098752C">
        <w:rPr>
          <w:rFonts w:ascii="Times New Roman" w:hAnsi="Times New Roman" w:cs="Times New Roman"/>
          <w:i/>
          <w:sz w:val="24"/>
          <w:szCs w:val="24"/>
          <w:lang w:val="en-US"/>
        </w:rPr>
        <w:t>B</w:t>
      </w:r>
      <w:r w:rsidRPr="0098752C">
        <w:rPr>
          <w:rFonts w:ascii="Times New Roman" w:hAnsi="Times New Roman" w:cs="Times New Roman"/>
          <w:i/>
          <w:sz w:val="24"/>
          <w:szCs w:val="24"/>
          <w:vertAlign w:val="subscript"/>
          <w:lang w:val="en-US"/>
        </w:rPr>
        <w:t>D</w:t>
      </w:r>
      <w:r w:rsidRPr="0098752C">
        <w:rPr>
          <w:rFonts w:ascii="Times New Roman" w:hAnsi="Times New Roman" w:cs="Times New Roman"/>
          <w:sz w:val="24"/>
          <w:szCs w:val="24"/>
          <w:lang w:val="en-US"/>
        </w:rPr>
        <w:tab/>
        <w:t>.</w:t>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t xml:space="preserve">                 </w:t>
      </w:r>
      <w:r w:rsidR="00687483">
        <w:rPr>
          <w:rFonts w:ascii="Times New Roman" w:hAnsi="Times New Roman" w:cs="Times New Roman"/>
          <w:sz w:val="24"/>
          <w:szCs w:val="24"/>
          <w:lang w:val="en-US"/>
        </w:rPr>
        <w:tab/>
      </w:r>
      <w:r w:rsidR="00687483">
        <w:rPr>
          <w:rFonts w:ascii="Times New Roman" w:hAnsi="Times New Roman" w:cs="Times New Roman"/>
          <w:sz w:val="24"/>
          <w:szCs w:val="24"/>
          <w:lang w:val="en-US"/>
        </w:rPr>
        <w:tab/>
      </w:r>
      <w:r w:rsidR="00687483">
        <w:rPr>
          <w:rFonts w:ascii="Times New Roman" w:hAnsi="Times New Roman" w:cs="Times New Roman"/>
          <w:sz w:val="24"/>
          <w:szCs w:val="24"/>
          <w:lang w:val="en-US"/>
        </w:rPr>
        <w:tab/>
      </w:r>
      <w:r w:rsidR="00687483">
        <w:rPr>
          <w:rFonts w:ascii="Times New Roman" w:hAnsi="Times New Roman" w:cs="Times New Roman"/>
          <w:sz w:val="24"/>
          <w:szCs w:val="24"/>
          <w:lang w:val="en-US"/>
        </w:rPr>
        <w:tab/>
      </w:r>
      <w:r w:rsidRPr="0098752C">
        <w:rPr>
          <w:rFonts w:ascii="Times New Roman" w:hAnsi="Times New Roman" w:cs="Times New Roman"/>
          <w:sz w:val="24"/>
          <w:szCs w:val="24"/>
          <w:lang w:val="en-US"/>
        </w:rPr>
        <w:t>(A.3)</w:t>
      </w:r>
    </w:p>
    <w:p w:rsidR="00DA21A9" w:rsidRPr="0098752C" w:rsidRDefault="00DA21A9" w:rsidP="00DA21A9">
      <w:pPr>
        <w:pStyle w:val="PlainText"/>
        <w:spacing w:before="120" w:line="480" w:lineRule="auto"/>
        <w:jc w:val="both"/>
        <w:rPr>
          <w:rFonts w:ascii="Times New Roman" w:hAnsi="Times New Roman" w:cs="Times New Roman"/>
          <w:sz w:val="24"/>
          <w:szCs w:val="24"/>
          <w:lang w:val="en-US"/>
        </w:rPr>
      </w:pPr>
      <w:r w:rsidRPr="0098752C">
        <w:rPr>
          <w:rFonts w:ascii="Times New Roman" w:hAnsi="Times New Roman" w:cs="Times New Roman"/>
          <w:sz w:val="24"/>
          <w:szCs w:val="24"/>
          <w:lang w:val="en-US"/>
        </w:rPr>
        <w:lastRenderedPageBreak/>
        <w:t xml:space="preserve">Note that, rather confusingly, another measure of growth used quite commonly in forest science is termed </w:t>
      </w:r>
      <w:r w:rsidR="00A41354">
        <w:rPr>
          <w:rFonts w:ascii="Times New Roman" w:hAnsi="Times New Roman" w:cs="Times New Roman"/>
          <w:sz w:val="24"/>
          <w:szCs w:val="24"/>
          <w:lang w:val="en-US"/>
        </w:rPr>
        <w:t>“</w:t>
      </w:r>
      <w:r w:rsidRPr="0098752C">
        <w:rPr>
          <w:rFonts w:ascii="Times New Roman" w:hAnsi="Times New Roman" w:cs="Times New Roman"/>
          <w:sz w:val="24"/>
          <w:szCs w:val="24"/>
          <w:lang w:val="en-US"/>
        </w:rPr>
        <w:t>net growth rate</w:t>
      </w:r>
      <w:r w:rsidR="00A41354">
        <w:rPr>
          <w:rFonts w:ascii="Times New Roman" w:hAnsi="Times New Roman" w:cs="Times New Roman"/>
          <w:sz w:val="24"/>
          <w:szCs w:val="24"/>
          <w:lang w:val="en-US"/>
        </w:rPr>
        <w:t>”</w:t>
      </w:r>
      <w:r w:rsidRPr="0098752C">
        <w:rPr>
          <w:rFonts w:ascii="Times New Roman" w:hAnsi="Times New Roman" w:cs="Times New Roman"/>
          <w:sz w:val="24"/>
          <w:szCs w:val="24"/>
          <w:lang w:val="en-US"/>
        </w:rPr>
        <w:t xml:space="preserve"> (GNET). It ignores </w:t>
      </w:r>
      <w:r w:rsidRPr="0098752C">
        <w:rPr>
          <w:rFonts w:ascii="Times New Roman" w:hAnsi="Times New Roman" w:cs="Times New Roman"/>
          <w:i/>
          <w:sz w:val="24"/>
          <w:szCs w:val="24"/>
          <w:lang w:val="en-US"/>
        </w:rPr>
        <w:t>B</w:t>
      </w:r>
      <w:r w:rsidRPr="0098752C">
        <w:rPr>
          <w:rFonts w:ascii="Times New Roman" w:hAnsi="Times New Roman" w:cs="Times New Roman"/>
          <w:i/>
          <w:sz w:val="24"/>
          <w:szCs w:val="24"/>
          <w:vertAlign w:val="subscript"/>
          <w:lang w:val="en-US"/>
        </w:rPr>
        <w:t>D</w:t>
      </w:r>
      <w:r w:rsidRPr="0098752C">
        <w:rPr>
          <w:rFonts w:ascii="Times New Roman" w:hAnsi="Times New Roman" w:cs="Times New Roman"/>
          <w:sz w:val="24"/>
          <w:szCs w:val="24"/>
          <w:lang w:val="en-US"/>
        </w:rPr>
        <w:t xml:space="preserve"> altogether and is determined simply as change in biomass over a growth period, that is:</w:t>
      </w:r>
    </w:p>
    <w:p w:rsidR="00DA21A9" w:rsidRPr="0098752C" w:rsidRDefault="00DA21A9" w:rsidP="00DA21A9">
      <w:pPr>
        <w:pStyle w:val="PlainText"/>
        <w:spacing w:before="120" w:line="480" w:lineRule="auto"/>
        <w:jc w:val="both"/>
        <w:rPr>
          <w:rFonts w:ascii="Times New Roman" w:hAnsi="Times New Roman" w:cs="Times New Roman"/>
          <w:sz w:val="24"/>
          <w:szCs w:val="24"/>
          <w:lang w:val="en-US"/>
        </w:rPr>
      </w:pPr>
      <w:r w:rsidRPr="0098752C">
        <w:rPr>
          <w:rFonts w:ascii="Times New Roman" w:hAnsi="Times New Roman" w:cs="Times New Roman"/>
          <w:sz w:val="24"/>
          <w:szCs w:val="24"/>
          <w:lang w:val="en-US"/>
        </w:rPr>
        <w:t xml:space="preserve">GNET = </w:t>
      </w: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2</w:t>
      </w:r>
      <w:r w:rsidRPr="0098752C">
        <w:rPr>
          <w:rFonts w:ascii="Times New Roman" w:hAnsi="Times New Roman" w:cs="Times New Roman"/>
          <w:sz w:val="24"/>
          <w:szCs w:val="24"/>
          <w:lang w:val="en-US"/>
        </w:rPr>
        <w:t xml:space="preserve"> ‒</w:t>
      </w:r>
      <w:r w:rsidRPr="0098752C">
        <w:rPr>
          <w:rFonts w:ascii="Times New Roman" w:hAnsi="Times New Roman" w:cs="Times New Roman"/>
          <w:sz w:val="24"/>
          <w:szCs w:val="24"/>
          <w:vertAlign w:val="subscript"/>
          <w:lang w:val="en-US"/>
        </w:rPr>
        <w:t xml:space="preserve"> </w:t>
      </w: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1</w:t>
      </w:r>
      <w:r w:rsidRPr="0098752C">
        <w:rPr>
          <w:rFonts w:ascii="Times New Roman" w:hAnsi="Times New Roman" w:cs="Times New Roman"/>
          <w:sz w:val="24"/>
          <w:szCs w:val="24"/>
          <w:lang w:val="en-US"/>
        </w:rPr>
        <w:t xml:space="preserve">    .</w:t>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r>
      <w:r w:rsidRPr="0098752C">
        <w:rPr>
          <w:rFonts w:ascii="Times New Roman" w:hAnsi="Times New Roman" w:cs="Times New Roman"/>
          <w:sz w:val="24"/>
          <w:szCs w:val="24"/>
          <w:lang w:val="en-US"/>
        </w:rPr>
        <w:tab/>
        <w:t xml:space="preserve">      </w:t>
      </w:r>
      <w:r w:rsidRPr="0098752C">
        <w:rPr>
          <w:rFonts w:ascii="Times New Roman" w:hAnsi="Times New Roman" w:cs="Times New Roman"/>
          <w:sz w:val="24"/>
          <w:szCs w:val="24"/>
          <w:lang w:val="en-US"/>
        </w:rPr>
        <w:tab/>
        <w:t xml:space="preserve">                 </w:t>
      </w:r>
      <w:r w:rsidR="000B4D9A">
        <w:rPr>
          <w:rFonts w:ascii="Times New Roman" w:hAnsi="Times New Roman" w:cs="Times New Roman"/>
          <w:sz w:val="24"/>
          <w:szCs w:val="24"/>
          <w:lang w:val="en-US"/>
        </w:rPr>
        <w:tab/>
      </w:r>
      <w:r w:rsidR="000B4D9A">
        <w:rPr>
          <w:rFonts w:ascii="Times New Roman" w:hAnsi="Times New Roman" w:cs="Times New Roman"/>
          <w:sz w:val="24"/>
          <w:szCs w:val="24"/>
          <w:lang w:val="en-US"/>
        </w:rPr>
        <w:tab/>
      </w:r>
      <w:r w:rsidRPr="0098752C">
        <w:rPr>
          <w:rFonts w:ascii="Times New Roman" w:hAnsi="Times New Roman" w:cs="Times New Roman"/>
          <w:sz w:val="24"/>
          <w:szCs w:val="24"/>
          <w:lang w:val="en-US"/>
        </w:rPr>
        <w:t>(A.4)</w:t>
      </w:r>
    </w:p>
    <w:p w:rsidR="00DA21A9" w:rsidRPr="0098752C" w:rsidRDefault="00DA21A9" w:rsidP="00DA21A9">
      <w:pPr>
        <w:pStyle w:val="PlainText"/>
        <w:spacing w:before="120" w:line="480" w:lineRule="auto"/>
        <w:jc w:val="both"/>
        <w:rPr>
          <w:rFonts w:ascii="Times New Roman" w:hAnsi="Times New Roman" w:cs="Times New Roman"/>
          <w:sz w:val="24"/>
          <w:szCs w:val="24"/>
        </w:rPr>
      </w:pPr>
      <w:r w:rsidRPr="0098752C">
        <w:rPr>
          <w:rFonts w:ascii="Times New Roman" w:hAnsi="Times New Roman" w:cs="Times New Roman"/>
          <w:sz w:val="24"/>
          <w:szCs w:val="24"/>
          <w:lang w:val="en-US"/>
        </w:rPr>
        <w:t xml:space="preserve">All of </w:t>
      </w: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1</w:t>
      </w:r>
      <w:r w:rsidRPr="0098752C">
        <w:rPr>
          <w:rFonts w:ascii="Times New Roman" w:hAnsi="Times New Roman" w:cs="Times New Roman"/>
          <w:sz w:val="24"/>
          <w:szCs w:val="24"/>
          <w:lang w:val="en-US"/>
        </w:rPr>
        <w:t>,</w:t>
      </w:r>
      <w:r w:rsidRPr="0098752C">
        <w:rPr>
          <w:rFonts w:ascii="Times New Roman" w:hAnsi="Times New Roman" w:cs="Times New Roman"/>
          <w:sz w:val="24"/>
          <w:szCs w:val="24"/>
          <w:vertAlign w:val="subscript"/>
          <w:lang w:val="en-US"/>
        </w:rPr>
        <w:t xml:space="preserve"> </w:t>
      </w: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2</w:t>
      </w:r>
      <w:r w:rsidRPr="0098752C">
        <w:rPr>
          <w:rFonts w:ascii="Times New Roman" w:hAnsi="Times New Roman" w:cs="Times New Roman"/>
          <w:sz w:val="24"/>
          <w:szCs w:val="24"/>
          <w:lang w:val="en-US"/>
        </w:rPr>
        <w:t xml:space="preserve"> and </w:t>
      </w:r>
      <w:r w:rsidRPr="0098752C">
        <w:rPr>
          <w:rFonts w:ascii="Times New Roman" w:hAnsi="Times New Roman" w:cs="Times New Roman"/>
          <w:i/>
          <w:sz w:val="24"/>
          <w:szCs w:val="24"/>
          <w:lang w:val="en-US"/>
        </w:rPr>
        <w:t>B</w:t>
      </w:r>
      <w:r w:rsidRPr="0098752C">
        <w:rPr>
          <w:rFonts w:ascii="Times New Roman" w:hAnsi="Times New Roman" w:cs="Times New Roman"/>
          <w:i/>
          <w:sz w:val="24"/>
          <w:szCs w:val="24"/>
          <w:vertAlign w:val="subscript"/>
          <w:lang w:val="en-US"/>
        </w:rPr>
        <w:t>D</w:t>
      </w:r>
      <w:r w:rsidRPr="0098752C">
        <w:rPr>
          <w:rFonts w:ascii="Times New Roman" w:hAnsi="Times New Roman" w:cs="Times New Roman"/>
          <w:sz w:val="24"/>
          <w:szCs w:val="24"/>
          <w:lang w:val="en-US"/>
        </w:rPr>
        <w:t xml:space="preserve"> constitute </w:t>
      </w:r>
      <w:r w:rsidR="00A41354">
        <w:rPr>
          <w:rFonts w:ascii="Times New Roman" w:hAnsi="Times New Roman" w:cs="Times New Roman"/>
          <w:sz w:val="24"/>
          <w:szCs w:val="24"/>
          <w:lang w:val="en-US"/>
        </w:rPr>
        <w:t>“</w:t>
      </w:r>
      <w:r w:rsidRPr="0098752C">
        <w:rPr>
          <w:rFonts w:ascii="Times New Roman" w:hAnsi="Times New Roman" w:cs="Times New Roman"/>
          <w:sz w:val="24"/>
          <w:szCs w:val="24"/>
          <w:lang w:val="en-US"/>
        </w:rPr>
        <w:t>biomass pools</w:t>
      </w:r>
      <w:r w:rsidR="00A41354">
        <w:rPr>
          <w:rFonts w:ascii="Times New Roman" w:hAnsi="Times New Roman" w:cs="Times New Roman"/>
          <w:sz w:val="24"/>
          <w:szCs w:val="24"/>
          <w:lang w:val="en-US"/>
        </w:rPr>
        <w:t>”</w:t>
      </w:r>
      <w:r w:rsidRPr="0098752C">
        <w:rPr>
          <w:rFonts w:ascii="Times New Roman" w:hAnsi="Times New Roman" w:cs="Times New Roman"/>
          <w:sz w:val="24"/>
          <w:szCs w:val="24"/>
        </w:rPr>
        <w:t xml:space="preserve"> (or </w:t>
      </w:r>
      <w:r w:rsidR="00A41354">
        <w:rPr>
          <w:rFonts w:ascii="Times New Roman" w:hAnsi="Times New Roman" w:cs="Times New Roman"/>
          <w:sz w:val="24"/>
          <w:szCs w:val="24"/>
        </w:rPr>
        <w:t>“</w:t>
      </w:r>
      <w:r w:rsidRPr="0098752C">
        <w:rPr>
          <w:rFonts w:ascii="Times New Roman" w:hAnsi="Times New Roman" w:cs="Times New Roman"/>
          <w:sz w:val="24"/>
          <w:szCs w:val="24"/>
        </w:rPr>
        <w:t>sinks</w:t>
      </w:r>
      <w:r w:rsidR="00A41354">
        <w:rPr>
          <w:rFonts w:ascii="Times New Roman" w:hAnsi="Times New Roman" w:cs="Times New Roman"/>
          <w:sz w:val="24"/>
          <w:szCs w:val="24"/>
        </w:rPr>
        <w:t>”</w:t>
      </w:r>
      <w:r w:rsidRPr="0098752C">
        <w:rPr>
          <w:rFonts w:ascii="Times New Roman" w:hAnsi="Times New Roman" w:cs="Times New Roman"/>
          <w:sz w:val="24"/>
          <w:szCs w:val="24"/>
        </w:rPr>
        <w:t xml:space="preserve"> as they are termed also), described in detail by Clark et al. (2001, Fig. 1b). </w:t>
      </w:r>
    </w:p>
    <w:p w:rsidR="00DA21A9" w:rsidRPr="0098752C" w:rsidRDefault="00DA21A9" w:rsidP="00DA21A9">
      <w:pPr>
        <w:pStyle w:val="PlainText"/>
        <w:spacing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 xml:space="preserve">In practice, measurements are made over some prescribed growth period, commonly of a year or so in forest ecosystems, to allow for seasonal variations in forest growth behaviour. </w:t>
      </w:r>
      <w:r w:rsidRPr="0098752C">
        <w:rPr>
          <w:rFonts w:ascii="Times New Roman" w:hAnsi="Times New Roman" w:cs="Times New Roman"/>
          <w:sz w:val="24"/>
          <w:szCs w:val="24"/>
          <w:lang w:val="en-US"/>
        </w:rPr>
        <w:t xml:space="preserve">For large forest trees, measurement in the field of </w:t>
      </w: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 xml:space="preserve">1 </w:t>
      </w:r>
      <w:r w:rsidRPr="0098752C">
        <w:rPr>
          <w:rFonts w:ascii="Times New Roman" w:hAnsi="Times New Roman" w:cs="Times New Roman"/>
          <w:sz w:val="24"/>
          <w:szCs w:val="24"/>
          <w:lang w:val="en-US"/>
        </w:rPr>
        <w:t>and</w:t>
      </w:r>
      <w:r w:rsidRPr="0098752C">
        <w:rPr>
          <w:rFonts w:ascii="Times New Roman" w:hAnsi="Times New Roman" w:cs="Times New Roman"/>
          <w:sz w:val="24"/>
          <w:szCs w:val="24"/>
          <w:vertAlign w:val="subscript"/>
          <w:lang w:val="en-US"/>
        </w:rPr>
        <w:t xml:space="preserve"> </w:t>
      </w: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2</w:t>
      </w:r>
      <w:r w:rsidRPr="0098752C">
        <w:rPr>
          <w:rFonts w:ascii="Times New Roman" w:hAnsi="Times New Roman" w:cs="Times New Roman"/>
          <w:sz w:val="24"/>
          <w:szCs w:val="24"/>
          <w:lang w:val="en-US"/>
        </w:rPr>
        <w:t xml:space="preserve">, that are made up of all of leaves, branches, stems and roots, is a major undertaking especially in root system excavation (West 2015, Chap. 7). A number of biomass sub-pools together make up the losses over a growth period that constitute </w:t>
      </w:r>
      <w:r w:rsidRPr="0098752C">
        <w:rPr>
          <w:rFonts w:ascii="Times New Roman" w:hAnsi="Times New Roman" w:cs="Times New Roman"/>
          <w:i/>
          <w:sz w:val="24"/>
          <w:szCs w:val="24"/>
          <w:lang w:val="en-US"/>
        </w:rPr>
        <w:t>B</w:t>
      </w:r>
      <w:r w:rsidRPr="0098752C">
        <w:rPr>
          <w:rFonts w:ascii="Times New Roman" w:hAnsi="Times New Roman" w:cs="Times New Roman"/>
          <w:i/>
          <w:sz w:val="24"/>
          <w:szCs w:val="24"/>
          <w:vertAlign w:val="subscript"/>
          <w:lang w:val="en-US"/>
        </w:rPr>
        <w:t>D</w:t>
      </w:r>
      <w:r w:rsidRPr="0098752C">
        <w:rPr>
          <w:rFonts w:ascii="Times New Roman" w:hAnsi="Times New Roman" w:cs="Times New Roman"/>
          <w:sz w:val="24"/>
          <w:szCs w:val="24"/>
          <w:lang w:val="en-US"/>
        </w:rPr>
        <w:t xml:space="preserve">. These are measured separately. </w:t>
      </w:r>
      <w:r w:rsidRPr="0098752C">
        <w:rPr>
          <w:rFonts w:ascii="Times New Roman" w:hAnsi="Times New Roman" w:cs="Times New Roman"/>
          <w:sz w:val="24"/>
          <w:szCs w:val="24"/>
        </w:rPr>
        <w:t xml:space="preserve">They include the biomass losses above- and below-ground of the trees that die during the growth period. Then, from the trees that survive the growth period, there are biomass losses as above-ground litterfall (usually measured using litter traps), losses due to animal consumers (herbivory, frugivory and sap-sucking), losses of roots that die and are shed (usually measured using soil coring techniques e.g. Vogt et al. 1998) as well as losses due to root herbivory, root exudates and carbohydrate losses to root symbionts (root nodules and mycorrhizal fungi). These sub-pools can be difficult (and expensive) to measure, particularly where root excavations are involved. Some sub-pools (such as losses due to animal consumers or due to root herbivory, exudates and symbionts) are particularly difficult to measure in the field and are often ignored, but may make up to 10-20% of the total of all the other pools (Luyssaert et al. 2007, p. 2511). </w:t>
      </w:r>
    </w:p>
    <w:p w:rsidR="00DA21A9" w:rsidRPr="0098752C" w:rsidRDefault="00DA21A9" w:rsidP="00DA21A9">
      <w:pPr>
        <w:pStyle w:val="PlainText"/>
        <w:spacing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 xml:space="preserve">Because of the difficulty of making below ground measurements, the below ground sub-pool may be measured using what is termed the </w:t>
      </w:r>
      <w:r w:rsidR="00A41354">
        <w:rPr>
          <w:rFonts w:ascii="Times New Roman" w:hAnsi="Times New Roman" w:cs="Times New Roman"/>
          <w:sz w:val="24"/>
          <w:szCs w:val="24"/>
        </w:rPr>
        <w:t>“</w:t>
      </w:r>
      <w:r w:rsidRPr="0098752C">
        <w:rPr>
          <w:rFonts w:ascii="Times New Roman" w:hAnsi="Times New Roman" w:cs="Times New Roman"/>
          <w:sz w:val="24"/>
          <w:szCs w:val="24"/>
        </w:rPr>
        <w:t>total belowground carbon allocation</w:t>
      </w:r>
      <w:r w:rsidR="00A41354">
        <w:rPr>
          <w:rFonts w:ascii="Times New Roman" w:hAnsi="Times New Roman" w:cs="Times New Roman"/>
          <w:sz w:val="24"/>
          <w:szCs w:val="24"/>
        </w:rPr>
        <w:t>”</w:t>
      </w:r>
      <w:r w:rsidRPr="0098752C">
        <w:rPr>
          <w:rFonts w:ascii="Times New Roman" w:hAnsi="Times New Roman" w:cs="Times New Roman"/>
          <w:sz w:val="24"/>
          <w:szCs w:val="24"/>
        </w:rPr>
        <w:t xml:space="preserve"> TBCA (also called TBCF or TRCA) approach as espoused by Giardina and Ryan (2002). This </w:t>
      </w:r>
      <w:r w:rsidRPr="0098752C">
        <w:rPr>
          <w:rFonts w:ascii="Times New Roman" w:hAnsi="Times New Roman" w:cs="Times New Roman"/>
          <w:sz w:val="24"/>
          <w:szCs w:val="24"/>
        </w:rPr>
        <w:lastRenderedPageBreak/>
        <w:t>method involves soil, litter layer, litterfall and root carbon measurements. As well, below ground respiration rates must be measured as CO</w:t>
      </w:r>
      <w:r w:rsidRPr="0098752C">
        <w:rPr>
          <w:rFonts w:ascii="Times New Roman" w:hAnsi="Times New Roman" w:cs="Times New Roman"/>
          <w:sz w:val="24"/>
          <w:szCs w:val="24"/>
          <w:vertAlign w:val="subscript"/>
        </w:rPr>
        <w:t>2</w:t>
      </w:r>
      <w:r w:rsidRPr="0098752C">
        <w:rPr>
          <w:rFonts w:ascii="Times New Roman" w:hAnsi="Times New Roman" w:cs="Times New Roman"/>
          <w:sz w:val="24"/>
          <w:szCs w:val="24"/>
        </w:rPr>
        <w:t xml:space="preserve"> evolution from the soil surface; chamber techniques (see below) may be used to do this. This information yields an estimate of the amount of the total GPP of the tree canopy that is allocated below ground to roots; root NPP and autotrophic respiration rates are not separated using this method, only their sum is obtained as a measure of the amount of GPP that is partitioned to roots. </w:t>
      </w:r>
    </w:p>
    <w:p w:rsidR="00DA21A9" w:rsidRPr="0098752C" w:rsidRDefault="00DA21A9" w:rsidP="00DA21A9">
      <w:pPr>
        <w:pStyle w:val="PlainText"/>
        <w:spacing w:line="480" w:lineRule="auto"/>
        <w:ind w:firstLine="720"/>
        <w:jc w:val="both"/>
        <w:rPr>
          <w:rFonts w:ascii="Times New Roman" w:hAnsi="Times New Roman" w:cs="Times New Roman"/>
          <w:sz w:val="24"/>
          <w:szCs w:val="24"/>
          <w:lang w:val="en-US"/>
        </w:rPr>
      </w:pPr>
      <w:r w:rsidRPr="0098752C">
        <w:rPr>
          <w:rFonts w:ascii="Times New Roman" w:hAnsi="Times New Roman" w:cs="Times New Roman"/>
          <w:sz w:val="24"/>
          <w:szCs w:val="24"/>
        </w:rPr>
        <w:t xml:space="preserve">Sometimes research may have developed relationships that allow estimation of some of the pools described above from allometric relationships between more easily measured tree characteristics (Ryan 1991; West 2015, Chap. 7 and Sect. 8.9). Examples of use of biomass pool methods can be found in Ryan (1991) and Ryan et al. (2004). </w:t>
      </w:r>
    </w:p>
    <w:p w:rsidR="00DA21A9" w:rsidRPr="0098752C" w:rsidRDefault="00DA21A9" w:rsidP="00DA21A9">
      <w:pPr>
        <w:pStyle w:val="PlainText"/>
        <w:spacing w:before="240" w:after="240" w:line="480" w:lineRule="auto"/>
        <w:jc w:val="both"/>
        <w:rPr>
          <w:rFonts w:ascii="Times New Roman" w:hAnsi="Times New Roman" w:cs="Times New Roman"/>
          <w:b/>
          <w:sz w:val="24"/>
          <w:szCs w:val="24"/>
        </w:rPr>
      </w:pPr>
      <w:r w:rsidRPr="0098752C">
        <w:rPr>
          <w:rFonts w:ascii="Times New Roman" w:hAnsi="Times New Roman" w:cs="Times New Roman"/>
          <w:b/>
          <w:sz w:val="24"/>
          <w:szCs w:val="24"/>
        </w:rPr>
        <w:t>Chamber methods</w:t>
      </w:r>
    </w:p>
    <w:p w:rsidR="00DA21A9" w:rsidRPr="0098752C" w:rsidRDefault="00DA21A9" w:rsidP="00DA21A9">
      <w:pPr>
        <w:pStyle w:val="PlainText"/>
        <w:spacing w:before="120" w:line="480" w:lineRule="auto"/>
        <w:jc w:val="both"/>
        <w:rPr>
          <w:rFonts w:ascii="Times New Roman" w:hAnsi="Times New Roman" w:cs="Times New Roman"/>
          <w:sz w:val="24"/>
          <w:szCs w:val="24"/>
        </w:rPr>
      </w:pPr>
      <w:r w:rsidRPr="0098752C">
        <w:rPr>
          <w:rFonts w:ascii="Times New Roman" w:hAnsi="Times New Roman" w:cs="Times New Roman"/>
          <w:sz w:val="24"/>
          <w:szCs w:val="24"/>
        </w:rPr>
        <w:t>Chamber methods measure net CO</w:t>
      </w:r>
      <w:r w:rsidRPr="0098752C">
        <w:rPr>
          <w:rFonts w:ascii="Times New Roman" w:hAnsi="Times New Roman" w:cs="Times New Roman"/>
          <w:sz w:val="24"/>
          <w:szCs w:val="24"/>
          <w:vertAlign w:val="subscript"/>
        </w:rPr>
        <w:t>2</w:t>
      </w:r>
      <w:r w:rsidRPr="0098752C">
        <w:rPr>
          <w:rFonts w:ascii="Times New Roman" w:hAnsi="Times New Roman" w:cs="Times New Roman"/>
          <w:sz w:val="24"/>
          <w:szCs w:val="24"/>
        </w:rPr>
        <w:t xml:space="preserve"> (and/or water) efflux from different tissues (leaves, wood branches, stems, coarse and fine roots) and from the soil surface. They use instruments where a small (a few cubic centimetres in volume) chamber encloses the tissue (or in the case of stems or soil is positioned on their surface). Using infrared gas analysis, CO</w:t>
      </w:r>
      <w:r w:rsidRPr="0098752C">
        <w:rPr>
          <w:rFonts w:ascii="Times New Roman" w:hAnsi="Times New Roman" w:cs="Times New Roman"/>
          <w:sz w:val="24"/>
          <w:szCs w:val="24"/>
          <w:vertAlign w:val="subscript"/>
        </w:rPr>
        <w:t>2</w:t>
      </w:r>
      <w:r w:rsidRPr="0098752C">
        <w:rPr>
          <w:rFonts w:ascii="Times New Roman" w:hAnsi="Times New Roman" w:cs="Times New Roman"/>
          <w:sz w:val="24"/>
          <w:szCs w:val="24"/>
        </w:rPr>
        <w:t xml:space="preserve"> efflux is measured, usually over short time periods (perhaps minutes) and often on numerous occasions over the growth period being considered. Uncertainty in results may arise from factors such as CO</w:t>
      </w:r>
      <w:r w:rsidRPr="0098752C">
        <w:rPr>
          <w:rFonts w:ascii="Times New Roman" w:hAnsi="Times New Roman" w:cs="Times New Roman"/>
          <w:sz w:val="24"/>
          <w:szCs w:val="24"/>
          <w:vertAlign w:val="subscript"/>
        </w:rPr>
        <w:t>2</w:t>
      </w:r>
      <w:r w:rsidRPr="0098752C">
        <w:rPr>
          <w:rFonts w:ascii="Times New Roman" w:hAnsi="Times New Roman" w:cs="Times New Roman"/>
          <w:sz w:val="24"/>
          <w:szCs w:val="24"/>
        </w:rPr>
        <w:t xml:space="preserve"> efflux from roots being dissolved in and transported in the xylem stream and measured as efflux from stems (e.g. Macinnis-Ng</w:t>
      </w:r>
      <w:r>
        <w:rPr>
          <w:rFonts w:ascii="Times New Roman" w:hAnsi="Times New Roman" w:cs="Times New Roman"/>
          <w:sz w:val="24"/>
          <w:szCs w:val="24"/>
        </w:rPr>
        <w:t xml:space="preserve"> </w:t>
      </w:r>
      <w:r w:rsidRPr="0098752C">
        <w:rPr>
          <w:rFonts w:ascii="Times New Roman" w:hAnsi="Times New Roman" w:cs="Times New Roman"/>
          <w:sz w:val="24"/>
          <w:szCs w:val="24"/>
        </w:rPr>
        <w:t xml:space="preserve">et al. 2017). </w:t>
      </w:r>
    </w:p>
    <w:p w:rsidR="00DA21A9" w:rsidRPr="0098752C" w:rsidRDefault="00DA21A9" w:rsidP="00DA21A9">
      <w:pPr>
        <w:pStyle w:val="PlainText"/>
        <w:spacing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Measurements on leaves are usually made at several positions from the top to the bottom of the canopy and at night so that respiration rates are not confused by the influx of CO</w:t>
      </w:r>
      <w:r w:rsidRPr="0098752C">
        <w:rPr>
          <w:rFonts w:ascii="Times New Roman" w:hAnsi="Times New Roman" w:cs="Times New Roman"/>
          <w:sz w:val="24"/>
          <w:szCs w:val="24"/>
          <w:vertAlign w:val="subscript"/>
        </w:rPr>
        <w:t>2</w:t>
      </w:r>
      <w:r w:rsidRPr="0098752C">
        <w:rPr>
          <w:rFonts w:ascii="Times New Roman" w:hAnsi="Times New Roman" w:cs="Times New Roman"/>
          <w:sz w:val="24"/>
          <w:szCs w:val="24"/>
        </w:rPr>
        <w:t xml:space="preserve"> as photosynthesis occurs during the day. Small portions of the fine and coarse root systems may be carefully excavated, perhaps to a depth of some tens of centimetres, and similar chamber measurements of respiration rates made on those tissues. These instruments allow </w:t>
      </w:r>
      <w:r w:rsidRPr="0098752C">
        <w:rPr>
          <w:rFonts w:ascii="Times New Roman" w:hAnsi="Times New Roman" w:cs="Times New Roman"/>
          <w:sz w:val="24"/>
          <w:szCs w:val="24"/>
        </w:rPr>
        <w:lastRenderedPageBreak/>
        <w:t xml:space="preserve">measurements to be made at various controlled temperatures, respiration rate varying substantially with temperature (Landsberg and Gower 1997, p. 139). </w:t>
      </w:r>
    </w:p>
    <w:p w:rsidR="00DA21A9" w:rsidRPr="0098752C" w:rsidRDefault="00DA21A9" w:rsidP="00DA21A9">
      <w:pPr>
        <w:pStyle w:val="PlainText"/>
        <w:spacing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Based on biomass pool measurements of the various tissues in the whole forest ecosystem and with knowledge of the air temperature variations over the growth period being considered, the total autotrophic respiration over the growth period may be estimated from chamber measurements. Examples of this approach may be found in various sources (Ryan et al. 1996, 2004; Vose and Ryan 2002). Root respiration may also be determined using excavated soil cores from which fine roots are extracted and their respiration measured in a chamber shortly after obtaining the sample (e.g. Drake et al. 2008; Jarvi and Burton 2013). Adding autotrophic respiration to NPP determined using biomass pool methods (see above) is used to yield an estimate of GPP (see Eq. (1)</w:t>
      </w:r>
      <w:r w:rsidR="00035D88">
        <w:rPr>
          <w:rFonts w:ascii="Times New Roman" w:hAnsi="Times New Roman" w:cs="Times New Roman"/>
          <w:sz w:val="24"/>
          <w:szCs w:val="24"/>
        </w:rPr>
        <w:t xml:space="preserve"> in main text</w:t>
      </w:r>
      <w:r w:rsidRPr="0098752C">
        <w:rPr>
          <w:rFonts w:ascii="Times New Roman" w:hAnsi="Times New Roman" w:cs="Times New Roman"/>
          <w:sz w:val="24"/>
          <w:szCs w:val="24"/>
        </w:rPr>
        <w:t>).</w:t>
      </w:r>
    </w:p>
    <w:p w:rsidR="00DA21A9" w:rsidRPr="0098752C" w:rsidRDefault="00DA21A9" w:rsidP="00DA21A9">
      <w:pPr>
        <w:pStyle w:val="PlainText"/>
        <w:spacing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 xml:space="preserve">Mori et al. (2010) modified the chamber approach by enclosing the above-ground parts of an entire tree in a plastic cylinder as a </w:t>
      </w:r>
      <w:r w:rsidR="00A41354">
        <w:rPr>
          <w:rFonts w:ascii="Times New Roman" w:hAnsi="Times New Roman" w:cs="Times New Roman"/>
          <w:sz w:val="24"/>
          <w:szCs w:val="24"/>
        </w:rPr>
        <w:t>“</w:t>
      </w:r>
      <w:r w:rsidRPr="0098752C">
        <w:rPr>
          <w:rFonts w:ascii="Times New Roman" w:hAnsi="Times New Roman" w:cs="Times New Roman"/>
          <w:sz w:val="24"/>
          <w:szCs w:val="24"/>
        </w:rPr>
        <w:t>chamber</w:t>
      </w:r>
      <w:r w:rsidR="00A41354">
        <w:rPr>
          <w:rFonts w:ascii="Times New Roman" w:hAnsi="Times New Roman" w:cs="Times New Roman"/>
          <w:sz w:val="24"/>
          <w:szCs w:val="24"/>
        </w:rPr>
        <w:t>”</w:t>
      </w:r>
      <w:r w:rsidRPr="0098752C">
        <w:rPr>
          <w:rFonts w:ascii="Times New Roman" w:hAnsi="Times New Roman" w:cs="Times New Roman"/>
          <w:sz w:val="24"/>
          <w:szCs w:val="24"/>
        </w:rPr>
        <w:t xml:space="preserve">. If a tree is too large to do this, it is felled, cut up and its parts enclosed rapidly in a large plastic chamber on the ground for gas exchange measurements. Root systems are excavated whole and enclosed also in large plastic chambers. Through these techniques it is hoped to obtain better estimates of whole tree respiration than is possible with measurements of small sections only with hand held devices. Needless to say, such methods are cumbersome and expensive to apply. </w:t>
      </w:r>
    </w:p>
    <w:p w:rsidR="00DA21A9" w:rsidRPr="0098752C" w:rsidRDefault="00DA21A9" w:rsidP="00DA21A9">
      <w:pPr>
        <w:pStyle w:val="PlainText"/>
        <w:spacing w:before="240" w:after="240" w:line="480" w:lineRule="auto"/>
        <w:jc w:val="both"/>
        <w:rPr>
          <w:rFonts w:ascii="Times New Roman" w:hAnsi="Times New Roman" w:cs="Times New Roman"/>
          <w:sz w:val="24"/>
          <w:szCs w:val="24"/>
        </w:rPr>
      </w:pPr>
      <w:r w:rsidRPr="0098752C">
        <w:rPr>
          <w:rFonts w:ascii="Times New Roman" w:hAnsi="Times New Roman" w:cs="Times New Roman"/>
          <w:b/>
          <w:sz w:val="24"/>
          <w:szCs w:val="24"/>
        </w:rPr>
        <w:t>Eddy covariance methods</w:t>
      </w:r>
    </w:p>
    <w:p w:rsidR="00DA21A9" w:rsidRPr="0098752C" w:rsidRDefault="00DA21A9" w:rsidP="00DA21A9">
      <w:pPr>
        <w:pStyle w:val="PlainText"/>
        <w:spacing w:before="120" w:line="480" w:lineRule="auto"/>
        <w:jc w:val="both"/>
        <w:rPr>
          <w:rFonts w:ascii="Times New Roman" w:hAnsi="Times New Roman" w:cs="Times New Roman"/>
          <w:sz w:val="24"/>
          <w:szCs w:val="24"/>
        </w:rPr>
      </w:pPr>
      <w:r w:rsidRPr="0098752C">
        <w:rPr>
          <w:rFonts w:ascii="Times New Roman" w:hAnsi="Times New Roman" w:cs="Times New Roman"/>
          <w:sz w:val="24"/>
          <w:szCs w:val="24"/>
        </w:rPr>
        <w:t xml:space="preserve">Biomass pool and chamber methods can be considered as small scale approaches, where measurements are made on individual parts of individual trees or in litter traps or soil cores in forest plots. Over the last three decades, much attention has been given to eddy covariance methods that attempt to measure gas exchange at a much broader scale, over a whole forest canopy (Baldocchi et al. 1988; Moncrief 2004; Baldocchi 2008; Burba 2013). </w:t>
      </w:r>
    </w:p>
    <w:p w:rsidR="00DA21A9" w:rsidRPr="0098752C" w:rsidRDefault="00DA21A9" w:rsidP="00DA21A9">
      <w:pPr>
        <w:pStyle w:val="PlainText"/>
        <w:spacing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lastRenderedPageBreak/>
        <w:t>To do this, micro-meteorological instruments are placed on a tower that positions them a few metres above the forest canopy. These measure air temperature, humidity and concentrations of gases (CO</w:t>
      </w:r>
      <w:r w:rsidRPr="0098752C">
        <w:rPr>
          <w:rFonts w:ascii="Times New Roman" w:hAnsi="Times New Roman" w:cs="Times New Roman"/>
          <w:sz w:val="24"/>
          <w:szCs w:val="24"/>
          <w:vertAlign w:val="subscript"/>
        </w:rPr>
        <w:t>2</w:t>
      </w:r>
      <w:r w:rsidRPr="0098752C">
        <w:rPr>
          <w:rFonts w:ascii="Times New Roman" w:hAnsi="Times New Roman" w:cs="Times New Roman"/>
          <w:sz w:val="24"/>
          <w:szCs w:val="24"/>
        </w:rPr>
        <w:t>, water vapour and other gases may be measured). Wind passing over the canopy creates turbulence and, through this, the exchange of gases between the air above and the canopy below can be measured. During the day there is a net influx of CO</w:t>
      </w:r>
      <w:r w:rsidRPr="0098752C">
        <w:rPr>
          <w:rFonts w:ascii="Times New Roman" w:hAnsi="Times New Roman" w:cs="Times New Roman"/>
          <w:sz w:val="24"/>
          <w:szCs w:val="24"/>
          <w:vertAlign w:val="subscript"/>
        </w:rPr>
        <w:t>2</w:t>
      </w:r>
      <w:r w:rsidRPr="0098752C">
        <w:rPr>
          <w:rFonts w:ascii="Times New Roman" w:hAnsi="Times New Roman" w:cs="Times New Roman"/>
          <w:sz w:val="24"/>
          <w:szCs w:val="24"/>
        </w:rPr>
        <w:t xml:space="preserve"> to the canopy, being the difference between that taken in by leaves for photosynthesis (GPP) and that released as respiration. At night, there is CO</w:t>
      </w:r>
      <w:r w:rsidRPr="0098752C">
        <w:rPr>
          <w:rFonts w:ascii="Times New Roman" w:hAnsi="Times New Roman" w:cs="Times New Roman"/>
          <w:sz w:val="24"/>
          <w:szCs w:val="24"/>
          <w:vertAlign w:val="subscript"/>
        </w:rPr>
        <w:t>2</w:t>
      </w:r>
      <w:r w:rsidRPr="0098752C">
        <w:rPr>
          <w:rFonts w:ascii="Times New Roman" w:hAnsi="Times New Roman" w:cs="Times New Roman"/>
          <w:sz w:val="24"/>
          <w:szCs w:val="24"/>
        </w:rPr>
        <w:t xml:space="preserve"> efflux due to respiration. Daytime respiration may be estimated from night time respiration using functions that relate respiration rates to temperature (Reichstein et al. 2005); more recently, additional measurement of the </w:t>
      </w:r>
      <w:r w:rsidRPr="0098752C">
        <w:rPr>
          <w:rFonts w:ascii="Times New Roman" w:hAnsi="Times New Roman" w:cs="Times New Roman"/>
          <w:sz w:val="24"/>
          <w:szCs w:val="24"/>
          <w:vertAlign w:val="superscript"/>
        </w:rPr>
        <w:t>13</w:t>
      </w:r>
      <w:r w:rsidRPr="0098752C">
        <w:rPr>
          <w:rFonts w:ascii="Times New Roman" w:hAnsi="Times New Roman" w:cs="Times New Roman"/>
          <w:sz w:val="24"/>
          <w:szCs w:val="24"/>
        </w:rPr>
        <w:t>C/</w:t>
      </w:r>
      <w:r w:rsidRPr="0098752C">
        <w:rPr>
          <w:rFonts w:ascii="Times New Roman" w:hAnsi="Times New Roman" w:cs="Times New Roman"/>
          <w:sz w:val="24"/>
          <w:szCs w:val="24"/>
          <w:vertAlign w:val="superscript"/>
        </w:rPr>
        <w:t>12</w:t>
      </w:r>
      <w:r w:rsidRPr="0098752C">
        <w:rPr>
          <w:rFonts w:ascii="Times New Roman" w:hAnsi="Times New Roman" w:cs="Times New Roman"/>
          <w:sz w:val="24"/>
          <w:szCs w:val="24"/>
        </w:rPr>
        <w:t>C ratio has been used to distinguish respiration from photosynthesis during daytime (</w:t>
      </w:r>
      <w:r w:rsidRPr="0098752C">
        <w:rPr>
          <w:rFonts w:ascii="Times New Roman" w:hAnsi="Times New Roman" w:cs="Times New Roman"/>
          <w:sz w:val="24"/>
          <w:szCs w:val="24"/>
          <w:lang w:val="en-US"/>
        </w:rPr>
        <w:t xml:space="preserve">Wehr and Saleska 2015; </w:t>
      </w:r>
      <w:r w:rsidRPr="0098752C">
        <w:rPr>
          <w:rFonts w:ascii="Times New Roman" w:hAnsi="Times New Roman" w:cs="Times New Roman"/>
          <w:sz w:val="24"/>
          <w:szCs w:val="24"/>
        </w:rPr>
        <w:t xml:space="preserve">Wehr et al. 2016). </w:t>
      </w:r>
    </w:p>
    <w:p w:rsidR="00DA21A9" w:rsidRPr="0098752C" w:rsidRDefault="00DA21A9" w:rsidP="00DA21A9">
      <w:pPr>
        <w:pStyle w:val="PlainText"/>
        <w:spacing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 xml:space="preserve">One major problem with these methods is that they measure autotrophic and heterotrophic respiration combined. Heterotrophic respiration is that by organisms other than the plants in the ecosystem. These include animals that live above ground and the flora and fauna that inhabit the litter layer and the soil. The latter decompose the organic matter that is deposited on the floor of the ecosystem and in the soil. Chamber methods (see above) may be used to attempt to distinguish between the two or to separate autotrophic respiration into that by different parts of the trees. Examples of this are given by Tang et al. (2008) and Brændholt et al. (2018). </w:t>
      </w:r>
    </w:p>
    <w:p w:rsidR="00681451" w:rsidRDefault="00DA21A9" w:rsidP="00C3264B">
      <w:pPr>
        <w:pStyle w:val="PlainText"/>
        <w:spacing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Saigusa et al. (2002) gave an example of the use of eddy covariance to estimate GPP of mixed hardwood forest in Japan. Subtraction of estimates of autotrophic respiration, however determined, from GPP will give an estimate of NPP (see Eq. (1)</w:t>
      </w:r>
      <w:r w:rsidR="00035D88">
        <w:rPr>
          <w:rFonts w:ascii="Times New Roman" w:hAnsi="Times New Roman" w:cs="Times New Roman"/>
          <w:sz w:val="24"/>
          <w:szCs w:val="24"/>
        </w:rPr>
        <w:t xml:space="preserve"> in main text</w:t>
      </w:r>
      <w:r w:rsidRPr="0098752C">
        <w:rPr>
          <w:rFonts w:ascii="Times New Roman" w:hAnsi="Times New Roman" w:cs="Times New Roman"/>
          <w:sz w:val="24"/>
          <w:szCs w:val="24"/>
        </w:rPr>
        <w:t xml:space="preserve">). A number of authors have reviewed and compared the efficacy of eddy covariance techniques to estimate GPP and/or NPP, often in combination with biomass pool and chamber techniques (Wang et al. 2010; Fenn et al. 2015; Campioli et al. 2016; Tan et al. 2017; Aníc et al. 2018; Heskel and </w:t>
      </w:r>
      <w:r w:rsidRPr="0098752C">
        <w:rPr>
          <w:rFonts w:ascii="Times New Roman" w:hAnsi="Times New Roman" w:cs="Times New Roman"/>
          <w:sz w:val="24"/>
          <w:szCs w:val="24"/>
        </w:rPr>
        <w:lastRenderedPageBreak/>
        <w:t>Tang 2018).</w:t>
      </w:r>
      <w:r>
        <w:rPr>
          <w:rFonts w:ascii="Times New Roman" w:hAnsi="Times New Roman" w:cs="Times New Roman"/>
          <w:sz w:val="24"/>
          <w:szCs w:val="24"/>
        </w:rPr>
        <w:t xml:space="preserve"> Satellite imagery is now being employed also to make estimates of GPP (e.g. Park et al. 2019).</w:t>
      </w:r>
    </w:p>
    <w:p w:rsidR="00DA21A9" w:rsidRPr="0098752C" w:rsidRDefault="00DA21A9" w:rsidP="00C3264B">
      <w:pPr>
        <w:pStyle w:val="PlainText"/>
        <w:spacing w:before="240" w:after="240" w:line="480" w:lineRule="auto"/>
        <w:jc w:val="both"/>
        <w:rPr>
          <w:rFonts w:ascii="Times New Roman" w:hAnsi="Times New Roman" w:cs="Times New Roman"/>
          <w:b/>
          <w:sz w:val="24"/>
          <w:szCs w:val="24"/>
        </w:rPr>
      </w:pPr>
      <w:r w:rsidRPr="0098752C">
        <w:rPr>
          <w:rFonts w:ascii="Times New Roman" w:hAnsi="Times New Roman" w:cs="Times New Roman"/>
          <w:b/>
          <w:sz w:val="24"/>
          <w:szCs w:val="24"/>
        </w:rPr>
        <w:t>Model-based methods</w:t>
      </w:r>
    </w:p>
    <w:p w:rsidR="00DA21A9" w:rsidRPr="0098752C" w:rsidRDefault="00DA21A9" w:rsidP="00DA21A9">
      <w:pPr>
        <w:pStyle w:val="PlainText"/>
        <w:spacing w:before="120" w:line="480" w:lineRule="auto"/>
        <w:jc w:val="both"/>
        <w:rPr>
          <w:rFonts w:ascii="Times New Roman" w:hAnsi="Times New Roman" w:cs="Times New Roman"/>
          <w:sz w:val="24"/>
          <w:szCs w:val="24"/>
        </w:rPr>
      </w:pPr>
      <w:r w:rsidRPr="0098752C">
        <w:rPr>
          <w:rFonts w:ascii="Times New Roman" w:hAnsi="Times New Roman" w:cs="Times New Roman"/>
          <w:sz w:val="24"/>
          <w:szCs w:val="24"/>
        </w:rPr>
        <w:t xml:space="preserve">Model systems used to estimate GPP and/or NPP predict photosynthetic and respiratory processes over a growth period in relation to vegetation physiological characteristics and site soil and climatic characteristics (Landsberg and Gower 1997, Chap. 9; Landsberg and Sands 2011; Weiskittel et al. 2011, Chap. 12). </w:t>
      </w:r>
    </w:p>
    <w:p w:rsidR="00DA21A9" w:rsidRPr="0098752C" w:rsidRDefault="00DA21A9" w:rsidP="00DA21A9">
      <w:pPr>
        <w:pStyle w:val="PlainText"/>
        <w:spacing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An example of such use is given by Ryan and Waring (1992) who applied the model FOREST-BGC (Running and Coughlan 1988) to estimate GPP of subalpine lodgepole pine (</w:t>
      </w:r>
      <w:r w:rsidRPr="0098752C">
        <w:rPr>
          <w:rFonts w:ascii="Times New Roman" w:hAnsi="Times New Roman" w:cs="Times New Roman"/>
          <w:i/>
          <w:sz w:val="24"/>
          <w:szCs w:val="24"/>
        </w:rPr>
        <w:t>Pinus contorta</w:t>
      </w:r>
      <w:r w:rsidRPr="0098752C">
        <w:rPr>
          <w:rFonts w:ascii="Times New Roman" w:hAnsi="Times New Roman" w:cs="Times New Roman"/>
          <w:sz w:val="24"/>
          <w:szCs w:val="24"/>
        </w:rPr>
        <w:t xml:space="preserve"> Douglas var. </w:t>
      </w:r>
      <w:r w:rsidRPr="0098752C">
        <w:rPr>
          <w:rFonts w:ascii="Times New Roman" w:hAnsi="Times New Roman" w:cs="Times New Roman"/>
          <w:i/>
          <w:sz w:val="24"/>
          <w:szCs w:val="24"/>
        </w:rPr>
        <w:t xml:space="preserve">latifolia </w:t>
      </w:r>
      <w:r w:rsidRPr="0098752C">
        <w:rPr>
          <w:rFonts w:ascii="Times New Roman" w:hAnsi="Times New Roman" w:cs="Times New Roman"/>
          <w:sz w:val="24"/>
          <w:szCs w:val="24"/>
        </w:rPr>
        <w:t>Englm.) in Colorado, USA. Coops et al. (2001) compared the ability of two models, 3-PGS (Coops et al. 1998) and BIOME-BGC (Running and Hunt 1993), to predict NPP of softwood and hardwood forests at a number of sites in California, USA. A recent example is the model of Zhang et al. (2016) developed to estimate GPP (and water use) for a wide range of forest types. Alton (2016) has given an interesting comparison of the ability to predict GPP between models of these types that have rather different formulations.</w:t>
      </w:r>
    </w:p>
    <w:p w:rsidR="00DA21A9" w:rsidRPr="0098752C" w:rsidRDefault="00DA21A9" w:rsidP="00DA21A9">
      <w:pPr>
        <w:spacing w:line="480" w:lineRule="auto"/>
        <w:jc w:val="both"/>
        <w:rPr>
          <w:rFonts w:ascii="Times New Roman" w:hAnsi="Times New Roman" w:cs="Times New Roman"/>
          <w:b/>
          <w:sz w:val="24"/>
          <w:szCs w:val="24"/>
        </w:rPr>
      </w:pPr>
      <w:r w:rsidRPr="0098752C">
        <w:rPr>
          <w:rFonts w:ascii="Times New Roman" w:hAnsi="Times New Roman" w:cs="Times New Roman"/>
          <w:b/>
          <w:sz w:val="24"/>
          <w:szCs w:val="24"/>
        </w:rPr>
        <w:br w:type="page"/>
      </w:r>
    </w:p>
    <w:p w:rsidR="00DA21A9" w:rsidRPr="00C3264B" w:rsidRDefault="00DA21A9" w:rsidP="00DA21A9">
      <w:pPr>
        <w:spacing w:after="240" w:line="480" w:lineRule="auto"/>
        <w:jc w:val="both"/>
        <w:rPr>
          <w:rFonts w:ascii="Times New Roman" w:hAnsi="Times New Roman" w:cs="Times New Roman"/>
          <w:b/>
          <w:sz w:val="26"/>
          <w:szCs w:val="26"/>
          <w:u w:val="single"/>
        </w:rPr>
      </w:pPr>
      <w:r w:rsidRPr="00C3264B">
        <w:rPr>
          <w:rFonts w:ascii="Times New Roman" w:hAnsi="Times New Roman" w:cs="Times New Roman"/>
          <w:b/>
          <w:sz w:val="26"/>
          <w:szCs w:val="26"/>
          <w:u w:val="single"/>
        </w:rPr>
        <w:lastRenderedPageBreak/>
        <w:t>Supplementary Appendix B</w:t>
      </w:r>
    </w:p>
    <w:p w:rsidR="00DA21A9" w:rsidRPr="0098752C" w:rsidRDefault="00DA21A9" w:rsidP="00DA21A9">
      <w:pPr>
        <w:spacing w:after="240" w:line="480" w:lineRule="auto"/>
        <w:jc w:val="both"/>
        <w:rPr>
          <w:rFonts w:ascii="Times New Roman" w:hAnsi="Times New Roman" w:cs="Times New Roman"/>
          <w:b/>
          <w:sz w:val="26"/>
          <w:szCs w:val="26"/>
        </w:rPr>
      </w:pPr>
      <w:r w:rsidRPr="0098752C">
        <w:rPr>
          <w:rFonts w:ascii="Times New Roman" w:hAnsi="Times New Roman" w:cs="Times New Roman"/>
          <w:b/>
          <w:sz w:val="26"/>
          <w:szCs w:val="26"/>
        </w:rPr>
        <w:t>Critical assessment of the growth analysis of Michaletz et al. (2014)</w:t>
      </w:r>
    </w:p>
    <w:p w:rsidR="00DA21A9" w:rsidRPr="0098752C" w:rsidRDefault="00DA21A9" w:rsidP="00DA21A9">
      <w:pPr>
        <w:spacing w:before="120" w:after="0" w:line="480" w:lineRule="auto"/>
        <w:jc w:val="both"/>
        <w:rPr>
          <w:rFonts w:ascii="Times New Roman" w:hAnsi="Times New Roman" w:cs="Times New Roman"/>
          <w:sz w:val="24"/>
          <w:szCs w:val="24"/>
        </w:rPr>
      </w:pPr>
      <w:r w:rsidRPr="0098752C">
        <w:rPr>
          <w:rFonts w:ascii="Times New Roman" w:hAnsi="Times New Roman" w:cs="Times New Roman"/>
          <w:sz w:val="24"/>
          <w:szCs w:val="24"/>
        </w:rPr>
        <w:t xml:space="preserve">Michaletz et al. (2014) examined forest NPP in a global data set that included the data of Luyssaert et al. (2007), which was used in the present work, plus additional data from the literature that had been published subsequently. They confirmed that NPP declined with forest age but concluded that climate, through mean annual temperature and precipitation, did not influence NPP directly but rather that forest biomass did. </w:t>
      </w:r>
    </w:p>
    <w:p w:rsidR="00DA21A9" w:rsidRPr="0098752C" w:rsidRDefault="00DA21A9" w:rsidP="00DA21A9">
      <w:pPr>
        <w:spacing w:after="0"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 xml:space="preserve">Their conclusion must be considered in the context that NPP itself largely determines biomass growth. Thus if, as suggested in the present work, mean annual temperature is a principal determinant of NPP, then at any particular age a forest growing in a region with a higher temperature would have a higher NPP than that of a forest growing under a lower temperature regime. But, the biomass of that forest at that age would also be higher because its NPP will have been continuously higher over all the years leading up to that age. Thus, at that age there will be a positive relationship between NPP and biomass of forests that have grown under different temperature regimes. This is exactly the relationship displayed in Fig. 1d of Michaletz et al. which shows also the consequences of the decline with age of NPP; the increase in NPP with increasing biomass at any age shown in that figure is simply a consequence of the increase of both biomass and NPP with increasing temperature. </w:t>
      </w:r>
    </w:p>
    <w:p w:rsidR="00DA21A9" w:rsidRPr="0098752C" w:rsidRDefault="00DA21A9" w:rsidP="00DA21A9">
      <w:pPr>
        <w:spacing w:after="0"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Michaletz et al. then used multiple linear regression analysis to relate NPP to all of annual precipitation, length of growing season, age, mean annual temperature and biomass (their Eqs. (3), (4)). They concluded that age and biomass were the only variables that needed to be retained in their fitted relationships to predict NPP; this led them to their conclusion that climatic factors did not influence NPP directly.</w:t>
      </w:r>
    </w:p>
    <w:p w:rsidR="00DA21A9" w:rsidRPr="0098752C" w:rsidRDefault="00DA21A9" w:rsidP="00DA21A9">
      <w:pPr>
        <w:spacing w:after="0"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lastRenderedPageBreak/>
        <w:t>Michaletz et al. based their discussion about a model (their Eq. (1)) that relates NPP to climatic factors and forest biomass. However, in considering that model it is necessary to realise that NPP is a function of biomass itself. In the definition of NPP given in Eq. (A.3) of Supplementary Appendix A, the biomass growth term (</w:t>
      </w: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2</w:t>
      </w:r>
      <w:r w:rsidRPr="0098752C">
        <w:rPr>
          <w:rFonts w:ascii="Times New Roman" w:hAnsi="Times New Roman" w:cs="Times New Roman"/>
          <w:sz w:val="24"/>
          <w:szCs w:val="24"/>
          <w:lang w:val="en-US"/>
        </w:rPr>
        <w:t> ‒ </w:t>
      </w: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1</w:t>
      </w:r>
      <w:r w:rsidRPr="0098752C">
        <w:rPr>
          <w:rFonts w:ascii="Times New Roman" w:hAnsi="Times New Roman" w:cs="Times New Roman"/>
          <w:sz w:val="24"/>
          <w:szCs w:val="24"/>
          <w:lang w:val="en-US"/>
        </w:rPr>
        <w:t xml:space="preserve">) can be represented as the rate of change of biomass with time (t), that is </w:t>
      </w:r>
      <w:r>
        <w:rPr>
          <w:rFonts w:ascii="Times New Roman" w:hAnsi="Times New Roman" w:cs="Times New Roman"/>
          <w:sz w:val="24"/>
          <w:szCs w:val="24"/>
          <w:lang w:val="en-US"/>
        </w:rPr>
        <w:t>(</w:t>
      </w: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2</w:t>
      </w:r>
      <w:r w:rsidRPr="0098752C">
        <w:rPr>
          <w:rFonts w:ascii="Times New Roman" w:hAnsi="Times New Roman" w:cs="Times New Roman"/>
          <w:sz w:val="24"/>
          <w:szCs w:val="24"/>
          <w:lang w:val="en-US"/>
        </w:rPr>
        <w:t> ‒ </w:t>
      </w:r>
      <w:r w:rsidRPr="0098752C">
        <w:rPr>
          <w:rFonts w:ascii="Times New Roman" w:hAnsi="Times New Roman" w:cs="Times New Roman"/>
          <w:i/>
          <w:sz w:val="24"/>
          <w:szCs w:val="24"/>
          <w:lang w:val="en-US"/>
        </w:rPr>
        <w:t>B</w:t>
      </w:r>
      <w:r w:rsidRPr="0098752C">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w:t>
      </w:r>
      <w:r w:rsidRPr="0098752C">
        <w:rPr>
          <w:rFonts w:ascii="Times New Roman" w:hAnsi="Times New Roman" w:cs="Times New Roman"/>
          <w:sz w:val="24"/>
          <w:szCs w:val="24"/>
          <w:lang w:val="en-US"/>
        </w:rPr>
        <w:t xml:space="preserve"> ≈ </w:t>
      </w:r>
      <w:r w:rsidRPr="0098752C">
        <w:rPr>
          <w:rFonts w:ascii="Times New Roman" w:hAnsi="Times New Roman" w:cs="Times New Roman"/>
          <w:sz w:val="24"/>
          <w:szCs w:val="24"/>
        </w:rPr>
        <w:t>d</w:t>
      </w:r>
      <w:r w:rsidRPr="0098752C">
        <w:rPr>
          <w:rFonts w:ascii="Times New Roman" w:hAnsi="Times New Roman" w:cs="Times New Roman"/>
          <w:i/>
          <w:sz w:val="24"/>
          <w:szCs w:val="24"/>
        </w:rPr>
        <w:t>M</w:t>
      </w:r>
      <w:r w:rsidRPr="0098752C">
        <w:rPr>
          <w:rFonts w:ascii="Times New Roman" w:hAnsi="Times New Roman" w:cs="Times New Roman"/>
          <w:sz w:val="24"/>
          <w:szCs w:val="24"/>
          <w:vertAlign w:val="subscript"/>
        </w:rPr>
        <w:t>tot</w:t>
      </w:r>
      <w:r w:rsidRPr="0098752C">
        <w:rPr>
          <w:rFonts w:ascii="Times New Roman" w:hAnsi="Times New Roman" w:cs="Times New Roman"/>
          <w:sz w:val="24"/>
          <w:szCs w:val="24"/>
        </w:rPr>
        <w:t xml:space="preserve">/dt where </w:t>
      </w:r>
      <w:r w:rsidRPr="0098752C">
        <w:rPr>
          <w:rFonts w:ascii="Times New Roman" w:hAnsi="Times New Roman" w:cs="Times New Roman"/>
          <w:i/>
          <w:sz w:val="24"/>
          <w:szCs w:val="24"/>
        </w:rPr>
        <w:t>M</w:t>
      </w:r>
      <w:r w:rsidRPr="0098752C">
        <w:rPr>
          <w:rFonts w:ascii="Times New Roman" w:hAnsi="Times New Roman" w:cs="Times New Roman"/>
          <w:sz w:val="24"/>
          <w:szCs w:val="24"/>
          <w:vertAlign w:val="subscript"/>
        </w:rPr>
        <w:t>tot</w:t>
      </w:r>
      <w:r w:rsidRPr="0098752C">
        <w:rPr>
          <w:rFonts w:ascii="Times New Roman" w:hAnsi="Times New Roman" w:cs="Times New Roman"/>
          <w:sz w:val="24"/>
          <w:szCs w:val="24"/>
        </w:rPr>
        <w:t xml:space="preserve"> is forest biomass (the symbol used for biomass by Michaletz et al.) at time t; this is known also as net growth (Supplementary Appendix A, Eq. (A.4)). The term for biomass losses in Eq. (1.3) can be represented as </w:t>
      </w:r>
      <w:r w:rsidRPr="0098752C">
        <w:rPr>
          <w:rFonts w:ascii="Times New Roman" w:hAnsi="Times New Roman" w:cs="Times New Roman"/>
          <w:i/>
          <w:sz w:val="24"/>
          <w:szCs w:val="24"/>
          <w:lang w:val="en-US"/>
        </w:rPr>
        <w:t>B</w:t>
      </w:r>
      <w:r w:rsidRPr="0098752C">
        <w:rPr>
          <w:rFonts w:ascii="Times New Roman" w:hAnsi="Times New Roman" w:cs="Times New Roman"/>
          <w:i/>
          <w:sz w:val="24"/>
          <w:szCs w:val="24"/>
          <w:vertAlign w:val="subscript"/>
          <w:lang w:val="en-US"/>
        </w:rPr>
        <w:t>D</w:t>
      </w:r>
      <w:r w:rsidRPr="0098752C">
        <w:rPr>
          <w:rFonts w:ascii="Times New Roman" w:hAnsi="Times New Roman" w:cs="Times New Roman"/>
          <w:sz w:val="24"/>
          <w:szCs w:val="24"/>
          <w:lang w:val="en-US"/>
        </w:rPr>
        <w:t xml:space="preserve"> = </w:t>
      </w:r>
      <w:r w:rsidRPr="0098752C">
        <w:rPr>
          <w:rFonts w:ascii="Times New Roman" w:hAnsi="Times New Roman" w:cs="Times New Roman"/>
          <w:i/>
          <w:sz w:val="24"/>
          <w:szCs w:val="24"/>
        </w:rPr>
        <w:t>μ</w:t>
      </w:r>
      <w:r w:rsidRPr="0098752C">
        <w:rPr>
          <w:rFonts w:ascii="Times New Roman" w:hAnsi="Times New Roman" w:cs="Times New Roman"/>
          <w:sz w:val="24"/>
          <w:szCs w:val="24"/>
        </w:rPr>
        <w:t xml:space="preserve">(t), where </w:t>
      </w:r>
      <w:r w:rsidRPr="0098752C">
        <w:rPr>
          <w:rFonts w:ascii="Times New Roman" w:hAnsi="Times New Roman" w:cs="Times New Roman"/>
          <w:i/>
          <w:sz w:val="24"/>
          <w:szCs w:val="24"/>
        </w:rPr>
        <w:t>μ</w:t>
      </w:r>
      <w:r w:rsidRPr="0098752C">
        <w:rPr>
          <w:rFonts w:ascii="Times New Roman" w:hAnsi="Times New Roman" w:cs="Times New Roman"/>
          <w:sz w:val="24"/>
          <w:szCs w:val="24"/>
        </w:rPr>
        <w:t>(t) represents some function with time that determines the proportion of the biomass that is lost at time t. It then follows from its definition, that NPP at time t can be written as [d</w:t>
      </w:r>
      <w:r w:rsidRPr="0098752C">
        <w:rPr>
          <w:rFonts w:ascii="Times New Roman" w:hAnsi="Times New Roman" w:cs="Times New Roman"/>
          <w:i/>
          <w:sz w:val="24"/>
          <w:szCs w:val="24"/>
        </w:rPr>
        <w:t>M</w:t>
      </w:r>
      <w:r w:rsidRPr="0098752C">
        <w:rPr>
          <w:rFonts w:ascii="Times New Roman" w:hAnsi="Times New Roman" w:cs="Times New Roman"/>
          <w:sz w:val="24"/>
          <w:szCs w:val="24"/>
          <w:vertAlign w:val="subscript"/>
        </w:rPr>
        <w:t>tot</w:t>
      </w:r>
      <w:r w:rsidRPr="0098752C">
        <w:rPr>
          <w:rFonts w:ascii="Times New Roman" w:hAnsi="Times New Roman" w:cs="Times New Roman"/>
          <w:sz w:val="24"/>
          <w:szCs w:val="24"/>
        </w:rPr>
        <w:t xml:space="preserve">/dt + </w:t>
      </w:r>
      <w:r w:rsidRPr="0098752C">
        <w:rPr>
          <w:rFonts w:ascii="Times New Roman" w:hAnsi="Times New Roman" w:cs="Times New Roman"/>
          <w:i/>
          <w:sz w:val="24"/>
          <w:szCs w:val="24"/>
        </w:rPr>
        <w:t>μ</w:t>
      </w:r>
      <w:r w:rsidRPr="0098752C">
        <w:rPr>
          <w:rFonts w:ascii="Times New Roman" w:hAnsi="Times New Roman" w:cs="Times New Roman"/>
          <w:sz w:val="24"/>
          <w:szCs w:val="24"/>
        </w:rPr>
        <w:t>(t)</w:t>
      </w:r>
      <w:r w:rsidRPr="0098752C">
        <w:rPr>
          <w:rFonts w:ascii="Times New Roman" w:hAnsi="Times New Roman" w:cs="Times New Roman"/>
          <w:i/>
          <w:sz w:val="24"/>
          <w:szCs w:val="24"/>
        </w:rPr>
        <w:t>M</w:t>
      </w:r>
      <w:r w:rsidRPr="0098752C">
        <w:rPr>
          <w:rFonts w:ascii="Times New Roman" w:hAnsi="Times New Roman" w:cs="Times New Roman"/>
          <w:sz w:val="24"/>
          <w:szCs w:val="24"/>
          <w:vertAlign w:val="subscript"/>
        </w:rPr>
        <w:t>tot</w:t>
      </w:r>
      <w:r w:rsidRPr="0098752C">
        <w:rPr>
          <w:rFonts w:ascii="Times New Roman" w:hAnsi="Times New Roman" w:cs="Times New Roman"/>
          <w:sz w:val="24"/>
          <w:szCs w:val="24"/>
        </w:rPr>
        <w:t>]. Substituting this for NPP in Michaletz et al’s Eq. (3), which was their applied version of their basic model, their Eq. (1), leads to (with some changes in symbol usage for convenience here):</w:t>
      </w:r>
    </w:p>
    <w:p w:rsidR="00DA21A9" w:rsidRPr="0098752C" w:rsidRDefault="00DA21A9" w:rsidP="00DA21A9">
      <w:pPr>
        <w:spacing w:before="120" w:after="0" w:line="480" w:lineRule="auto"/>
        <w:jc w:val="both"/>
        <w:rPr>
          <w:rFonts w:ascii="Times New Roman" w:hAnsi="Times New Roman" w:cs="Times New Roman"/>
          <w:sz w:val="24"/>
          <w:szCs w:val="24"/>
        </w:rPr>
      </w:pPr>
      <w:r w:rsidRPr="0098752C">
        <w:rPr>
          <w:rFonts w:ascii="Times New Roman" w:hAnsi="Times New Roman" w:cs="Times New Roman"/>
          <w:sz w:val="24"/>
          <w:szCs w:val="24"/>
        </w:rPr>
        <w:t>[d</w:t>
      </w:r>
      <w:r w:rsidRPr="0098752C">
        <w:rPr>
          <w:rFonts w:ascii="Times New Roman" w:hAnsi="Times New Roman" w:cs="Times New Roman"/>
          <w:i/>
          <w:sz w:val="24"/>
          <w:szCs w:val="24"/>
        </w:rPr>
        <w:t>M</w:t>
      </w:r>
      <w:r w:rsidRPr="0098752C">
        <w:rPr>
          <w:rFonts w:ascii="Times New Roman" w:hAnsi="Times New Roman" w:cs="Times New Roman"/>
          <w:sz w:val="24"/>
          <w:szCs w:val="24"/>
          <w:vertAlign w:val="subscript"/>
        </w:rPr>
        <w:t>tot</w:t>
      </w:r>
      <w:r w:rsidRPr="0098752C">
        <w:rPr>
          <w:rFonts w:ascii="Times New Roman" w:hAnsi="Times New Roman" w:cs="Times New Roman"/>
          <w:sz w:val="24"/>
          <w:szCs w:val="24"/>
        </w:rPr>
        <w:t xml:space="preserve">/dt + </w:t>
      </w:r>
      <w:r w:rsidRPr="0098752C">
        <w:rPr>
          <w:rFonts w:ascii="Times New Roman" w:hAnsi="Times New Roman" w:cs="Times New Roman"/>
          <w:i/>
          <w:sz w:val="24"/>
          <w:szCs w:val="24"/>
        </w:rPr>
        <w:t>μ</w:t>
      </w:r>
      <w:r w:rsidRPr="0098752C">
        <w:rPr>
          <w:rFonts w:ascii="Times New Roman" w:hAnsi="Times New Roman" w:cs="Times New Roman"/>
          <w:sz w:val="24"/>
          <w:szCs w:val="24"/>
        </w:rPr>
        <w:t>(t)</w:t>
      </w:r>
      <w:r w:rsidRPr="0098752C">
        <w:rPr>
          <w:rFonts w:ascii="Times New Roman" w:hAnsi="Times New Roman" w:cs="Times New Roman"/>
          <w:i/>
          <w:sz w:val="24"/>
          <w:szCs w:val="24"/>
        </w:rPr>
        <w:t>M</w:t>
      </w:r>
      <w:r w:rsidRPr="0098752C">
        <w:rPr>
          <w:rFonts w:ascii="Times New Roman" w:hAnsi="Times New Roman" w:cs="Times New Roman"/>
          <w:sz w:val="24"/>
          <w:szCs w:val="24"/>
          <w:vertAlign w:val="subscript"/>
        </w:rPr>
        <w:t>tot</w:t>
      </w:r>
      <w:r w:rsidRPr="0098752C">
        <w:rPr>
          <w:rFonts w:ascii="Times New Roman" w:hAnsi="Times New Roman" w:cs="Times New Roman"/>
          <w:sz w:val="24"/>
          <w:szCs w:val="24"/>
        </w:rPr>
        <w:t xml:space="preserve">] = </w:t>
      </w:r>
      <w:r w:rsidRPr="0098752C">
        <w:rPr>
          <w:rFonts w:ascii="Times New Roman" w:hAnsi="Times New Roman" w:cs="Times New Roman"/>
          <w:i/>
          <w:sz w:val="24"/>
          <w:szCs w:val="24"/>
        </w:rPr>
        <w:t>β P</w:t>
      </w:r>
      <w:r w:rsidRPr="0098752C">
        <w:rPr>
          <w:rFonts w:ascii="Times New Roman" w:hAnsi="Times New Roman" w:cs="Times New Roman"/>
          <w:i/>
          <w:sz w:val="24"/>
          <w:szCs w:val="24"/>
          <w:vertAlign w:val="superscript"/>
        </w:rPr>
        <w:t xml:space="preserve">γ </w:t>
      </w:r>
      <w:r w:rsidRPr="0098752C">
        <w:rPr>
          <w:rFonts w:ascii="Times New Roman" w:hAnsi="Times New Roman" w:cs="Times New Roman"/>
          <w:i/>
          <w:sz w:val="24"/>
          <w:szCs w:val="24"/>
        </w:rPr>
        <w:t>l</w:t>
      </w:r>
      <w:r w:rsidRPr="0098752C">
        <w:rPr>
          <w:rFonts w:ascii="Times New Roman" w:hAnsi="Times New Roman" w:cs="Times New Roman"/>
          <w:i/>
          <w:sz w:val="24"/>
          <w:szCs w:val="24"/>
          <w:vertAlign w:val="subscript"/>
        </w:rPr>
        <w:t>gs</w:t>
      </w:r>
      <w:r w:rsidRPr="0098752C">
        <w:rPr>
          <w:rFonts w:ascii="Times New Roman" w:hAnsi="Times New Roman" w:cs="Times New Roman"/>
          <w:i/>
          <w:sz w:val="24"/>
          <w:szCs w:val="24"/>
          <w:vertAlign w:val="superscript"/>
        </w:rPr>
        <w:t>δ</w:t>
      </w:r>
      <w:r w:rsidRPr="0098752C">
        <w:rPr>
          <w:rFonts w:ascii="Times New Roman" w:hAnsi="Times New Roman" w:cs="Times New Roman"/>
          <w:i/>
          <w:sz w:val="24"/>
          <w:szCs w:val="24"/>
        </w:rPr>
        <w:t xml:space="preserve"> </w:t>
      </w:r>
      <w:r w:rsidRPr="0098752C">
        <w:rPr>
          <w:rFonts w:ascii="Times New Roman" w:hAnsi="Times New Roman" w:cs="Times New Roman"/>
          <w:sz w:val="24"/>
          <w:szCs w:val="24"/>
        </w:rPr>
        <w:t>t</w:t>
      </w:r>
      <w:r w:rsidRPr="0098752C">
        <w:rPr>
          <w:rFonts w:ascii="Times New Roman" w:hAnsi="Times New Roman" w:cs="Times New Roman"/>
          <w:i/>
          <w:sz w:val="24"/>
          <w:szCs w:val="24"/>
          <w:vertAlign w:val="superscript"/>
        </w:rPr>
        <w:t>ε</w:t>
      </w:r>
      <w:r w:rsidRPr="0098752C">
        <w:rPr>
          <w:rFonts w:ascii="Times New Roman" w:hAnsi="Times New Roman" w:cs="Times New Roman"/>
          <w:sz w:val="24"/>
          <w:szCs w:val="24"/>
        </w:rPr>
        <w:t>exp[</w:t>
      </w:r>
      <w:r w:rsidRPr="0098752C">
        <w:rPr>
          <w:rFonts w:ascii="Times New Roman" w:hAnsi="Times New Roman" w:cs="Times New Roman"/>
          <w:i/>
          <w:sz w:val="24"/>
          <w:szCs w:val="24"/>
        </w:rPr>
        <w:t>E</w:t>
      </w:r>
      <w:r w:rsidRPr="0098752C">
        <w:rPr>
          <w:rFonts w:ascii="Times New Roman" w:hAnsi="Times New Roman" w:cs="Times New Roman"/>
          <w:sz w:val="24"/>
          <w:szCs w:val="24"/>
        </w:rPr>
        <w:t>/(</w:t>
      </w:r>
      <w:r w:rsidRPr="0098752C">
        <w:rPr>
          <w:rFonts w:ascii="Times New Roman" w:hAnsi="Times New Roman" w:cs="Times New Roman"/>
          <w:i/>
          <w:sz w:val="24"/>
          <w:szCs w:val="24"/>
        </w:rPr>
        <w:t>kT</w:t>
      </w:r>
      <w:r w:rsidRPr="0098752C">
        <w:rPr>
          <w:rFonts w:ascii="Times New Roman" w:hAnsi="Times New Roman" w:cs="Times New Roman"/>
          <w:sz w:val="24"/>
          <w:szCs w:val="24"/>
        </w:rPr>
        <w:t>)]</w:t>
      </w:r>
      <w:r w:rsidRPr="0098752C">
        <w:rPr>
          <w:rFonts w:ascii="Times New Roman" w:hAnsi="Times New Roman" w:cs="Times New Roman"/>
          <w:i/>
          <w:sz w:val="24"/>
          <w:szCs w:val="24"/>
        </w:rPr>
        <w:t xml:space="preserve"> M</w:t>
      </w:r>
      <w:r w:rsidRPr="0098752C">
        <w:rPr>
          <w:rFonts w:ascii="Times New Roman" w:hAnsi="Times New Roman" w:cs="Times New Roman"/>
          <w:sz w:val="24"/>
          <w:szCs w:val="24"/>
          <w:vertAlign w:val="subscript"/>
        </w:rPr>
        <w:t>tot</w:t>
      </w:r>
      <w:r w:rsidRPr="0098752C">
        <w:rPr>
          <w:rFonts w:ascii="Times New Roman" w:hAnsi="Times New Roman" w:cs="Times New Roman"/>
          <w:i/>
          <w:sz w:val="24"/>
          <w:szCs w:val="24"/>
          <w:vertAlign w:val="superscript"/>
        </w:rPr>
        <w:t>α</w:t>
      </w:r>
      <w:r w:rsidRPr="0098752C">
        <w:rPr>
          <w:rFonts w:ascii="Times New Roman" w:hAnsi="Times New Roman" w:cs="Times New Roman"/>
          <w:sz w:val="24"/>
          <w:szCs w:val="24"/>
        </w:rPr>
        <w:t xml:space="preserve"> </w:t>
      </w:r>
      <w:r w:rsidRPr="0098752C">
        <w:rPr>
          <w:rFonts w:ascii="Times New Roman" w:hAnsi="Times New Roman" w:cs="Times New Roman"/>
          <w:sz w:val="24"/>
          <w:szCs w:val="24"/>
        </w:rPr>
        <w:tab/>
        <w:t>,</w:t>
      </w:r>
      <w:r w:rsidRPr="0098752C">
        <w:rPr>
          <w:rFonts w:ascii="Times New Roman" w:hAnsi="Times New Roman" w:cs="Times New Roman"/>
          <w:sz w:val="24"/>
          <w:szCs w:val="24"/>
        </w:rPr>
        <w:tab/>
      </w:r>
      <w:r w:rsidRPr="0098752C">
        <w:rPr>
          <w:rFonts w:ascii="Times New Roman" w:hAnsi="Times New Roman" w:cs="Times New Roman"/>
          <w:sz w:val="24"/>
          <w:szCs w:val="24"/>
        </w:rPr>
        <w:tab/>
      </w:r>
      <w:r w:rsidRPr="0098752C">
        <w:rPr>
          <w:rFonts w:ascii="Times New Roman" w:hAnsi="Times New Roman" w:cs="Times New Roman"/>
          <w:sz w:val="24"/>
          <w:szCs w:val="24"/>
        </w:rPr>
        <w:tab/>
      </w:r>
      <w:r w:rsidRPr="0098752C">
        <w:rPr>
          <w:rFonts w:ascii="Times New Roman" w:hAnsi="Times New Roman" w:cs="Times New Roman"/>
          <w:sz w:val="24"/>
          <w:szCs w:val="24"/>
        </w:rPr>
        <w:tab/>
        <w:t xml:space="preserve">     </w:t>
      </w:r>
      <w:r w:rsidR="000B4D9A">
        <w:rPr>
          <w:rFonts w:ascii="Times New Roman" w:hAnsi="Times New Roman" w:cs="Times New Roman"/>
          <w:sz w:val="24"/>
          <w:szCs w:val="24"/>
        </w:rPr>
        <w:tab/>
      </w:r>
      <w:r w:rsidR="000B4D9A">
        <w:rPr>
          <w:rFonts w:ascii="Times New Roman" w:hAnsi="Times New Roman" w:cs="Times New Roman"/>
          <w:sz w:val="24"/>
          <w:szCs w:val="24"/>
        </w:rPr>
        <w:tab/>
      </w:r>
      <w:r w:rsidR="000B4D9A">
        <w:rPr>
          <w:rFonts w:ascii="Times New Roman" w:hAnsi="Times New Roman" w:cs="Times New Roman"/>
          <w:sz w:val="24"/>
          <w:szCs w:val="24"/>
        </w:rPr>
        <w:tab/>
        <w:t xml:space="preserve"> </w:t>
      </w:r>
      <w:r w:rsidRPr="0098752C">
        <w:rPr>
          <w:rFonts w:ascii="Times New Roman" w:hAnsi="Times New Roman" w:cs="Times New Roman"/>
          <w:sz w:val="24"/>
          <w:szCs w:val="24"/>
        </w:rPr>
        <w:t>(</w:t>
      </w:r>
      <w:r w:rsidR="000B4D9A">
        <w:rPr>
          <w:rFonts w:ascii="Times New Roman" w:hAnsi="Times New Roman" w:cs="Times New Roman"/>
          <w:sz w:val="24"/>
          <w:szCs w:val="24"/>
        </w:rPr>
        <w:t>B</w:t>
      </w:r>
      <w:r w:rsidRPr="0098752C">
        <w:rPr>
          <w:rFonts w:ascii="Times New Roman" w:hAnsi="Times New Roman" w:cs="Times New Roman"/>
          <w:sz w:val="24"/>
          <w:szCs w:val="24"/>
        </w:rPr>
        <w:t>.1)</w:t>
      </w:r>
    </w:p>
    <w:p w:rsidR="00DA21A9" w:rsidRPr="0098752C" w:rsidRDefault="00DA21A9" w:rsidP="00DA21A9">
      <w:pPr>
        <w:spacing w:before="120" w:after="0" w:line="480" w:lineRule="auto"/>
        <w:jc w:val="both"/>
        <w:rPr>
          <w:rFonts w:ascii="Times New Roman" w:hAnsi="Times New Roman" w:cs="Times New Roman"/>
          <w:sz w:val="24"/>
          <w:szCs w:val="24"/>
        </w:rPr>
      </w:pPr>
      <w:r w:rsidRPr="0098752C">
        <w:rPr>
          <w:rFonts w:ascii="Times New Roman" w:hAnsi="Times New Roman" w:cs="Times New Roman"/>
          <w:sz w:val="24"/>
          <w:szCs w:val="24"/>
        </w:rPr>
        <w:t>where the independent variables are, for a site, its mean annual precipitation (</w:t>
      </w:r>
      <w:r w:rsidRPr="0098752C">
        <w:rPr>
          <w:rFonts w:ascii="Times New Roman" w:hAnsi="Times New Roman" w:cs="Times New Roman"/>
          <w:i/>
          <w:sz w:val="24"/>
          <w:szCs w:val="24"/>
        </w:rPr>
        <w:t>P</w:t>
      </w:r>
      <w:r w:rsidRPr="0098752C">
        <w:rPr>
          <w:rFonts w:ascii="Times New Roman" w:hAnsi="Times New Roman" w:cs="Times New Roman"/>
          <w:sz w:val="24"/>
          <w:szCs w:val="24"/>
        </w:rPr>
        <w:t>), the length of its growing season (</w:t>
      </w:r>
      <w:r w:rsidRPr="0098752C">
        <w:rPr>
          <w:rFonts w:ascii="Times New Roman" w:hAnsi="Times New Roman" w:cs="Times New Roman"/>
          <w:i/>
          <w:sz w:val="24"/>
          <w:szCs w:val="24"/>
        </w:rPr>
        <w:t>l</w:t>
      </w:r>
      <w:r w:rsidRPr="0098752C">
        <w:rPr>
          <w:rFonts w:ascii="Times New Roman" w:hAnsi="Times New Roman" w:cs="Times New Roman"/>
          <w:i/>
          <w:sz w:val="24"/>
          <w:szCs w:val="24"/>
          <w:vertAlign w:val="subscript"/>
        </w:rPr>
        <w:t>gs</w:t>
      </w:r>
      <w:r w:rsidRPr="0098752C">
        <w:rPr>
          <w:rFonts w:ascii="Times New Roman" w:hAnsi="Times New Roman" w:cs="Times New Roman"/>
          <w:sz w:val="24"/>
          <w:szCs w:val="24"/>
        </w:rPr>
        <w:t>) and its mean annual temperature (</w:t>
      </w:r>
      <w:r w:rsidRPr="0098752C">
        <w:rPr>
          <w:rFonts w:ascii="Times New Roman" w:hAnsi="Times New Roman" w:cs="Times New Roman"/>
          <w:i/>
          <w:sz w:val="24"/>
          <w:szCs w:val="24"/>
        </w:rPr>
        <w:t>T</w:t>
      </w:r>
      <w:r w:rsidRPr="0098752C">
        <w:rPr>
          <w:rFonts w:ascii="Times New Roman" w:hAnsi="Times New Roman" w:cs="Times New Roman"/>
          <w:sz w:val="24"/>
          <w:szCs w:val="24"/>
        </w:rPr>
        <w:t xml:space="preserve">), </w:t>
      </w:r>
      <w:r w:rsidRPr="0098752C">
        <w:rPr>
          <w:rFonts w:ascii="Times New Roman" w:hAnsi="Times New Roman" w:cs="Times New Roman"/>
          <w:i/>
          <w:sz w:val="24"/>
          <w:szCs w:val="24"/>
        </w:rPr>
        <w:t>k</w:t>
      </w:r>
      <w:r w:rsidRPr="0098752C">
        <w:rPr>
          <w:rFonts w:ascii="Times New Roman" w:hAnsi="Times New Roman" w:cs="Times New Roman"/>
          <w:sz w:val="24"/>
          <w:szCs w:val="24"/>
        </w:rPr>
        <w:t xml:space="preserve"> is Boltzmann’s constant and </w:t>
      </w:r>
      <w:r w:rsidRPr="0098752C">
        <w:rPr>
          <w:rFonts w:ascii="Times New Roman" w:hAnsi="Times New Roman" w:cs="Times New Roman"/>
          <w:i/>
          <w:sz w:val="24"/>
          <w:szCs w:val="24"/>
        </w:rPr>
        <w:t>β</w:t>
      </w:r>
      <w:r w:rsidRPr="0098752C">
        <w:rPr>
          <w:rFonts w:ascii="Times New Roman" w:hAnsi="Times New Roman" w:cs="Times New Roman"/>
          <w:sz w:val="24"/>
          <w:szCs w:val="24"/>
        </w:rPr>
        <w:t xml:space="preserve">, </w:t>
      </w:r>
      <w:r w:rsidRPr="0098752C">
        <w:rPr>
          <w:rFonts w:ascii="Times New Roman" w:hAnsi="Times New Roman" w:cs="Times New Roman"/>
          <w:i/>
          <w:sz w:val="24"/>
          <w:szCs w:val="24"/>
        </w:rPr>
        <w:t>γ</w:t>
      </w:r>
      <w:r w:rsidRPr="0098752C">
        <w:rPr>
          <w:rFonts w:ascii="Times New Roman" w:hAnsi="Times New Roman" w:cs="Times New Roman"/>
          <w:sz w:val="24"/>
          <w:szCs w:val="24"/>
        </w:rPr>
        <w:t>,</w:t>
      </w:r>
      <w:r w:rsidRPr="0098752C">
        <w:rPr>
          <w:rFonts w:ascii="Times New Roman" w:hAnsi="Times New Roman" w:cs="Times New Roman"/>
          <w:i/>
          <w:sz w:val="24"/>
          <w:szCs w:val="24"/>
        </w:rPr>
        <w:t xml:space="preserve"> δ</w:t>
      </w:r>
      <w:r w:rsidRPr="0098752C">
        <w:rPr>
          <w:rFonts w:ascii="Times New Roman" w:hAnsi="Times New Roman" w:cs="Times New Roman"/>
          <w:sz w:val="24"/>
          <w:szCs w:val="24"/>
        </w:rPr>
        <w:t>,</w:t>
      </w:r>
      <w:r w:rsidRPr="0098752C">
        <w:rPr>
          <w:rFonts w:ascii="Times New Roman" w:hAnsi="Times New Roman" w:cs="Times New Roman"/>
          <w:i/>
          <w:sz w:val="24"/>
          <w:szCs w:val="24"/>
        </w:rPr>
        <w:t xml:space="preserve"> ε</w:t>
      </w:r>
      <w:r w:rsidRPr="0098752C">
        <w:rPr>
          <w:rFonts w:ascii="Times New Roman" w:hAnsi="Times New Roman" w:cs="Times New Roman"/>
          <w:sz w:val="24"/>
          <w:szCs w:val="24"/>
        </w:rPr>
        <w:t>,</w:t>
      </w:r>
      <w:r w:rsidRPr="0098752C">
        <w:rPr>
          <w:rFonts w:ascii="Times New Roman" w:hAnsi="Times New Roman" w:cs="Times New Roman"/>
          <w:i/>
          <w:sz w:val="24"/>
          <w:szCs w:val="24"/>
        </w:rPr>
        <w:t xml:space="preserve"> E</w:t>
      </w:r>
      <w:r w:rsidRPr="0098752C">
        <w:rPr>
          <w:rFonts w:ascii="Times New Roman" w:hAnsi="Times New Roman" w:cs="Times New Roman"/>
          <w:sz w:val="24"/>
          <w:szCs w:val="24"/>
        </w:rPr>
        <w:t xml:space="preserve">, and </w:t>
      </w:r>
      <w:r w:rsidRPr="0098752C">
        <w:rPr>
          <w:rFonts w:ascii="Times New Roman" w:hAnsi="Times New Roman" w:cs="Times New Roman"/>
          <w:i/>
          <w:sz w:val="24"/>
          <w:szCs w:val="24"/>
        </w:rPr>
        <w:t xml:space="preserve">α </w:t>
      </w:r>
      <w:r w:rsidRPr="0098752C">
        <w:rPr>
          <w:rFonts w:ascii="Times New Roman" w:hAnsi="Times New Roman" w:cs="Times New Roman"/>
          <w:sz w:val="24"/>
          <w:szCs w:val="24"/>
        </w:rPr>
        <w:t xml:space="preserve">are parameters to be estimated. Of course, the function </w:t>
      </w:r>
      <w:r w:rsidRPr="0098752C">
        <w:rPr>
          <w:rFonts w:ascii="Times New Roman" w:hAnsi="Times New Roman" w:cs="Times New Roman"/>
          <w:i/>
          <w:sz w:val="24"/>
          <w:szCs w:val="24"/>
        </w:rPr>
        <w:t>μ</w:t>
      </w:r>
      <w:r w:rsidRPr="0098752C">
        <w:rPr>
          <w:rFonts w:ascii="Times New Roman" w:hAnsi="Times New Roman" w:cs="Times New Roman"/>
          <w:sz w:val="24"/>
          <w:szCs w:val="24"/>
        </w:rPr>
        <w:t>(t) may well have to include climatic factors that affect litter losses and tree mortality. Eq. (</w:t>
      </w:r>
      <w:r w:rsidR="000B4D9A">
        <w:rPr>
          <w:rFonts w:ascii="Times New Roman" w:hAnsi="Times New Roman" w:cs="Times New Roman"/>
          <w:sz w:val="24"/>
          <w:szCs w:val="24"/>
        </w:rPr>
        <w:t>B</w:t>
      </w:r>
      <w:r w:rsidRPr="0098752C">
        <w:rPr>
          <w:rFonts w:ascii="Times New Roman" w:hAnsi="Times New Roman" w:cs="Times New Roman"/>
          <w:sz w:val="24"/>
          <w:szCs w:val="24"/>
        </w:rPr>
        <w:t>.1) is a rather complex differential equation that may prove difficult to apply in practice. But in this form, it is clear that Michaletz et al’s model relates biomass growth, as the dependent variable, to age and climatic factors as the independent variables. Their conclusion that climatic factors do not influence NPP directly simply reflects the fact that, if the biomass of a forest stand is known at some age ‒ a biomass that</w:t>
      </w:r>
      <w:r w:rsidRPr="0098752C">
        <w:rPr>
          <w:rFonts w:ascii="Times New Roman" w:hAnsi="Times New Roman" w:cs="Times New Roman"/>
          <w:i/>
          <w:sz w:val="24"/>
          <w:szCs w:val="24"/>
        </w:rPr>
        <w:t xml:space="preserve"> </w:t>
      </w:r>
      <w:r w:rsidRPr="0098752C">
        <w:rPr>
          <w:rFonts w:ascii="Times New Roman" w:hAnsi="Times New Roman" w:cs="Times New Roman"/>
          <w:sz w:val="24"/>
          <w:szCs w:val="24"/>
        </w:rPr>
        <w:t>will have been determined by the climatic circumstances under which it developed ‒ its subsequent biomass growth may well be represented by a model that includes biomass and age only.</w:t>
      </w:r>
    </w:p>
    <w:p w:rsidR="00DA21A9" w:rsidRPr="0098752C" w:rsidRDefault="00DA21A9" w:rsidP="00DA21A9">
      <w:pPr>
        <w:spacing w:line="480" w:lineRule="auto"/>
        <w:jc w:val="both"/>
        <w:rPr>
          <w:rFonts w:ascii="Times New Roman" w:hAnsi="Times New Roman" w:cs="Times New Roman"/>
          <w:b/>
          <w:sz w:val="24"/>
          <w:szCs w:val="24"/>
        </w:rPr>
      </w:pPr>
      <w:r w:rsidRPr="0098752C">
        <w:rPr>
          <w:rFonts w:ascii="Times New Roman" w:hAnsi="Times New Roman" w:cs="Times New Roman"/>
          <w:b/>
          <w:sz w:val="24"/>
          <w:szCs w:val="24"/>
        </w:rPr>
        <w:br w:type="page"/>
      </w:r>
    </w:p>
    <w:p w:rsidR="00DA21A9" w:rsidRPr="00C3264B" w:rsidRDefault="00DA21A9" w:rsidP="00DA21A9">
      <w:pPr>
        <w:spacing w:after="240" w:line="480" w:lineRule="auto"/>
        <w:jc w:val="both"/>
        <w:rPr>
          <w:rFonts w:ascii="Times New Roman" w:hAnsi="Times New Roman" w:cs="Times New Roman"/>
          <w:b/>
          <w:sz w:val="26"/>
          <w:szCs w:val="26"/>
          <w:u w:val="single"/>
        </w:rPr>
      </w:pPr>
      <w:r w:rsidRPr="00C3264B">
        <w:rPr>
          <w:rFonts w:ascii="Times New Roman" w:hAnsi="Times New Roman" w:cs="Times New Roman"/>
          <w:b/>
          <w:sz w:val="26"/>
          <w:szCs w:val="26"/>
          <w:u w:val="single"/>
        </w:rPr>
        <w:lastRenderedPageBreak/>
        <w:t>Supplementary Appendix C</w:t>
      </w:r>
    </w:p>
    <w:p w:rsidR="00DA21A9" w:rsidRPr="0098752C" w:rsidRDefault="00DA21A9" w:rsidP="00DA21A9">
      <w:pPr>
        <w:spacing w:after="240" w:line="480" w:lineRule="auto"/>
        <w:jc w:val="both"/>
        <w:rPr>
          <w:rFonts w:ascii="Times New Roman" w:hAnsi="Times New Roman" w:cs="Times New Roman"/>
          <w:b/>
          <w:sz w:val="26"/>
          <w:szCs w:val="26"/>
        </w:rPr>
      </w:pPr>
      <w:r w:rsidRPr="0098752C">
        <w:rPr>
          <w:rFonts w:ascii="Times New Roman" w:hAnsi="Times New Roman" w:cs="Times New Roman"/>
          <w:b/>
          <w:sz w:val="26"/>
          <w:szCs w:val="26"/>
        </w:rPr>
        <w:t>Critical assessment of the data analysis of Tang et al. (2014)</w:t>
      </w:r>
    </w:p>
    <w:p w:rsidR="00DA21A9" w:rsidRPr="0098752C" w:rsidRDefault="00DA21A9" w:rsidP="00DA21A9">
      <w:pPr>
        <w:spacing w:before="120" w:after="0" w:line="480" w:lineRule="auto"/>
        <w:jc w:val="both"/>
        <w:rPr>
          <w:rFonts w:ascii="Times New Roman" w:hAnsi="Times New Roman" w:cs="Times New Roman"/>
          <w:sz w:val="24"/>
          <w:szCs w:val="24"/>
        </w:rPr>
      </w:pPr>
      <w:r w:rsidRPr="0098752C">
        <w:rPr>
          <w:rFonts w:ascii="Times New Roman" w:hAnsi="Times New Roman" w:cs="Times New Roman"/>
          <w:sz w:val="24"/>
          <w:szCs w:val="24"/>
        </w:rPr>
        <w:t>The problem with the analysis used by Tang et al. (2014) arises from the function they chose to describe their data. This related productivity (</w:t>
      </w:r>
      <w:r w:rsidRPr="0098752C">
        <w:rPr>
          <w:rFonts w:ascii="Times New Roman" w:hAnsi="Times New Roman" w:cs="Times New Roman"/>
          <w:i/>
          <w:sz w:val="24"/>
          <w:szCs w:val="24"/>
        </w:rPr>
        <w:t>P</w:t>
      </w:r>
      <w:r w:rsidRPr="0098752C">
        <w:rPr>
          <w:rFonts w:ascii="Times New Roman" w:hAnsi="Times New Roman" w:cs="Times New Roman"/>
          <w:sz w:val="24"/>
          <w:szCs w:val="24"/>
        </w:rPr>
        <w:t>, g C m</w:t>
      </w:r>
      <w:r w:rsidRPr="0098752C">
        <w:rPr>
          <w:rFonts w:ascii="Times New Roman" w:hAnsi="Times New Roman" w:cs="Times New Roman"/>
          <w:sz w:val="24"/>
          <w:szCs w:val="24"/>
          <w:vertAlign w:val="superscript"/>
        </w:rPr>
        <w:t>‒2</w:t>
      </w:r>
      <w:r w:rsidRPr="0098752C">
        <w:rPr>
          <w:rFonts w:ascii="Times New Roman" w:hAnsi="Times New Roman" w:cs="Times New Roman"/>
          <w:sz w:val="24"/>
          <w:szCs w:val="24"/>
        </w:rPr>
        <w:t xml:space="preserve"> yr</w:t>
      </w:r>
      <w:r w:rsidRPr="0098752C">
        <w:rPr>
          <w:rFonts w:ascii="Times New Roman" w:hAnsi="Times New Roman" w:cs="Times New Roman"/>
          <w:sz w:val="24"/>
          <w:szCs w:val="24"/>
          <w:vertAlign w:val="superscript"/>
        </w:rPr>
        <w:t>‒1</w:t>
      </w:r>
      <w:r w:rsidRPr="0098752C">
        <w:rPr>
          <w:rFonts w:ascii="Times New Roman" w:hAnsi="Times New Roman" w:cs="Times New Roman"/>
          <w:sz w:val="24"/>
          <w:szCs w:val="24"/>
        </w:rPr>
        <w:t>) (GPP or NPP) to forest age (</w:t>
      </w:r>
      <w:r w:rsidRPr="0098752C">
        <w:rPr>
          <w:rFonts w:ascii="Times New Roman" w:hAnsi="Times New Roman" w:cs="Times New Roman"/>
          <w:i/>
          <w:sz w:val="24"/>
          <w:szCs w:val="24"/>
        </w:rPr>
        <w:t>A</w:t>
      </w:r>
      <w:r w:rsidRPr="0098752C">
        <w:rPr>
          <w:rFonts w:ascii="Times New Roman" w:hAnsi="Times New Roman" w:cs="Times New Roman"/>
          <w:sz w:val="24"/>
          <w:szCs w:val="24"/>
        </w:rPr>
        <w:t>, yr) as:</w:t>
      </w:r>
    </w:p>
    <w:p w:rsidR="00DA21A9" w:rsidRPr="0098752C" w:rsidRDefault="00DA21A9" w:rsidP="00DA21A9">
      <w:pPr>
        <w:spacing w:before="120" w:after="0" w:line="480" w:lineRule="auto"/>
        <w:jc w:val="both"/>
        <w:rPr>
          <w:rFonts w:ascii="Times New Roman" w:hAnsi="Times New Roman" w:cs="Times New Roman"/>
          <w:sz w:val="24"/>
          <w:szCs w:val="24"/>
        </w:rPr>
      </w:pPr>
      <w:r w:rsidRPr="0098752C">
        <w:rPr>
          <w:rFonts w:ascii="Times New Roman" w:hAnsi="Times New Roman" w:cs="Times New Roman"/>
          <w:i/>
          <w:sz w:val="24"/>
          <w:szCs w:val="24"/>
        </w:rPr>
        <w:t>P</w:t>
      </w:r>
      <w:r w:rsidRPr="0098752C">
        <w:rPr>
          <w:rFonts w:ascii="Times New Roman" w:hAnsi="Times New Roman" w:cs="Times New Roman"/>
          <w:sz w:val="24"/>
          <w:szCs w:val="24"/>
        </w:rPr>
        <w:t xml:space="preserve"> = </w:t>
      </w:r>
      <w:r w:rsidRPr="0098752C">
        <w:rPr>
          <w:rFonts w:ascii="Times New Roman" w:hAnsi="Times New Roman" w:cs="Times New Roman"/>
          <w:i/>
          <w:sz w:val="24"/>
          <w:szCs w:val="24"/>
        </w:rPr>
        <w:t>dA</w:t>
      </w:r>
      <w:r w:rsidRPr="0098752C">
        <w:rPr>
          <w:rFonts w:ascii="Times New Roman" w:hAnsi="Times New Roman" w:cs="Times New Roman"/>
          <w:i/>
          <w:sz w:val="24"/>
          <w:szCs w:val="24"/>
          <w:vertAlign w:val="superscript"/>
        </w:rPr>
        <w:t>e</w:t>
      </w:r>
      <w:r w:rsidRPr="0098752C">
        <w:rPr>
          <w:rFonts w:ascii="Times New Roman" w:hAnsi="Times New Roman" w:cs="Times New Roman"/>
          <w:sz w:val="24"/>
          <w:szCs w:val="24"/>
        </w:rPr>
        <w:t>exp(</w:t>
      </w:r>
      <w:r w:rsidRPr="0098752C">
        <w:rPr>
          <w:rFonts w:ascii="Times New Roman" w:hAnsi="Times New Roman" w:cs="Times New Roman"/>
          <w:i/>
          <w:sz w:val="24"/>
          <w:szCs w:val="24"/>
        </w:rPr>
        <w:t>fA</w:t>
      </w:r>
      <w:r w:rsidRPr="0098752C">
        <w:rPr>
          <w:rFonts w:ascii="Times New Roman" w:hAnsi="Times New Roman" w:cs="Times New Roman"/>
          <w:sz w:val="24"/>
          <w:szCs w:val="24"/>
        </w:rPr>
        <w:t xml:space="preserve">)     </w:t>
      </w:r>
      <w:r>
        <w:rPr>
          <w:rFonts w:ascii="Times New Roman" w:hAnsi="Times New Roman" w:cs="Times New Roman"/>
          <w:sz w:val="24"/>
          <w:szCs w:val="24"/>
        </w:rPr>
        <w:t>,</w:t>
      </w:r>
      <w:r w:rsidRPr="0098752C">
        <w:rPr>
          <w:rFonts w:ascii="Times New Roman" w:hAnsi="Times New Roman" w:cs="Times New Roman"/>
          <w:sz w:val="24"/>
          <w:szCs w:val="24"/>
        </w:rPr>
        <w:tab/>
      </w:r>
      <w:r w:rsidRPr="0098752C">
        <w:rPr>
          <w:rFonts w:ascii="Times New Roman" w:hAnsi="Times New Roman" w:cs="Times New Roman"/>
          <w:sz w:val="24"/>
          <w:szCs w:val="24"/>
        </w:rPr>
        <w:tab/>
      </w:r>
      <w:r w:rsidRPr="0098752C">
        <w:rPr>
          <w:rFonts w:ascii="Times New Roman" w:hAnsi="Times New Roman" w:cs="Times New Roman"/>
          <w:sz w:val="24"/>
          <w:szCs w:val="24"/>
        </w:rPr>
        <w:tab/>
      </w:r>
      <w:r w:rsidRPr="0098752C">
        <w:rPr>
          <w:rFonts w:ascii="Times New Roman" w:hAnsi="Times New Roman" w:cs="Times New Roman"/>
          <w:sz w:val="24"/>
          <w:szCs w:val="24"/>
        </w:rPr>
        <w:tab/>
      </w:r>
      <w:r w:rsidRPr="0098752C">
        <w:rPr>
          <w:rFonts w:ascii="Times New Roman" w:hAnsi="Times New Roman" w:cs="Times New Roman"/>
          <w:sz w:val="24"/>
          <w:szCs w:val="24"/>
        </w:rPr>
        <w:tab/>
      </w:r>
      <w:r w:rsidRPr="0098752C">
        <w:rPr>
          <w:rFonts w:ascii="Times New Roman" w:hAnsi="Times New Roman" w:cs="Times New Roman"/>
          <w:sz w:val="24"/>
          <w:szCs w:val="24"/>
        </w:rPr>
        <w:tab/>
      </w:r>
      <w:r w:rsidRPr="0098752C">
        <w:rPr>
          <w:rFonts w:ascii="Times New Roman" w:hAnsi="Times New Roman" w:cs="Times New Roman"/>
          <w:sz w:val="24"/>
          <w:szCs w:val="24"/>
        </w:rPr>
        <w:tab/>
        <w:t xml:space="preserve">                             (C.1)</w:t>
      </w:r>
    </w:p>
    <w:p w:rsidR="00DA21A9" w:rsidRPr="0098752C" w:rsidRDefault="00DA21A9" w:rsidP="00DA21A9">
      <w:pPr>
        <w:spacing w:before="12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where </w:t>
      </w:r>
      <w:r>
        <w:rPr>
          <w:rFonts w:ascii="Times New Roman" w:hAnsi="Times New Roman" w:cs="Times New Roman"/>
          <w:i/>
          <w:sz w:val="24"/>
          <w:szCs w:val="24"/>
        </w:rPr>
        <w:t>d</w:t>
      </w:r>
      <w:r>
        <w:rPr>
          <w:rFonts w:ascii="Times New Roman" w:hAnsi="Times New Roman" w:cs="Times New Roman"/>
          <w:sz w:val="24"/>
          <w:szCs w:val="24"/>
        </w:rPr>
        <w:t xml:space="preserve">, </w:t>
      </w:r>
      <w:r>
        <w:rPr>
          <w:rFonts w:ascii="Times New Roman" w:hAnsi="Times New Roman" w:cs="Times New Roman"/>
          <w:i/>
          <w:sz w:val="24"/>
          <w:szCs w:val="24"/>
        </w:rPr>
        <w:t>e</w:t>
      </w:r>
      <w:r>
        <w:rPr>
          <w:rFonts w:ascii="Times New Roman" w:hAnsi="Times New Roman" w:cs="Times New Roman"/>
          <w:sz w:val="24"/>
          <w:szCs w:val="24"/>
        </w:rPr>
        <w:t xml:space="preserve"> and </w:t>
      </w:r>
      <w:r>
        <w:rPr>
          <w:rFonts w:ascii="Times New Roman" w:hAnsi="Times New Roman" w:cs="Times New Roman"/>
          <w:i/>
          <w:sz w:val="24"/>
          <w:szCs w:val="24"/>
        </w:rPr>
        <w:t>f</w:t>
      </w:r>
      <w:r>
        <w:rPr>
          <w:rFonts w:ascii="Times New Roman" w:hAnsi="Times New Roman" w:cs="Times New Roman"/>
          <w:sz w:val="24"/>
          <w:szCs w:val="24"/>
        </w:rPr>
        <w:t xml:space="preserve"> are parameters to be estimated. </w:t>
      </w:r>
      <w:r w:rsidRPr="0098752C">
        <w:rPr>
          <w:rFonts w:ascii="Times New Roman" w:hAnsi="Times New Roman" w:cs="Times New Roman"/>
          <w:sz w:val="24"/>
          <w:szCs w:val="24"/>
        </w:rPr>
        <w:t xml:space="preserve">This function is such that for positive </w:t>
      </w:r>
      <w:r w:rsidRPr="0098752C">
        <w:rPr>
          <w:rFonts w:ascii="Times New Roman" w:hAnsi="Times New Roman" w:cs="Times New Roman"/>
          <w:i/>
          <w:sz w:val="24"/>
          <w:szCs w:val="24"/>
        </w:rPr>
        <w:t>A</w:t>
      </w:r>
      <w:r w:rsidRPr="0098752C">
        <w:rPr>
          <w:rFonts w:ascii="Times New Roman" w:hAnsi="Times New Roman" w:cs="Times New Roman"/>
          <w:sz w:val="24"/>
          <w:szCs w:val="24"/>
        </w:rPr>
        <w:t xml:space="preserve">, productivity either increases with increasing </w:t>
      </w:r>
      <w:r w:rsidRPr="0098752C">
        <w:rPr>
          <w:rFonts w:ascii="Times New Roman" w:hAnsi="Times New Roman" w:cs="Times New Roman"/>
          <w:i/>
          <w:sz w:val="24"/>
          <w:szCs w:val="24"/>
        </w:rPr>
        <w:t>A</w:t>
      </w:r>
      <w:r w:rsidRPr="0098752C">
        <w:rPr>
          <w:rFonts w:ascii="Times New Roman" w:hAnsi="Times New Roman" w:cs="Times New Roman"/>
          <w:sz w:val="24"/>
          <w:szCs w:val="24"/>
        </w:rPr>
        <w:t xml:space="preserve"> to a maximum and declines thereafter or decreases with increasing </w:t>
      </w:r>
      <w:r w:rsidRPr="0098752C">
        <w:rPr>
          <w:rFonts w:ascii="Times New Roman" w:hAnsi="Times New Roman" w:cs="Times New Roman"/>
          <w:i/>
          <w:sz w:val="24"/>
          <w:szCs w:val="24"/>
        </w:rPr>
        <w:t>A</w:t>
      </w:r>
      <w:r w:rsidRPr="0098752C">
        <w:rPr>
          <w:rFonts w:ascii="Times New Roman" w:hAnsi="Times New Roman" w:cs="Times New Roman"/>
          <w:sz w:val="24"/>
          <w:szCs w:val="24"/>
        </w:rPr>
        <w:t xml:space="preserve"> to a minimum and increases thereafter. The maximum or minimum occurs at an age of –</w:t>
      </w:r>
      <w:r w:rsidRPr="0098752C">
        <w:rPr>
          <w:rFonts w:ascii="Times New Roman" w:hAnsi="Times New Roman" w:cs="Times New Roman"/>
          <w:i/>
          <w:sz w:val="24"/>
          <w:szCs w:val="24"/>
        </w:rPr>
        <w:t>e</w:t>
      </w:r>
      <w:r w:rsidRPr="0098752C">
        <w:rPr>
          <w:rFonts w:ascii="Times New Roman" w:hAnsi="Times New Roman" w:cs="Times New Roman"/>
          <w:sz w:val="24"/>
          <w:szCs w:val="24"/>
        </w:rPr>
        <w:t>/</w:t>
      </w:r>
      <w:r w:rsidRPr="0098752C">
        <w:rPr>
          <w:rFonts w:ascii="Times New Roman" w:hAnsi="Times New Roman" w:cs="Times New Roman"/>
          <w:i/>
          <w:sz w:val="24"/>
          <w:szCs w:val="24"/>
        </w:rPr>
        <w:t>f</w:t>
      </w:r>
      <w:r w:rsidRPr="0098752C">
        <w:rPr>
          <w:rFonts w:ascii="Times New Roman" w:hAnsi="Times New Roman" w:cs="Times New Roman"/>
          <w:sz w:val="24"/>
          <w:szCs w:val="24"/>
        </w:rPr>
        <w:t xml:space="preserve">. If either </w:t>
      </w:r>
      <w:r w:rsidRPr="0098752C">
        <w:rPr>
          <w:rFonts w:ascii="Times New Roman" w:hAnsi="Times New Roman" w:cs="Times New Roman"/>
          <w:i/>
          <w:sz w:val="24"/>
          <w:szCs w:val="24"/>
        </w:rPr>
        <w:t>e</w:t>
      </w:r>
      <w:r w:rsidRPr="0098752C">
        <w:rPr>
          <w:rFonts w:ascii="Times New Roman" w:hAnsi="Times New Roman" w:cs="Times New Roman"/>
          <w:sz w:val="24"/>
          <w:szCs w:val="24"/>
        </w:rPr>
        <w:t xml:space="preserve">=0 or </w:t>
      </w:r>
      <w:r w:rsidRPr="0098752C">
        <w:rPr>
          <w:rFonts w:ascii="Times New Roman" w:hAnsi="Times New Roman" w:cs="Times New Roman"/>
          <w:i/>
          <w:sz w:val="24"/>
          <w:szCs w:val="24"/>
        </w:rPr>
        <w:t>f</w:t>
      </w:r>
      <w:r w:rsidRPr="0098752C">
        <w:rPr>
          <w:rFonts w:ascii="Times New Roman" w:hAnsi="Times New Roman" w:cs="Times New Roman"/>
          <w:sz w:val="24"/>
          <w:szCs w:val="24"/>
        </w:rPr>
        <w:t xml:space="preserve">=0, productivity will necessarily either increase or decrease as </w:t>
      </w:r>
      <w:r w:rsidRPr="0098752C">
        <w:rPr>
          <w:rFonts w:ascii="Times New Roman" w:hAnsi="Times New Roman" w:cs="Times New Roman"/>
          <w:i/>
          <w:sz w:val="24"/>
          <w:szCs w:val="24"/>
        </w:rPr>
        <w:t xml:space="preserve">A </w:t>
      </w:r>
      <w:r w:rsidRPr="0098752C">
        <w:rPr>
          <w:rFonts w:ascii="Times New Roman" w:hAnsi="Times New Roman" w:cs="Times New Roman"/>
          <w:sz w:val="24"/>
          <w:szCs w:val="24"/>
        </w:rPr>
        <w:t xml:space="preserve">increases. The only circumstance that will lead to this function not displaying increasing or decreasing productivity with age is the trivial case with </w:t>
      </w:r>
      <w:r w:rsidRPr="0098752C">
        <w:rPr>
          <w:rFonts w:ascii="Times New Roman" w:hAnsi="Times New Roman" w:cs="Times New Roman"/>
          <w:i/>
          <w:sz w:val="24"/>
          <w:szCs w:val="24"/>
        </w:rPr>
        <w:t>e</w:t>
      </w:r>
      <w:r w:rsidRPr="0098752C">
        <w:rPr>
          <w:rFonts w:ascii="Times New Roman" w:hAnsi="Times New Roman" w:cs="Times New Roman"/>
          <w:sz w:val="24"/>
          <w:szCs w:val="24"/>
        </w:rPr>
        <w:t>=</w:t>
      </w:r>
      <w:r w:rsidRPr="0098752C">
        <w:rPr>
          <w:rFonts w:ascii="Times New Roman" w:hAnsi="Times New Roman" w:cs="Times New Roman"/>
          <w:i/>
          <w:sz w:val="24"/>
          <w:szCs w:val="24"/>
        </w:rPr>
        <w:t>f</w:t>
      </w:r>
      <w:r w:rsidRPr="0098752C">
        <w:rPr>
          <w:rFonts w:ascii="Times New Roman" w:hAnsi="Times New Roman" w:cs="Times New Roman"/>
          <w:sz w:val="24"/>
          <w:szCs w:val="24"/>
        </w:rPr>
        <w:t xml:space="preserve">=0 when the function becomes a horizontal line where </w:t>
      </w:r>
      <w:r w:rsidRPr="0098752C">
        <w:rPr>
          <w:rFonts w:ascii="Times New Roman" w:hAnsi="Times New Roman" w:cs="Times New Roman"/>
          <w:i/>
          <w:sz w:val="24"/>
          <w:szCs w:val="24"/>
        </w:rPr>
        <w:t>P</w:t>
      </w:r>
      <w:r w:rsidRPr="0098752C">
        <w:rPr>
          <w:rFonts w:ascii="Times New Roman" w:hAnsi="Times New Roman" w:cs="Times New Roman"/>
          <w:sz w:val="24"/>
          <w:szCs w:val="24"/>
        </w:rPr>
        <w:t>=</w:t>
      </w:r>
      <w:r w:rsidRPr="0098752C">
        <w:rPr>
          <w:rFonts w:ascii="Times New Roman" w:hAnsi="Times New Roman" w:cs="Times New Roman"/>
          <w:i/>
          <w:sz w:val="24"/>
          <w:szCs w:val="24"/>
        </w:rPr>
        <w:t>d</w:t>
      </w:r>
      <w:r w:rsidRPr="0098752C">
        <w:rPr>
          <w:rFonts w:ascii="Times New Roman" w:hAnsi="Times New Roman" w:cs="Times New Roman"/>
          <w:sz w:val="24"/>
          <w:szCs w:val="24"/>
        </w:rPr>
        <w:t xml:space="preserve"> for all ages.</w:t>
      </w:r>
    </w:p>
    <w:p w:rsidR="00DA21A9" w:rsidRPr="0098752C" w:rsidRDefault="00DA21A9" w:rsidP="00DA21A9">
      <w:pPr>
        <w:spacing w:after="0"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 xml:space="preserve">It is certainly to be expected that productivity will rise during earlier life of the forest as the trees grow larger and they increase their canopy size allowing increasing photosynthesis, hence increasing GPP. Through their use of Eq. (C.1), Tang et al. (2014) </w:t>
      </w:r>
      <w:r w:rsidRPr="00C3264B">
        <w:rPr>
          <w:rFonts w:ascii="Times New Roman" w:hAnsi="Times New Roman" w:cs="Times New Roman"/>
          <w:sz w:val="24"/>
          <w:szCs w:val="24"/>
        </w:rPr>
        <w:t xml:space="preserve">assumed </w:t>
      </w:r>
      <w:r w:rsidRPr="0098752C">
        <w:rPr>
          <w:rFonts w:ascii="Times New Roman" w:hAnsi="Times New Roman" w:cs="Times New Roman"/>
          <w:sz w:val="24"/>
          <w:szCs w:val="24"/>
        </w:rPr>
        <w:t>implicitly that GPP would decline with age after reaching a maximum and, inevitably, they then proceeded to conclude that was so. The following discussion attempts to illustrate how it is possible to reach that conclusion even though the data do not support it.</w:t>
      </w:r>
    </w:p>
    <w:p w:rsidR="00DA21A9" w:rsidRPr="0098752C" w:rsidRDefault="00DA21A9" w:rsidP="00DA21A9">
      <w:pPr>
        <w:spacing w:after="0"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 xml:space="preserve">Unfortunately, the present author was unable to identify exactly which of the observations in the data set of Luyssaert et al. (2007) Tang et al. (2014) used to draw their conclusions. For the purposes of illustration here, a subset of the Luyssaert et al. (2007) data was used that included results of GPP measurement at sites for which the mean annual temperature had been measured. At many sites GPP had been measured at a number of forest </w:t>
      </w:r>
      <w:r w:rsidRPr="0098752C">
        <w:rPr>
          <w:rFonts w:ascii="Times New Roman" w:hAnsi="Times New Roman" w:cs="Times New Roman"/>
          <w:sz w:val="24"/>
          <w:szCs w:val="24"/>
        </w:rPr>
        <w:lastRenderedPageBreak/>
        <w:t>ages. As discussed in the main text, problems arise with hypothesis testing of regression results when multiple measurements (several GPP measurements at various ages) are available from individual sampling units (the sites) (West et al. 1984). To avoid this problem, the available data were reduced by random selection to include no more then one GPP observation from any site</w:t>
      </w:r>
    </w:p>
    <w:p w:rsidR="00DA21A9" w:rsidRPr="0098752C" w:rsidRDefault="00DA21A9" w:rsidP="00DA21A9">
      <w:pPr>
        <w:spacing w:after="0"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 xml:space="preserve">Fig. C.1 shows a scatter plot of 34 selected estimates of GPP plotted against forest age. To the eye, there is no hint of any relationship existing between GPP and age. When Eq. (C.1) was fitted to these data (it was done so using multiple linear least-squares regression after logarithmic conversion of the data), it yielded the model: </w:t>
      </w:r>
    </w:p>
    <w:p w:rsidR="00DA21A9" w:rsidRPr="0098752C" w:rsidRDefault="00DA21A9" w:rsidP="00DA21A9">
      <w:pPr>
        <w:spacing w:before="120" w:after="0" w:line="480" w:lineRule="auto"/>
        <w:jc w:val="both"/>
        <w:rPr>
          <w:rFonts w:ascii="Times New Roman" w:hAnsi="Times New Roman" w:cs="Times New Roman"/>
          <w:sz w:val="24"/>
          <w:szCs w:val="24"/>
        </w:rPr>
      </w:pPr>
      <w:r w:rsidRPr="0098752C">
        <w:rPr>
          <w:rFonts w:ascii="Times New Roman" w:hAnsi="Times New Roman" w:cs="Times New Roman"/>
          <w:i/>
          <w:sz w:val="24"/>
          <w:szCs w:val="24"/>
        </w:rPr>
        <w:t>G</w:t>
      </w:r>
      <w:r w:rsidRPr="0098752C">
        <w:rPr>
          <w:rFonts w:ascii="Times New Roman" w:hAnsi="Times New Roman" w:cs="Times New Roman"/>
          <w:i/>
          <w:sz w:val="24"/>
          <w:szCs w:val="24"/>
          <w:vertAlign w:val="subscript"/>
        </w:rPr>
        <w:t>P</w:t>
      </w:r>
      <w:r w:rsidRPr="0098752C">
        <w:rPr>
          <w:rFonts w:ascii="Times New Roman" w:hAnsi="Times New Roman" w:cs="Times New Roman"/>
          <w:sz w:val="24"/>
          <w:szCs w:val="24"/>
        </w:rPr>
        <w:t xml:space="preserve"> = 961 </w:t>
      </w:r>
      <w:r w:rsidRPr="0098752C">
        <w:rPr>
          <w:rFonts w:ascii="Times New Roman" w:hAnsi="Times New Roman" w:cs="Times New Roman"/>
          <w:i/>
          <w:sz w:val="24"/>
          <w:szCs w:val="24"/>
        </w:rPr>
        <w:t>A</w:t>
      </w:r>
      <w:r w:rsidRPr="0098752C">
        <w:rPr>
          <w:rFonts w:ascii="Times New Roman" w:hAnsi="Times New Roman" w:cs="Times New Roman"/>
          <w:sz w:val="24"/>
          <w:szCs w:val="24"/>
          <w:vertAlign w:val="superscript"/>
        </w:rPr>
        <w:t>0.143</w:t>
      </w:r>
      <w:r w:rsidRPr="0098752C">
        <w:rPr>
          <w:rFonts w:ascii="Times New Roman" w:hAnsi="Times New Roman" w:cs="Times New Roman"/>
          <w:sz w:val="24"/>
          <w:szCs w:val="24"/>
        </w:rPr>
        <w:t>exp(-0.00241</w:t>
      </w:r>
      <w:r w:rsidRPr="0098752C">
        <w:rPr>
          <w:rFonts w:ascii="Times New Roman" w:hAnsi="Times New Roman" w:cs="Times New Roman"/>
          <w:i/>
          <w:sz w:val="24"/>
          <w:szCs w:val="24"/>
        </w:rPr>
        <w:t>A</w:t>
      </w:r>
      <w:r w:rsidRPr="0098752C">
        <w:rPr>
          <w:rFonts w:ascii="Times New Roman" w:hAnsi="Times New Roman" w:cs="Times New Roman"/>
          <w:sz w:val="24"/>
          <w:szCs w:val="24"/>
        </w:rPr>
        <w:t>)</w:t>
      </w:r>
      <w:r w:rsidRPr="0098752C">
        <w:rPr>
          <w:rFonts w:ascii="Times New Roman" w:hAnsi="Times New Roman" w:cs="Times New Roman"/>
          <w:sz w:val="24"/>
          <w:szCs w:val="24"/>
        </w:rPr>
        <w:tab/>
        <w:t>.</w:t>
      </w:r>
      <w:r w:rsidRPr="0098752C">
        <w:rPr>
          <w:rFonts w:ascii="Times New Roman" w:hAnsi="Times New Roman" w:cs="Times New Roman"/>
          <w:sz w:val="24"/>
          <w:szCs w:val="24"/>
        </w:rPr>
        <w:tab/>
      </w:r>
      <w:r w:rsidRPr="0098752C">
        <w:rPr>
          <w:rFonts w:ascii="Times New Roman" w:hAnsi="Times New Roman" w:cs="Times New Roman"/>
          <w:sz w:val="24"/>
          <w:szCs w:val="24"/>
        </w:rPr>
        <w:tab/>
      </w:r>
      <w:r w:rsidRPr="0098752C">
        <w:rPr>
          <w:rFonts w:ascii="Times New Roman" w:hAnsi="Times New Roman" w:cs="Times New Roman"/>
          <w:sz w:val="24"/>
          <w:szCs w:val="24"/>
        </w:rPr>
        <w:tab/>
      </w:r>
      <w:r w:rsidRPr="0098752C">
        <w:rPr>
          <w:rFonts w:ascii="Times New Roman" w:hAnsi="Times New Roman" w:cs="Times New Roman"/>
          <w:sz w:val="24"/>
          <w:szCs w:val="24"/>
        </w:rPr>
        <w:tab/>
      </w:r>
      <w:r w:rsidRPr="0098752C">
        <w:rPr>
          <w:rFonts w:ascii="Times New Roman" w:hAnsi="Times New Roman" w:cs="Times New Roman"/>
          <w:sz w:val="24"/>
          <w:szCs w:val="24"/>
        </w:rPr>
        <w:tab/>
        <w:t xml:space="preserve">                 </w:t>
      </w:r>
      <w:r w:rsidR="000B4D9A">
        <w:rPr>
          <w:rFonts w:ascii="Times New Roman" w:hAnsi="Times New Roman" w:cs="Times New Roman"/>
          <w:sz w:val="24"/>
          <w:szCs w:val="24"/>
        </w:rPr>
        <w:tab/>
      </w:r>
      <w:r w:rsidR="000B4D9A">
        <w:rPr>
          <w:rFonts w:ascii="Times New Roman" w:hAnsi="Times New Roman" w:cs="Times New Roman"/>
          <w:sz w:val="24"/>
          <w:szCs w:val="24"/>
        </w:rPr>
        <w:tab/>
      </w:r>
      <w:r w:rsidR="000B4D9A">
        <w:rPr>
          <w:rFonts w:ascii="Times New Roman" w:hAnsi="Times New Roman" w:cs="Times New Roman"/>
          <w:sz w:val="24"/>
          <w:szCs w:val="24"/>
        </w:rPr>
        <w:tab/>
        <w:t xml:space="preserve"> </w:t>
      </w:r>
      <w:r w:rsidRPr="0098752C">
        <w:rPr>
          <w:rFonts w:ascii="Times New Roman" w:hAnsi="Times New Roman" w:cs="Times New Roman"/>
          <w:sz w:val="24"/>
          <w:szCs w:val="24"/>
        </w:rPr>
        <w:t>(C.2)</w:t>
      </w:r>
    </w:p>
    <w:p w:rsidR="00DA21A9" w:rsidRPr="0098752C" w:rsidRDefault="00DA21A9" w:rsidP="00DA21A9">
      <w:pPr>
        <w:spacing w:before="120" w:after="0" w:line="480" w:lineRule="auto"/>
        <w:jc w:val="both"/>
        <w:rPr>
          <w:rFonts w:ascii="Times New Roman" w:hAnsi="Times New Roman" w:cs="Times New Roman"/>
          <w:sz w:val="24"/>
          <w:szCs w:val="24"/>
        </w:rPr>
      </w:pPr>
      <w:r w:rsidRPr="0098752C">
        <w:rPr>
          <w:rFonts w:ascii="Times New Roman" w:hAnsi="Times New Roman" w:cs="Times New Roman"/>
          <w:sz w:val="24"/>
          <w:szCs w:val="24"/>
        </w:rPr>
        <w:t>Note that this model includes a bias correction factor (value 1.04) as discussed earlier in the Results section</w:t>
      </w:r>
      <w:r w:rsidR="00940577">
        <w:rPr>
          <w:rFonts w:ascii="Times New Roman" w:hAnsi="Times New Roman" w:cs="Times New Roman"/>
          <w:sz w:val="24"/>
          <w:szCs w:val="24"/>
        </w:rPr>
        <w:t xml:space="preserve"> of the main text</w:t>
      </w:r>
      <w:r w:rsidRPr="0098752C">
        <w:rPr>
          <w:rFonts w:ascii="Times New Roman" w:hAnsi="Times New Roman" w:cs="Times New Roman"/>
          <w:sz w:val="24"/>
          <w:szCs w:val="24"/>
        </w:rPr>
        <w:t>. However, its r</w:t>
      </w:r>
      <w:r w:rsidRPr="0098752C">
        <w:rPr>
          <w:rFonts w:ascii="Times New Roman" w:hAnsi="Times New Roman" w:cs="Times New Roman"/>
          <w:sz w:val="24"/>
          <w:szCs w:val="24"/>
          <w:vertAlign w:val="superscript"/>
        </w:rPr>
        <w:t>2</w:t>
      </w:r>
      <w:r w:rsidRPr="0098752C">
        <w:rPr>
          <w:rFonts w:ascii="Times New Roman" w:hAnsi="Times New Roman" w:cs="Times New Roman"/>
          <w:sz w:val="24"/>
          <w:szCs w:val="24"/>
        </w:rPr>
        <w:t xml:space="preserve"> value was only 0.074. This fitted relationship is shown as the solid line on Fig. C.1. It has a shape that implies GPP increases with age to a maximum of 1,490 g C m</w:t>
      </w:r>
      <w:r w:rsidRPr="0098752C">
        <w:rPr>
          <w:rFonts w:ascii="Times New Roman" w:hAnsi="Times New Roman" w:cs="Times New Roman"/>
          <w:sz w:val="24"/>
          <w:szCs w:val="24"/>
          <w:vertAlign w:val="superscript"/>
        </w:rPr>
        <w:t>‒2</w:t>
      </w:r>
      <w:r w:rsidRPr="0098752C">
        <w:rPr>
          <w:rFonts w:ascii="Times New Roman" w:hAnsi="Times New Roman" w:cs="Times New Roman"/>
          <w:sz w:val="24"/>
          <w:szCs w:val="24"/>
        </w:rPr>
        <w:t xml:space="preserve"> yr</w:t>
      </w:r>
      <w:r w:rsidRPr="0098752C">
        <w:rPr>
          <w:rFonts w:ascii="Times New Roman" w:hAnsi="Times New Roman" w:cs="Times New Roman"/>
          <w:sz w:val="24"/>
          <w:szCs w:val="24"/>
          <w:vertAlign w:val="superscript"/>
        </w:rPr>
        <w:t>-1</w:t>
      </w:r>
      <w:r w:rsidRPr="0098752C">
        <w:rPr>
          <w:rFonts w:ascii="Times New Roman" w:hAnsi="Times New Roman" w:cs="Times New Roman"/>
          <w:sz w:val="24"/>
          <w:szCs w:val="24"/>
        </w:rPr>
        <w:t xml:space="preserve"> at 59 years of age and then declines progressively at later ages. However, that shape exists only because it is inherent to the model used and can in no way be said to fit the data.</w:t>
      </w:r>
    </w:p>
    <w:p w:rsidR="00DA21A9" w:rsidRPr="0098752C" w:rsidRDefault="00DA21A9" w:rsidP="00DA21A9">
      <w:pPr>
        <w:spacing w:after="0"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Drawn with dotted lines on Fig. C.1 is the 95% confidence interval of the true mean value of GPP predicted at any age from the fitted Eq. (C.2). The confidence interval is very wide, as might be expected given the lack of fit of the model. In their Fig. 2, Tang et al. (2014) showed much narrower confidence intervals about the same model, fitted to NPP rather than GPP data, for data from each of boreal and temperate climates. However, the data they used consisted of around 100 observations and so must have contained multiple measurements of NPP from individual sites. This will have led to under-estimation of the covariance matrix of the parameter estimates and consequent under-estimation of the width of the confidence intervals they showed.</w:t>
      </w:r>
    </w:p>
    <w:p w:rsidR="00C47899" w:rsidRDefault="00C47899" w:rsidP="00DA21A9">
      <w:pPr>
        <w:spacing w:before="120" w:after="0" w:line="240" w:lineRule="auto"/>
        <w:jc w:val="both"/>
        <w:rPr>
          <w:rFonts w:ascii="Times New Roman" w:hAnsi="Times New Roman" w:cs="Times New Roman"/>
          <w:sz w:val="24"/>
          <w:szCs w:val="24"/>
          <w:lang w:eastAsia="zh-CN"/>
        </w:rPr>
      </w:pPr>
      <w:r>
        <w:rPr>
          <w:rFonts w:ascii="Times New Roman" w:hAnsi="Times New Roman" w:cs="Times New Roman" w:hint="eastAsia"/>
          <w:noProof/>
          <w:sz w:val="24"/>
          <w:szCs w:val="24"/>
          <w:lang w:eastAsia="en-AU"/>
        </w:rPr>
        <w:lastRenderedPageBreak/>
        <w:drawing>
          <wp:inline distT="0" distB="0" distL="0" distR="0" wp14:anchorId="3CFEB09E" wp14:editId="11CA8254">
            <wp:extent cx="3629025" cy="29908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C_1.tif"/>
                    <pic:cNvPicPr/>
                  </pic:nvPicPr>
                  <pic:blipFill>
                    <a:blip r:embed="rId6">
                      <a:extLst>
                        <a:ext uri="{28A0092B-C50C-407E-A947-70E740481C1C}">
                          <a14:useLocalDpi xmlns:a14="http://schemas.microsoft.com/office/drawing/2010/main" val="0"/>
                        </a:ext>
                      </a:extLst>
                    </a:blip>
                    <a:stretch>
                      <a:fillRect/>
                    </a:stretch>
                  </pic:blipFill>
                  <pic:spPr>
                    <a:xfrm>
                      <a:off x="0" y="0"/>
                      <a:ext cx="3629025" cy="2990850"/>
                    </a:xfrm>
                    <a:prstGeom prst="rect">
                      <a:avLst/>
                    </a:prstGeom>
                  </pic:spPr>
                </pic:pic>
              </a:graphicData>
            </a:graphic>
          </wp:inline>
        </w:drawing>
      </w:r>
    </w:p>
    <w:p w:rsidR="00DA21A9" w:rsidRPr="0098752C" w:rsidRDefault="00DA21A9" w:rsidP="00DA21A9">
      <w:pPr>
        <w:spacing w:before="120" w:after="0" w:line="240" w:lineRule="auto"/>
        <w:jc w:val="both"/>
        <w:rPr>
          <w:rFonts w:ascii="Times New Roman" w:hAnsi="Times New Roman" w:cs="Times New Roman"/>
          <w:sz w:val="24"/>
          <w:szCs w:val="24"/>
        </w:rPr>
      </w:pPr>
      <w:r w:rsidRPr="0098752C">
        <w:rPr>
          <w:rFonts w:ascii="Times New Roman" w:hAnsi="Times New Roman" w:cs="Times New Roman"/>
          <w:b/>
          <w:sz w:val="24"/>
          <w:szCs w:val="24"/>
        </w:rPr>
        <w:t>Fig. C.1</w:t>
      </w:r>
      <w:r w:rsidRPr="0098752C">
        <w:rPr>
          <w:rFonts w:ascii="Times New Roman" w:hAnsi="Times New Roman" w:cs="Times New Roman"/>
          <w:sz w:val="24"/>
          <w:szCs w:val="24"/>
        </w:rPr>
        <w:t xml:space="preserve"> Scatter plot of gross primary production (GPP) against forest age for 34 sites from the data set of Luyssaert et al. (2007). The line (</w:t>
      </w:r>
      <w:r w:rsidRPr="0098752C">
        <w:rPr>
          <w:rFonts w:ascii="Times New Roman" w:hAnsi="Times New Roman" w:cs="Times New Roman"/>
          <w:sz w:val="24"/>
          <w:szCs w:val="24"/>
          <w:vertAlign w:val="superscript"/>
        </w:rPr>
        <w:t>____</w:t>
      </w:r>
      <w:r w:rsidRPr="0098752C">
        <w:rPr>
          <w:rFonts w:ascii="Times New Roman" w:hAnsi="Times New Roman" w:cs="Times New Roman"/>
          <w:sz w:val="24"/>
          <w:szCs w:val="24"/>
        </w:rPr>
        <w:t>) shows the fit to the data of Eq. (C.2) and the lines (</w:t>
      </w:r>
      <w:r w:rsidRPr="0098752C">
        <w:rPr>
          <w:rFonts w:ascii="Times New Roman" w:hAnsi="Times New Roman" w:cs="Times New Roman"/>
          <w:b/>
          <w:sz w:val="24"/>
          <w:szCs w:val="24"/>
          <w:vertAlign w:val="superscript"/>
        </w:rPr>
        <w:t>…..….</w:t>
      </w:r>
      <w:r w:rsidRPr="0098752C">
        <w:rPr>
          <w:rFonts w:ascii="Times New Roman" w:hAnsi="Times New Roman" w:cs="Times New Roman"/>
          <w:sz w:val="24"/>
          <w:szCs w:val="24"/>
        </w:rPr>
        <w:t>) show the 95% confidence interval of the true mean value of GPP predicted at any age from that model. The lines (</w:t>
      </w:r>
      <w:r w:rsidRPr="0098752C">
        <w:rPr>
          <w:rFonts w:ascii="Times New Roman" w:hAnsi="Times New Roman" w:cs="Times New Roman"/>
          <w:sz w:val="24"/>
          <w:szCs w:val="24"/>
          <w:vertAlign w:val="superscript"/>
        </w:rPr>
        <w:t>_ _ _</w:t>
      </w:r>
      <w:r w:rsidRPr="0098752C">
        <w:rPr>
          <w:rFonts w:ascii="Times New Roman" w:hAnsi="Times New Roman" w:cs="Times New Roman"/>
          <w:sz w:val="24"/>
          <w:szCs w:val="24"/>
        </w:rPr>
        <w:t xml:space="preserve">) show the predicted value of GPP at any age from Eq. (4) </w:t>
      </w:r>
      <w:r w:rsidR="00035D88">
        <w:rPr>
          <w:rFonts w:ascii="Times New Roman" w:hAnsi="Times New Roman" w:cs="Times New Roman"/>
          <w:sz w:val="24"/>
          <w:szCs w:val="24"/>
        </w:rPr>
        <w:t xml:space="preserve">of the main text </w:t>
      </w:r>
      <w:r w:rsidRPr="0098752C">
        <w:rPr>
          <w:rFonts w:ascii="Times New Roman" w:hAnsi="Times New Roman" w:cs="Times New Roman"/>
          <w:sz w:val="24"/>
          <w:szCs w:val="24"/>
        </w:rPr>
        <w:t>for three mean annual temperatures as indicated.</w:t>
      </w:r>
    </w:p>
    <w:p w:rsidR="00DA21A9" w:rsidRPr="0098752C" w:rsidRDefault="00DA21A9" w:rsidP="00DA21A9">
      <w:pPr>
        <w:spacing w:before="240" w:after="0"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Given the shape of the fitted model (Eq. C.2) in Fig. C.1, it is clearly inviting to suggest that GPP declines with age after reaching a maximum. That is how Tang et al. (2014) arrived at their conclusion. However, the present discussion suggests their conclusion is simply an inevitable consequence of the model they chose to use, a model that simply does not fit the data.</w:t>
      </w:r>
    </w:p>
    <w:p w:rsidR="00DA21A9" w:rsidRPr="0098752C" w:rsidRDefault="00DA21A9" w:rsidP="00DA21A9">
      <w:pPr>
        <w:spacing w:after="0"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 xml:space="preserve">Piper and Fajardo (2011) undertook a similar exercise examining individual tree basal area increments in relation to stand age </w:t>
      </w:r>
      <w:r w:rsidRPr="0098752C">
        <w:rPr>
          <w:rFonts w:ascii="Times New Roman" w:eastAsia="Calibri" w:hAnsi="Times New Roman" w:cs="Times New Roman"/>
          <w:sz w:val="24"/>
          <w:szCs w:val="24"/>
          <w:lang w:val="en-US"/>
        </w:rPr>
        <w:t>age in uneven-aged, monospecific forests of lenga beech (</w:t>
      </w:r>
      <w:r w:rsidRPr="0098752C">
        <w:rPr>
          <w:rFonts w:ascii="Times New Roman" w:eastAsia="Calibri" w:hAnsi="Times New Roman" w:cs="Times New Roman"/>
          <w:i/>
          <w:sz w:val="24"/>
          <w:szCs w:val="24"/>
          <w:lang w:val="en-US"/>
        </w:rPr>
        <w:t>Nothofagus pumilio</w:t>
      </w:r>
      <w:r w:rsidRPr="0098752C">
        <w:rPr>
          <w:rFonts w:ascii="Times New Roman" w:eastAsia="Calibri" w:hAnsi="Times New Roman" w:cs="Times New Roman"/>
          <w:sz w:val="24"/>
          <w:szCs w:val="24"/>
          <w:lang w:val="en-US"/>
        </w:rPr>
        <w:t xml:space="preserve"> (Poepp. et Endl.) Krasser) in the Andes of Chile and Patagonia. They tested various models including that used by Tang et al. In the forest growing in Mediterranean climate circumstances that model appeared to give a reasonable fit to the data (their Fig. 1, top left), but there appears to be little evidence of any such relationship in their data for forest from the more temperate climate (their Fig. 1, bottom left). Nevertheless, they maintained that there was such a fit, probably based on trivial changes in the criterion they used to select their </w:t>
      </w:r>
      <w:r w:rsidR="00A41354">
        <w:rPr>
          <w:rFonts w:ascii="Times New Roman" w:eastAsia="Calibri" w:hAnsi="Times New Roman" w:cs="Times New Roman"/>
          <w:sz w:val="24"/>
          <w:szCs w:val="24"/>
          <w:lang w:val="en-US"/>
        </w:rPr>
        <w:t>“</w:t>
      </w:r>
      <w:r w:rsidRPr="0098752C">
        <w:rPr>
          <w:rFonts w:ascii="Times New Roman" w:eastAsia="Calibri" w:hAnsi="Times New Roman" w:cs="Times New Roman"/>
          <w:sz w:val="24"/>
          <w:szCs w:val="24"/>
          <w:lang w:val="en-US"/>
        </w:rPr>
        <w:t>best model</w:t>
      </w:r>
      <w:r w:rsidR="00A41354">
        <w:rPr>
          <w:rFonts w:ascii="Times New Roman" w:eastAsia="Calibri" w:hAnsi="Times New Roman" w:cs="Times New Roman"/>
          <w:sz w:val="24"/>
          <w:szCs w:val="24"/>
          <w:lang w:val="en-US"/>
        </w:rPr>
        <w:t>”</w:t>
      </w:r>
      <w:r w:rsidRPr="0098752C">
        <w:rPr>
          <w:rFonts w:ascii="Times New Roman" w:eastAsia="Calibri" w:hAnsi="Times New Roman" w:cs="Times New Roman"/>
          <w:sz w:val="24"/>
          <w:szCs w:val="24"/>
          <w:lang w:val="en-US"/>
        </w:rPr>
        <w:t xml:space="preserve"> (</w:t>
      </w:r>
      <w:r w:rsidRPr="0098752C">
        <w:rPr>
          <w:rFonts w:ascii="Times New Roman" w:eastAsia="Calibri" w:hAnsi="Times New Roman" w:cs="Times New Roman"/>
          <w:sz w:val="24"/>
          <w:szCs w:val="24"/>
        </w:rPr>
        <w:t>Akaike’s information criterion).</w:t>
      </w:r>
    </w:p>
    <w:p w:rsidR="00DA21A9" w:rsidRPr="00C3264B" w:rsidRDefault="00DA21A9" w:rsidP="00DA21A9">
      <w:pPr>
        <w:spacing w:after="240" w:line="480" w:lineRule="auto"/>
        <w:jc w:val="both"/>
        <w:rPr>
          <w:rFonts w:ascii="Times New Roman" w:hAnsi="Times New Roman" w:cs="Times New Roman"/>
          <w:b/>
          <w:sz w:val="26"/>
          <w:szCs w:val="26"/>
          <w:u w:val="single"/>
        </w:rPr>
      </w:pPr>
      <w:r w:rsidRPr="00C3264B">
        <w:rPr>
          <w:rFonts w:ascii="Times New Roman" w:hAnsi="Times New Roman" w:cs="Times New Roman"/>
          <w:b/>
          <w:sz w:val="26"/>
          <w:szCs w:val="26"/>
          <w:u w:val="single"/>
        </w:rPr>
        <w:lastRenderedPageBreak/>
        <w:t>Supplementary Appendix D</w:t>
      </w:r>
    </w:p>
    <w:p w:rsidR="00DA21A9" w:rsidRPr="0098752C" w:rsidRDefault="00DA21A9" w:rsidP="00DA21A9">
      <w:pPr>
        <w:spacing w:after="240" w:line="480" w:lineRule="auto"/>
        <w:jc w:val="both"/>
        <w:rPr>
          <w:rFonts w:ascii="Times New Roman" w:hAnsi="Times New Roman" w:cs="Times New Roman"/>
          <w:b/>
          <w:sz w:val="26"/>
          <w:szCs w:val="26"/>
        </w:rPr>
      </w:pPr>
      <w:r w:rsidRPr="0098752C">
        <w:rPr>
          <w:rFonts w:ascii="Times New Roman" w:hAnsi="Times New Roman" w:cs="Times New Roman"/>
          <w:b/>
          <w:sz w:val="26"/>
          <w:szCs w:val="26"/>
        </w:rPr>
        <w:t>Tissue construction cost and maintenance respiration</w:t>
      </w:r>
    </w:p>
    <w:p w:rsidR="00DA21A9" w:rsidRPr="0098752C" w:rsidRDefault="00DA21A9" w:rsidP="00DA21A9">
      <w:pPr>
        <w:spacing w:before="240" w:after="240" w:line="480" w:lineRule="auto"/>
        <w:jc w:val="both"/>
        <w:rPr>
          <w:rFonts w:ascii="Times New Roman" w:hAnsi="Times New Roman" w:cs="Times New Roman"/>
          <w:b/>
          <w:sz w:val="24"/>
          <w:szCs w:val="24"/>
          <w:lang w:val="en-US"/>
        </w:rPr>
      </w:pPr>
      <w:r w:rsidRPr="0098752C">
        <w:rPr>
          <w:rFonts w:ascii="Times New Roman" w:hAnsi="Times New Roman" w:cs="Times New Roman"/>
          <w:b/>
          <w:sz w:val="24"/>
          <w:szCs w:val="24"/>
          <w:lang w:val="en-US"/>
        </w:rPr>
        <w:t>Construction cost</w:t>
      </w:r>
    </w:p>
    <w:p w:rsidR="00DA21A9" w:rsidRPr="0098752C" w:rsidRDefault="00DA21A9" w:rsidP="00DA21A9">
      <w:pPr>
        <w:spacing w:before="120" w:after="0" w:line="480" w:lineRule="auto"/>
        <w:jc w:val="both"/>
        <w:rPr>
          <w:rFonts w:ascii="Times New Roman" w:hAnsi="Times New Roman" w:cs="Times New Roman"/>
          <w:sz w:val="24"/>
          <w:szCs w:val="24"/>
        </w:rPr>
      </w:pPr>
      <w:r w:rsidRPr="0098752C">
        <w:rPr>
          <w:rFonts w:ascii="Times New Roman" w:hAnsi="Times New Roman" w:cs="Times New Roman"/>
          <w:sz w:val="24"/>
          <w:szCs w:val="24"/>
        </w:rPr>
        <w:t xml:space="preserve">Penning de Vries et al. (1974) devised the </w:t>
      </w:r>
      <w:r w:rsidR="00A41354">
        <w:rPr>
          <w:rFonts w:ascii="Times New Roman" w:hAnsi="Times New Roman" w:cs="Times New Roman"/>
          <w:sz w:val="24"/>
          <w:szCs w:val="24"/>
        </w:rPr>
        <w:t>“</w:t>
      </w:r>
      <w:r w:rsidRPr="0098752C">
        <w:rPr>
          <w:rFonts w:ascii="Times New Roman" w:hAnsi="Times New Roman" w:cs="Times New Roman"/>
          <w:sz w:val="24"/>
          <w:szCs w:val="24"/>
        </w:rPr>
        <w:t>biochemical pathway approach</w:t>
      </w:r>
      <w:r w:rsidR="00A41354">
        <w:rPr>
          <w:rFonts w:ascii="Times New Roman" w:hAnsi="Times New Roman" w:cs="Times New Roman"/>
          <w:sz w:val="24"/>
          <w:szCs w:val="24"/>
        </w:rPr>
        <w:t>”</w:t>
      </w:r>
      <w:r w:rsidRPr="0098752C">
        <w:rPr>
          <w:rFonts w:ascii="Times New Roman" w:hAnsi="Times New Roman" w:cs="Times New Roman"/>
          <w:sz w:val="24"/>
          <w:szCs w:val="24"/>
        </w:rPr>
        <w:t xml:space="preserve"> through which the </w:t>
      </w:r>
      <w:r w:rsidR="00A41354">
        <w:rPr>
          <w:rFonts w:ascii="Times New Roman" w:hAnsi="Times New Roman" w:cs="Times New Roman"/>
          <w:sz w:val="24"/>
          <w:szCs w:val="24"/>
        </w:rPr>
        <w:t>“</w:t>
      </w:r>
      <w:r w:rsidRPr="0098752C">
        <w:rPr>
          <w:rFonts w:ascii="Times New Roman" w:hAnsi="Times New Roman" w:cs="Times New Roman"/>
          <w:sz w:val="24"/>
          <w:szCs w:val="24"/>
        </w:rPr>
        <w:t>construction cost</w:t>
      </w:r>
      <w:r w:rsidR="00A41354">
        <w:rPr>
          <w:rFonts w:ascii="Times New Roman" w:hAnsi="Times New Roman" w:cs="Times New Roman"/>
          <w:sz w:val="24"/>
          <w:szCs w:val="24"/>
        </w:rPr>
        <w:t>”</w:t>
      </w:r>
      <w:r w:rsidRPr="0098752C">
        <w:rPr>
          <w:rFonts w:ascii="Times New Roman" w:hAnsi="Times New Roman" w:cs="Times New Roman"/>
          <w:sz w:val="24"/>
          <w:szCs w:val="24"/>
        </w:rPr>
        <w:t xml:space="preserve"> of a plant tissue might be determined as the number of grams of tissue oven-dry biomass that can be grown from a gram of glucose and adequate minerals. The method requires full chemical characterization of the constituents of the tissue after its construction is complete and then uses knowledge of the biochemical processes involved in their synthesis. The biochemical processes considered are</w:t>
      </w:r>
      <w:r w:rsidRPr="0098752C">
        <w:rPr>
          <w:rFonts w:ascii="Times New Roman" w:hAnsi="Times New Roman" w:cs="Times New Roman"/>
          <w:sz w:val="24"/>
          <w:szCs w:val="24"/>
          <w:lang w:val="en-US"/>
        </w:rPr>
        <w:t xml:space="preserve"> (a) construction of monomers (small organic molecules that are later capable of polymerisation, such as amino acids that may be polymerised into proteins), (b) incorporation of inorganic atoms and molecules, (c) synthesis of polymers, (d) maintenance of the tools (RNA and enzymes) involved with biosynthesis, (e) construction of the actual tissue itself and (f) active transport of ions and molecules through cell membranes. These are complex processes and Penning de Vries et al. provide information as to how they may be determined in particular tissues. As well as the total construction cost, the method predicts also the amount of CO</w:t>
      </w:r>
      <w:r w:rsidRPr="0098752C">
        <w:rPr>
          <w:rFonts w:ascii="Times New Roman" w:hAnsi="Times New Roman" w:cs="Times New Roman"/>
          <w:sz w:val="24"/>
          <w:szCs w:val="24"/>
          <w:vertAlign w:val="subscript"/>
          <w:lang w:val="en-US"/>
        </w:rPr>
        <w:t>2</w:t>
      </w:r>
      <w:r w:rsidRPr="0098752C">
        <w:rPr>
          <w:rFonts w:ascii="Times New Roman" w:hAnsi="Times New Roman" w:cs="Times New Roman"/>
          <w:sz w:val="24"/>
          <w:szCs w:val="24"/>
          <w:lang w:val="en-US"/>
        </w:rPr>
        <w:t xml:space="preserve"> released (through the oxidation of glucose to provide energy for the construction process) to give construction respiration.</w:t>
      </w:r>
    </w:p>
    <w:p w:rsidR="00DA21A9" w:rsidRPr="0098752C" w:rsidRDefault="00DA21A9" w:rsidP="00DA21A9">
      <w:pPr>
        <w:spacing w:after="0"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 xml:space="preserve">Williams et al. (1987) devised, empirically, a simpler method that followed from the Penning de Vries et al. method, but requires less sophisticated laboratory analysis of the constructed tissue. Their method (their Eq. (11)) estimates construction cost in units of </w:t>
      </w:r>
      <w:r w:rsidR="00A41354">
        <w:rPr>
          <w:rFonts w:ascii="Times New Roman" w:hAnsi="Times New Roman" w:cs="Times New Roman"/>
          <w:sz w:val="24"/>
          <w:szCs w:val="24"/>
        </w:rPr>
        <w:t>“</w:t>
      </w:r>
      <w:r w:rsidRPr="0098752C">
        <w:rPr>
          <w:rFonts w:ascii="Times New Roman" w:hAnsi="Times New Roman" w:cs="Times New Roman"/>
          <w:sz w:val="24"/>
          <w:szCs w:val="24"/>
        </w:rPr>
        <w:t>glucose equivalents</w:t>
      </w:r>
      <w:r w:rsidR="00A41354">
        <w:rPr>
          <w:rFonts w:ascii="Times New Roman" w:hAnsi="Times New Roman" w:cs="Times New Roman"/>
          <w:sz w:val="24"/>
          <w:szCs w:val="24"/>
        </w:rPr>
        <w:t>”</w:t>
      </w:r>
      <w:r w:rsidRPr="0098752C">
        <w:rPr>
          <w:rFonts w:ascii="Times New Roman" w:hAnsi="Times New Roman" w:cs="Times New Roman"/>
          <w:sz w:val="24"/>
          <w:szCs w:val="24"/>
        </w:rPr>
        <w:t>, being</w:t>
      </w:r>
      <w:r w:rsidRPr="0098752C">
        <w:rPr>
          <w:rFonts w:ascii="Times New Roman" w:hAnsi="Times New Roman" w:cs="Times New Roman"/>
          <w:sz w:val="24"/>
          <w:szCs w:val="24"/>
          <w:lang w:val="en-US"/>
        </w:rPr>
        <w:t xml:space="preserve"> the amount of glucose required ultimately to provide the carbon in the tissue itself. It predicts </w:t>
      </w:r>
      <w:r w:rsidRPr="0098752C">
        <w:rPr>
          <w:rFonts w:ascii="Times New Roman" w:hAnsi="Times New Roman" w:cs="Times New Roman"/>
          <w:sz w:val="24"/>
          <w:szCs w:val="24"/>
        </w:rPr>
        <w:t xml:space="preserve">construction cost as a function of the ash-free heat of combustion of the tissue, its ash content, its organic nitrogen and its </w:t>
      </w:r>
      <w:r w:rsidR="00A41354">
        <w:rPr>
          <w:rFonts w:ascii="Times New Roman" w:hAnsi="Times New Roman" w:cs="Times New Roman"/>
          <w:sz w:val="24"/>
          <w:szCs w:val="24"/>
        </w:rPr>
        <w:t>“</w:t>
      </w:r>
      <w:r w:rsidRPr="0098752C">
        <w:rPr>
          <w:rFonts w:ascii="Times New Roman" w:hAnsi="Times New Roman" w:cs="Times New Roman"/>
          <w:sz w:val="24"/>
          <w:szCs w:val="24"/>
        </w:rPr>
        <w:t>growth efficiency</w:t>
      </w:r>
      <w:r w:rsidR="00A41354">
        <w:rPr>
          <w:rFonts w:ascii="Times New Roman" w:hAnsi="Times New Roman" w:cs="Times New Roman"/>
          <w:sz w:val="24"/>
          <w:szCs w:val="24"/>
        </w:rPr>
        <w:t>”</w:t>
      </w:r>
      <w:r w:rsidRPr="0098752C">
        <w:rPr>
          <w:rFonts w:ascii="Times New Roman" w:hAnsi="Times New Roman" w:cs="Times New Roman"/>
          <w:sz w:val="24"/>
          <w:szCs w:val="24"/>
        </w:rPr>
        <w:t xml:space="preserve">. Growth efficiency was defined by Griffin (1994, p. 552) as </w:t>
      </w:r>
      <w:r w:rsidR="00A41354">
        <w:rPr>
          <w:rFonts w:ascii="Times New Roman" w:hAnsi="Times New Roman" w:cs="Times New Roman"/>
          <w:sz w:val="24"/>
          <w:szCs w:val="24"/>
        </w:rPr>
        <w:t>“</w:t>
      </w:r>
      <w:r w:rsidRPr="0098752C">
        <w:rPr>
          <w:rFonts w:ascii="Times New Roman" w:hAnsi="Times New Roman" w:cs="Times New Roman"/>
          <w:sz w:val="24"/>
          <w:szCs w:val="24"/>
        </w:rPr>
        <w:t xml:space="preserve">the proportion of energy used to produce reductant that </w:t>
      </w:r>
      <w:r w:rsidRPr="0098752C">
        <w:rPr>
          <w:rFonts w:ascii="Times New Roman" w:hAnsi="Times New Roman" w:cs="Times New Roman"/>
          <w:sz w:val="24"/>
          <w:szCs w:val="24"/>
        </w:rPr>
        <w:lastRenderedPageBreak/>
        <w:t>is consumed during the formation of the tissue, but is not contained within the biomass</w:t>
      </w:r>
      <w:r w:rsidR="00A41354">
        <w:rPr>
          <w:rFonts w:ascii="Times New Roman" w:hAnsi="Times New Roman" w:cs="Times New Roman"/>
          <w:sz w:val="24"/>
          <w:szCs w:val="24"/>
        </w:rPr>
        <w:t>”</w:t>
      </w:r>
      <w:r w:rsidRPr="0098752C">
        <w:rPr>
          <w:rFonts w:ascii="Times New Roman" w:hAnsi="Times New Roman" w:cs="Times New Roman"/>
          <w:sz w:val="24"/>
          <w:szCs w:val="24"/>
        </w:rPr>
        <w:t xml:space="preserve">, in effect the respiration part of construction cost; evidence suggests its value is close to 0.87. Griffin (1994) summarised estimates of construction cost for many plant species and tissues that have been made using the Williams et al. method. </w:t>
      </w:r>
    </w:p>
    <w:p w:rsidR="00DA21A9" w:rsidRPr="0098752C" w:rsidRDefault="00DA21A9" w:rsidP="00DA21A9">
      <w:pPr>
        <w:spacing w:after="0"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 xml:space="preserve">Villar and Merino (2001) found that ash-free energy content alone correlated closely with construction cost of leaf tissues of many woody species as estimated using the method of Williams et al. If so, this reduces even further the laboratory analysis necessary to provide the estimate of tissue construction cost. The efficacy of this approach was evident also in the results of Hamilton et al. (2001, Table 4). </w:t>
      </w:r>
    </w:p>
    <w:p w:rsidR="00DA21A9" w:rsidRPr="0098752C" w:rsidRDefault="00DA21A9" w:rsidP="00DA21A9">
      <w:pPr>
        <w:pStyle w:val="PlainText"/>
        <w:spacing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A more direct method to determine construction respiration is to employ chamber measurement techniques to measure CO</w:t>
      </w:r>
      <w:r w:rsidRPr="0098752C">
        <w:rPr>
          <w:rFonts w:ascii="Times New Roman" w:hAnsi="Times New Roman" w:cs="Times New Roman"/>
          <w:sz w:val="24"/>
          <w:szCs w:val="24"/>
          <w:vertAlign w:val="subscript"/>
        </w:rPr>
        <w:t>2</w:t>
      </w:r>
      <w:r w:rsidRPr="0098752C">
        <w:rPr>
          <w:rFonts w:ascii="Times New Roman" w:hAnsi="Times New Roman" w:cs="Times New Roman"/>
          <w:sz w:val="24"/>
          <w:szCs w:val="24"/>
        </w:rPr>
        <w:t xml:space="preserve"> efflux from tissue as it is growing. This is technically difficult for large trees and, of course, the rate of respiration would need to be measured from time to time during the whole growth period. The technique has been applied in laboratory studies to developing leaves of some California shrub species (Merino et al. 1982) and in leaves and fine roots of holm oak (</w:t>
      </w:r>
      <w:r w:rsidRPr="0098752C">
        <w:rPr>
          <w:rFonts w:ascii="Times New Roman" w:hAnsi="Times New Roman" w:cs="Times New Roman"/>
          <w:i/>
          <w:sz w:val="24"/>
          <w:szCs w:val="24"/>
        </w:rPr>
        <w:t>Quercus ilex</w:t>
      </w:r>
      <w:r w:rsidRPr="0098752C">
        <w:rPr>
          <w:rFonts w:ascii="Times New Roman" w:hAnsi="Times New Roman" w:cs="Times New Roman"/>
          <w:sz w:val="24"/>
          <w:szCs w:val="24"/>
        </w:rPr>
        <w:t xml:space="preserve"> L.) (Laureano et al. 2008, 2013). In both cases, they used a technique that allowed both tissue construction respiration to be determined and as well as the maintenance respiration necessary to maintain the tissues as it developed. </w:t>
      </w:r>
    </w:p>
    <w:p w:rsidR="00DA21A9" w:rsidRPr="0098752C" w:rsidRDefault="00DA21A9" w:rsidP="00DA21A9">
      <w:pPr>
        <w:pStyle w:val="PlainText"/>
        <w:spacing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In their Table 3, Williams et al. (1987) summarised construction costs of the leaf tissues of Californian shrubs, as mentioned in the previous paragraph, determined using the biochemical pathway approach (determined by Merino et al. 1984), their own empirical approach, another empirical approach (McDermit and Loomis 1981) and the direct measurements of Merino et al. (1982). All yielded similar results.</w:t>
      </w:r>
    </w:p>
    <w:p w:rsidR="00DA21A9" w:rsidRPr="0098752C" w:rsidRDefault="00DA21A9" w:rsidP="00DA21A9">
      <w:pPr>
        <w:pStyle w:val="PlainText"/>
        <w:spacing w:line="480" w:lineRule="auto"/>
        <w:ind w:firstLine="720"/>
        <w:jc w:val="both"/>
        <w:rPr>
          <w:rFonts w:ascii="Times New Roman" w:hAnsi="Times New Roman" w:cs="Times New Roman"/>
          <w:sz w:val="24"/>
          <w:szCs w:val="24"/>
          <w:lang w:val="en-US"/>
        </w:rPr>
      </w:pPr>
      <w:r w:rsidRPr="0098752C">
        <w:rPr>
          <w:rFonts w:ascii="Times New Roman" w:hAnsi="Times New Roman" w:cs="Times New Roman"/>
          <w:sz w:val="24"/>
          <w:szCs w:val="24"/>
        </w:rPr>
        <w:t xml:space="preserve">It certainly appears that these various methods for estimating tissue construction costs, with or without construction respiration costs that are the real interest of the present work, can give satisfactory results. </w:t>
      </w:r>
    </w:p>
    <w:p w:rsidR="00DA21A9" w:rsidRPr="0098752C" w:rsidRDefault="00DA21A9" w:rsidP="00DA21A9">
      <w:pPr>
        <w:pStyle w:val="PlainText"/>
        <w:spacing w:before="240" w:after="240" w:line="480" w:lineRule="auto"/>
        <w:jc w:val="both"/>
        <w:rPr>
          <w:rFonts w:ascii="Times New Roman" w:hAnsi="Times New Roman" w:cs="Times New Roman"/>
          <w:b/>
          <w:sz w:val="24"/>
          <w:szCs w:val="24"/>
        </w:rPr>
      </w:pPr>
      <w:r w:rsidRPr="0098752C">
        <w:rPr>
          <w:rFonts w:ascii="Times New Roman" w:hAnsi="Times New Roman" w:cs="Times New Roman"/>
          <w:b/>
          <w:sz w:val="24"/>
          <w:szCs w:val="24"/>
        </w:rPr>
        <w:lastRenderedPageBreak/>
        <w:t>Maintenance respiration</w:t>
      </w:r>
    </w:p>
    <w:p w:rsidR="00DA21A9" w:rsidRPr="0098752C" w:rsidRDefault="00DA21A9" w:rsidP="00DA21A9">
      <w:pPr>
        <w:pStyle w:val="PlainText"/>
        <w:spacing w:before="120" w:line="480" w:lineRule="auto"/>
        <w:jc w:val="both"/>
        <w:rPr>
          <w:rFonts w:ascii="Times New Roman" w:hAnsi="Times New Roman" w:cs="Times New Roman"/>
          <w:sz w:val="24"/>
          <w:szCs w:val="24"/>
        </w:rPr>
      </w:pPr>
      <w:r w:rsidRPr="0098752C">
        <w:rPr>
          <w:rFonts w:ascii="Times New Roman" w:hAnsi="Times New Roman" w:cs="Times New Roman"/>
          <w:sz w:val="24"/>
          <w:szCs w:val="24"/>
        </w:rPr>
        <w:t xml:space="preserve">Penning de Vries (1975b) developed a biochemical pathway approach to estimate maintenance respiration based on detailed chemical analysis of the tissue and its metabolic processes. He defined the term </w:t>
      </w:r>
      <w:r w:rsidR="00A41354">
        <w:rPr>
          <w:rFonts w:ascii="Times New Roman" w:hAnsi="Times New Roman" w:cs="Times New Roman"/>
          <w:sz w:val="24"/>
          <w:szCs w:val="24"/>
        </w:rPr>
        <w:t>“</w:t>
      </w:r>
      <w:r w:rsidRPr="0098752C">
        <w:rPr>
          <w:rFonts w:ascii="Times New Roman" w:hAnsi="Times New Roman" w:cs="Times New Roman"/>
          <w:sz w:val="24"/>
          <w:szCs w:val="24"/>
        </w:rPr>
        <w:t>maintenance</w:t>
      </w:r>
      <w:r w:rsidR="00A41354">
        <w:rPr>
          <w:rFonts w:ascii="Times New Roman" w:hAnsi="Times New Roman" w:cs="Times New Roman"/>
          <w:sz w:val="24"/>
          <w:szCs w:val="24"/>
        </w:rPr>
        <w:t>”</w:t>
      </w:r>
      <w:r w:rsidRPr="0098752C">
        <w:rPr>
          <w:rFonts w:ascii="Times New Roman" w:hAnsi="Times New Roman" w:cs="Times New Roman"/>
          <w:sz w:val="24"/>
          <w:szCs w:val="24"/>
        </w:rPr>
        <w:t xml:space="preserve"> to include </w:t>
      </w:r>
      <w:r w:rsidR="00A41354">
        <w:rPr>
          <w:rFonts w:ascii="Times New Roman" w:hAnsi="Times New Roman" w:cs="Times New Roman"/>
          <w:sz w:val="24"/>
          <w:szCs w:val="24"/>
        </w:rPr>
        <w:t>“</w:t>
      </w:r>
      <w:r w:rsidRPr="0098752C">
        <w:rPr>
          <w:rFonts w:ascii="Times New Roman" w:hAnsi="Times New Roman" w:cs="Times New Roman"/>
          <w:sz w:val="24"/>
          <w:szCs w:val="24"/>
        </w:rPr>
        <w:t>the processes which maintain cellular structures and gradients of ions and metabolites, and also the processes of physiological adaptation that maintain cells as active units in a changing environment. Formation of new enzymes at the expense of others and salt accumulation in some stress conditions are examples of such adaptations.</w:t>
      </w:r>
      <w:r w:rsidR="00A41354">
        <w:rPr>
          <w:rFonts w:ascii="Times New Roman" w:hAnsi="Times New Roman" w:cs="Times New Roman"/>
          <w:sz w:val="24"/>
          <w:szCs w:val="24"/>
        </w:rPr>
        <w:t>”</w:t>
      </w:r>
      <w:r w:rsidRPr="0098752C">
        <w:rPr>
          <w:rFonts w:ascii="Times New Roman" w:hAnsi="Times New Roman" w:cs="Times New Roman"/>
          <w:sz w:val="24"/>
          <w:szCs w:val="24"/>
        </w:rPr>
        <w:t xml:space="preserve"> He maintained that </w:t>
      </w:r>
      <w:r w:rsidR="00A41354">
        <w:rPr>
          <w:rFonts w:ascii="Times New Roman" w:hAnsi="Times New Roman" w:cs="Times New Roman"/>
          <w:sz w:val="24"/>
          <w:szCs w:val="24"/>
        </w:rPr>
        <w:t>“</w:t>
      </w:r>
      <w:r w:rsidRPr="0098752C">
        <w:rPr>
          <w:rFonts w:ascii="Times New Roman" w:hAnsi="Times New Roman" w:cs="Times New Roman"/>
          <w:sz w:val="24"/>
          <w:szCs w:val="24"/>
        </w:rPr>
        <w:t>protein turnover and active transport processes to maintain certain ion concentrations in the cells</w:t>
      </w:r>
      <w:r w:rsidR="00A41354">
        <w:rPr>
          <w:rFonts w:ascii="Times New Roman" w:hAnsi="Times New Roman" w:cs="Times New Roman"/>
          <w:sz w:val="24"/>
          <w:szCs w:val="24"/>
        </w:rPr>
        <w:t>”</w:t>
      </w:r>
      <w:r w:rsidRPr="0098752C">
        <w:rPr>
          <w:rFonts w:ascii="Times New Roman" w:hAnsi="Times New Roman" w:cs="Times New Roman"/>
          <w:sz w:val="24"/>
          <w:szCs w:val="24"/>
        </w:rPr>
        <w:t xml:space="preserve"> are the most important metabolic processes involved in maintenance respiration and his biochemical technique is based around that principle. As for the construction costs and respiration mentioned above, Merino et al. (1982, 1984) compared this biochemical approach and their direct chamber measurement approaches to estimation of maintenance respiration in leaves of California shrub species and found that both methods gave similar results.</w:t>
      </w:r>
    </w:p>
    <w:p w:rsidR="00DA21A9" w:rsidRPr="0098752C" w:rsidRDefault="00DA21A9" w:rsidP="00DA21A9">
      <w:pPr>
        <w:pStyle w:val="PlainText"/>
        <w:spacing w:line="480" w:lineRule="auto"/>
        <w:ind w:firstLine="720"/>
        <w:jc w:val="both"/>
        <w:rPr>
          <w:rFonts w:ascii="Times New Roman" w:hAnsi="Times New Roman" w:cs="Times New Roman"/>
          <w:sz w:val="24"/>
          <w:szCs w:val="24"/>
        </w:rPr>
      </w:pPr>
      <w:r w:rsidRPr="0098752C">
        <w:rPr>
          <w:rFonts w:ascii="Times New Roman" w:hAnsi="Times New Roman" w:cs="Times New Roman"/>
          <w:sz w:val="24"/>
          <w:szCs w:val="24"/>
        </w:rPr>
        <w:t>Of course, it is possible also that maintenance respiration costs might be measured directly using the methods discussed in Supplementary Appendix A. Many practical difficulties arise in doing so when dealing with tall trees and with differentiating between respiration rates by different tissues.</w:t>
      </w:r>
    </w:p>
    <w:p w:rsidR="00DA21A9" w:rsidRPr="0098752C" w:rsidRDefault="00DA21A9" w:rsidP="00DA21A9">
      <w:pPr>
        <w:spacing w:line="480" w:lineRule="auto"/>
        <w:jc w:val="both"/>
        <w:rPr>
          <w:rFonts w:ascii="Times New Roman" w:hAnsi="Times New Roman" w:cs="Times New Roman"/>
          <w:b/>
          <w:sz w:val="24"/>
          <w:szCs w:val="24"/>
        </w:rPr>
      </w:pPr>
      <w:r w:rsidRPr="0098752C">
        <w:rPr>
          <w:rFonts w:ascii="Times New Roman" w:hAnsi="Times New Roman" w:cs="Times New Roman"/>
          <w:b/>
          <w:sz w:val="24"/>
          <w:szCs w:val="24"/>
        </w:rPr>
        <w:br w:type="page"/>
      </w:r>
    </w:p>
    <w:p w:rsidR="00DA21A9" w:rsidRPr="0098752C" w:rsidRDefault="00DA21A9" w:rsidP="00DA21A9">
      <w:pPr>
        <w:pStyle w:val="PlainText"/>
        <w:spacing w:before="240" w:after="240" w:line="480" w:lineRule="auto"/>
        <w:jc w:val="both"/>
        <w:rPr>
          <w:rFonts w:ascii="Times New Roman" w:hAnsi="Times New Roman" w:cs="Times New Roman"/>
          <w:b/>
          <w:sz w:val="26"/>
          <w:szCs w:val="26"/>
        </w:rPr>
      </w:pPr>
      <w:r w:rsidRPr="0098752C">
        <w:rPr>
          <w:rFonts w:ascii="Times New Roman" w:hAnsi="Times New Roman" w:cs="Times New Roman"/>
          <w:b/>
          <w:sz w:val="26"/>
          <w:szCs w:val="26"/>
        </w:rPr>
        <w:lastRenderedPageBreak/>
        <w:t>Additional references in Supplementary Appendices</w:t>
      </w:r>
    </w:p>
    <w:p w:rsidR="00DA21A9" w:rsidRPr="0098752C" w:rsidRDefault="00DA21A9" w:rsidP="00DA21A9">
      <w:pPr>
        <w:spacing w:after="0" w:line="480" w:lineRule="auto"/>
        <w:ind w:left="720" w:hanging="720"/>
        <w:jc w:val="both"/>
        <w:rPr>
          <w:rFonts w:ascii="Times New Roman" w:hAnsi="Times New Roman" w:cs="Times New Roman"/>
          <w:sz w:val="24"/>
          <w:szCs w:val="24"/>
          <w:lang w:val="en-US"/>
        </w:rPr>
      </w:pPr>
      <w:r w:rsidRPr="0098752C">
        <w:rPr>
          <w:rFonts w:ascii="Times New Roman" w:hAnsi="Times New Roman" w:cs="Times New Roman"/>
          <w:sz w:val="24"/>
          <w:szCs w:val="24"/>
          <w:lang w:val="en-US"/>
        </w:rPr>
        <w:t xml:space="preserve">Alton PB (2016) The sensitivity of models of gross primary productivity to </w:t>
      </w:r>
      <w:r w:rsidRPr="0098752C">
        <w:rPr>
          <w:rFonts w:ascii="Times New Roman" w:hAnsi="Times New Roman" w:cs="Times New Roman"/>
          <w:sz w:val="24"/>
          <w:szCs w:val="24"/>
        </w:rPr>
        <w:t xml:space="preserve">meteorological and leaf area forcing: A comparison between a Penman–Monteith ecophysiological approach and the MODIS Light-Use Efficiency algorithm. </w:t>
      </w:r>
      <w:r w:rsidRPr="0098752C">
        <w:rPr>
          <w:rFonts w:ascii="Times New Roman" w:hAnsi="Times New Roman" w:cs="Times New Roman"/>
          <w:sz w:val="24"/>
          <w:szCs w:val="24"/>
          <w:lang w:val="en-US"/>
        </w:rPr>
        <w:t>Agric For Meteorol 218:11</w:t>
      </w:r>
      <w:r>
        <w:rPr>
          <w:rFonts w:ascii="Times New Roman" w:hAnsi="Times New Roman" w:cs="Times New Roman"/>
          <w:sz w:val="24"/>
          <w:szCs w:val="24"/>
          <w:lang w:val="en-US"/>
        </w:rPr>
        <w:t>-</w:t>
      </w:r>
      <w:r w:rsidRPr="0098752C">
        <w:rPr>
          <w:rFonts w:ascii="Times New Roman" w:hAnsi="Times New Roman" w:cs="Times New Roman"/>
          <w:sz w:val="24"/>
          <w:szCs w:val="24"/>
          <w:lang w:val="en-US"/>
        </w:rPr>
        <w:t>24.</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Aníc M, Sever MZO, Alberti G, Balenović I, Paladinić E, Peressotti A, Tijan G, Večenaj Z, Vuletić D, Marjanović H (2018) Eddy covariance vs. biometric based estimates of net primary productivity of pedunculate oak (</w:t>
      </w:r>
      <w:r w:rsidRPr="0098752C">
        <w:rPr>
          <w:rFonts w:ascii="Times New Roman" w:hAnsi="Times New Roman" w:cs="Times New Roman"/>
          <w:i/>
          <w:sz w:val="24"/>
          <w:szCs w:val="24"/>
        </w:rPr>
        <w:t>Quercus robur</w:t>
      </w:r>
      <w:r w:rsidRPr="0098752C">
        <w:rPr>
          <w:rFonts w:ascii="Times New Roman" w:hAnsi="Times New Roman" w:cs="Times New Roman"/>
          <w:sz w:val="24"/>
          <w:szCs w:val="24"/>
        </w:rPr>
        <w:t xml:space="preserve"> L.) forest in Croatia during ten years. Forests 9, 764.</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Baldocchi D (2008) 'Breathing' of the terrestrial biosphere: lessons learned from a global network of carbon dioxide flux measurements. Aust J Bot 56:1</w:t>
      </w:r>
      <w:r>
        <w:rPr>
          <w:rFonts w:ascii="Times New Roman" w:hAnsi="Times New Roman" w:cs="Times New Roman"/>
          <w:sz w:val="24"/>
          <w:szCs w:val="24"/>
        </w:rPr>
        <w:t>-</w:t>
      </w:r>
      <w:r w:rsidRPr="0098752C">
        <w:rPr>
          <w:rFonts w:ascii="Times New Roman" w:hAnsi="Times New Roman" w:cs="Times New Roman"/>
          <w:sz w:val="24"/>
          <w:szCs w:val="24"/>
        </w:rPr>
        <w:t>26.</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Baldocchi DD, Hicks BB, Meyers TP (1988) Measuring biosphere-atmospheric exchanges of biologically related gases with micrometerological methods. Ecology 69:1331</w:t>
      </w:r>
      <w:r>
        <w:rPr>
          <w:rFonts w:ascii="Times New Roman" w:hAnsi="Times New Roman" w:cs="Times New Roman"/>
          <w:sz w:val="24"/>
          <w:szCs w:val="24"/>
        </w:rPr>
        <w:t>-</w:t>
      </w:r>
      <w:r w:rsidRPr="0098752C">
        <w:rPr>
          <w:rFonts w:ascii="Times New Roman" w:hAnsi="Times New Roman" w:cs="Times New Roman"/>
          <w:sz w:val="24"/>
          <w:szCs w:val="24"/>
        </w:rPr>
        <w:t>1340.</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Brændholt A, Ibrom A, Larsen KS, Pilegaard K (2018) Partitioning of ecosystem respiration in a beech forest. Agric For Meteorol 252:88</w:t>
      </w:r>
      <w:r>
        <w:rPr>
          <w:rFonts w:ascii="Times New Roman" w:hAnsi="Times New Roman" w:cs="Times New Roman"/>
          <w:sz w:val="24"/>
          <w:szCs w:val="24"/>
        </w:rPr>
        <w:t>-</w:t>
      </w:r>
      <w:r w:rsidRPr="0098752C">
        <w:rPr>
          <w:rFonts w:ascii="Times New Roman" w:hAnsi="Times New Roman" w:cs="Times New Roman"/>
          <w:sz w:val="24"/>
          <w:szCs w:val="24"/>
        </w:rPr>
        <w:t>98.</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Burba G (2013) Eddy Covariance method for scientific, industrial, agricultural, and regulatory applications: A field book on measuring ecosystem gas exchange and areal emission rates. LI-COR Biosciences, Lincoln, New England.</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Campioli M, Malhi Y, Vicca S, Luyssaert S, Papale D, Peñuelas J, Reichstein M, Migliavacca M, Arain MA, Janssens IA (2016) Evaluating the convergence between eddy-covariance and biometric methods for assessing carbon budgets of forests. Nature Comm 7:13717.</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Clark DA, Brown S, Kicklighter DW, Chambers JQ, Tomlinson JR, Ni J (2001) Measuring net primary production in forests: concepts and field methods. Ecol App 11:356</w:t>
      </w:r>
      <w:r>
        <w:rPr>
          <w:rFonts w:ascii="Times New Roman" w:hAnsi="Times New Roman" w:cs="Times New Roman"/>
          <w:sz w:val="24"/>
          <w:szCs w:val="24"/>
        </w:rPr>
        <w:t>-</w:t>
      </w:r>
      <w:r w:rsidRPr="0098752C">
        <w:rPr>
          <w:rFonts w:ascii="Times New Roman" w:hAnsi="Times New Roman" w:cs="Times New Roman"/>
          <w:sz w:val="24"/>
          <w:szCs w:val="24"/>
        </w:rPr>
        <w:t>370.</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lastRenderedPageBreak/>
        <w:t>Coops NC, Waring RH, Brown SR, Running SW (2001) Comparisons of predictions of net primary production and seasonal patterns in water use derived with two forest growth models in Southwestern Oregon. Ecol Mod 142:61</w:t>
      </w:r>
      <w:r>
        <w:rPr>
          <w:rFonts w:ascii="Times New Roman" w:hAnsi="Times New Roman" w:cs="Times New Roman"/>
          <w:sz w:val="24"/>
          <w:szCs w:val="24"/>
        </w:rPr>
        <w:t>-</w:t>
      </w:r>
      <w:r w:rsidRPr="0098752C">
        <w:rPr>
          <w:rFonts w:ascii="Times New Roman" w:hAnsi="Times New Roman" w:cs="Times New Roman"/>
          <w:sz w:val="24"/>
          <w:szCs w:val="24"/>
        </w:rPr>
        <w:t>81.</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Coops NC, Waring RH, Landsberg JJ (1998) Assessing forest productivity in Australia and New Zealand using a physiologically-based model driven with averaged monthly weather data and satellite-derived estimates of canopy photosynthetic capacity. For Ecol Manage 104:113</w:t>
      </w:r>
      <w:r>
        <w:rPr>
          <w:rFonts w:ascii="Times New Roman" w:hAnsi="Times New Roman" w:cs="Times New Roman"/>
          <w:sz w:val="24"/>
          <w:szCs w:val="24"/>
        </w:rPr>
        <w:t>-</w:t>
      </w:r>
      <w:r w:rsidRPr="0098752C">
        <w:rPr>
          <w:rFonts w:ascii="Times New Roman" w:hAnsi="Times New Roman" w:cs="Times New Roman"/>
          <w:sz w:val="24"/>
          <w:szCs w:val="24"/>
        </w:rPr>
        <w:t>127.</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Drake JE, Stoy PC, Jackson RB, DeLucia EH (2008) Fine-root respiration in a loblolly pine (</w:t>
      </w:r>
      <w:r w:rsidRPr="0098752C">
        <w:rPr>
          <w:rFonts w:ascii="Times New Roman" w:hAnsi="Times New Roman" w:cs="Times New Roman"/>
          <w:i/>
          <w:sz w:val="24"/>
          <w:szCs w:val="24"/>
        </w:rPr>
        <w:t>Pinus taeda</w:t>
      </w:r>
      <w:r w:rsidRPr="0098752C">
        <w:rPr>
          <w:rFonts w:ascii="Times New Roman" w:hAnsi="Times New Roman" w:cs="Times New Roman"/>
          <w:sz w:val="24"/>
          <w:szCs w:val="24"/>
        </w:rPr>
        <w:t xml:space="preserve"> L.) forest exposed to elevated CO</w:t>
      </w:r>
      <w:r w:rsidRPr="0098752C">
        <w:rPr>
          <w:rFonts w:ascii="Times New Roman" w:hAnsi="Times New Roman" w:cs="Times New Roman"/>
          <w:sz w:val="24"/>
          <w:szCs w:val="24"/>
          <w:vertAlign w:val="subscript"/>
        </w:rPr>
        <w:t xml:space="preserve">2 </w:t>
      </w:r>
      <w:r w:rsidRPr="0098752C">
        <w:rPr>
          <w:rFonts w:ascii="Times New Roman" w:hAnsi="Times New Roman" w:cs="Times New Roman"/>
          <w:sz w:val="24"/>
          <w:szCs w:val="24"/>
        </w:rPr>
        <w:t>and N fertilization. Pl Cell Environ 31:1663</w:t>
      </w:r>
      <w:r>
        <w:rPr>
          <w:rFonts w:ascii="Times New Roman" w:hAnsi="Times New Roman" w:cs="Times New Roman"/>
          <w:sz w:val="24"/>
          <w:szCs w:val="24"/>
        </w:rPr>
        <w:t>-</w:t>
      </w:r>
      <w:r w:rsidRPr="0098752C">
        <w:rPr>
          <w:rFonts w:ascii="Times New Roman" w:hAnsi="Times New Roman" w:cs="Times New Roman"/>
          <w:sz w:val="24"/>
          <w:szCs w:val="24"/>
        </w:rPr>
        <w:t>1672.</w:t>
      </w:r>
    </w:p>
    <w:p w:rsidR="00DA21A9" w:rsidRPr="0098752C" w:rsidRDefault="00DA21A9" w:rsidP="00DA21A9">
      <w:pPr>
        <w:spacing w:after="0" w:line="480" w:lineRule="auto"/>
        <w:ind w:left="720" w:hanging="720"/>
        <w:jc w:val="both"/>
        <w:rPr>
          <w:rFonts w:ascii="Times New Roman" w:hAnsi="Times New Roman" w:cs="Times New Roman"/>
          <w:bCs/>
          <w:sz w:val="24"/>
          <w:szCs w:val="24"/>
        </w:rPr>
      </w:pPr>
      <w:r w:rsidRPr="0098752C">
        <w:rPr>
          <w:rFonts w:ascii="Times New Roman" w:hAnsi="Times New Roman" w:cs="Times New Roman"/>
          <w:bCs/>
          <w:sz w:val="24"/>
          <w:szCs w:val="24"/>
        </w:rPr>
        <w:t>Fenn K, Malhi Y, Morecroft M, Lloyd C, Thomas M (2015) The carbon cycle of a maritime ancient temperate broadleaved woodland at seasonal and annual scales. Ecosystems 18:1</w:t>
      </w:r>
      <w:r>
        <w:rPr>
          <w:rFonts w:ascii="Times New Roman" w:hAnsi="Times New Roman" w:cs="Times New Roman"/>
          <w:bCs/>
          <w:sz w:val="24"/>
          <w:szCs w:val="24"/>
        </w:rPr>
        <w:t>-</w:t>
      </w:r>
      <w:r w:rsidRPr="0098752C">
        <w:rPr>
          <w:rFonts w:ascii="Times New Roman" w:hAnsi="Times New Roman" w:cs="Times New Roman"/>
          <w:bCs/>
          <w:sz w:val="24"/>
          <w:szCs w:val="24"/>
        </w:rPr>
        <w:t>15.</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 xml:space="preserve">Giardina CP, Ryan MG (2002) Total belowground carbon allocation in a fast growing </w:t>
      </w:r>
      <w:r w:rsidRPr="0098752C">
        <w:rPr>
          <w:rFonts w:ascii="Times New Roman" w:hAnsi="Times New Roman" w:cs="Times New Roman"/>
          <w:i/>
          <w:sz w:val="24"/>
          <w:szCs w:val="24"/>
        </w:rPr>
        <w:t>Eucalyptus</w:t>
      </w:r>
      <w:r w:rsidRPr="0098752C">
        <w:rPr>
          <w:rFonts w:ascii="Times New Roman" w:hAnsi="Times New Roman" w:cs="Times New Roman"/>
          <w:sz w:val="24"/>
          <w:szCs w:val="24"/>
        </w:rPr>
        <w:t xml:space="preserve"> plantation estimated using a carbon balance approach. Ecosystems 5:487</w:t>
      </w:r>
      <w:r>
        <w:rPr>
          <w:rFonts w:ascii="Times New Roman" w:hAnsi="Times New Roman" w:cs="Times New Roman"/>
          <w:sz w:val="24"/>
          <w:szCs w:val="24"/>
        </w:rPr>
        <w:t>-</w:t>
      </w:r>
      <w:r w:rsidRPr="0098752C">
        <w:rPr>
          <w:rFonts w:ascii="Times New Roman" w:hAnsi="Times New Roman" w:cs="Times New Roman"/>
          <w:sz w:val="24"/>
          <w:szCs w:val="24"/>
        </w:rPr>
        <w:t>499.</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Hamilton JG, Thomas RB, DeLucia EH (2001) Direct and indirect effects of elevated CO</w:t>
      </w:r>
      <w:r w:rsidRPr="0098752C">
        <w:rPr>
          <w:rFonts w:ascii="Times New Roman" w:hAnsi="Times New Roman" w:cs="Times New Roman"/>
          <w:sz w:val="24"/>
          <w:szCs w:val="24"/>
          <w:vertAlign w:val="subscript"/>
        </w:rPr>
        <w:t xml:space="preserve">2 </w:t>
      </w:r>
      <w:r w:rsidRPr="0098752C">
        <w:rPr>
          <w:rFonts w:ascii="Times New Roman" w:hAnsi="Times New Roman" w:cs="Times New Roman"/>
          <w:sz w:val="24"/>
          <w:szCs w:val="24"/>
        </w:rPr>
        <w:t>on leaf respiration in a forest ecosystem. Pl Cell Environ 24:975</w:t>
      </w:r>
      <w:r>
        <w:rPr>
          <w:rFonts w:ascii="Times New Roman" w:hAnsi="Times New Roman" w:cs="Times New Roman"/>
          <w:sz w:val="24"/>
          <w:szCs w:val="24"/>
        </w:rPr>
        <w:t>-</w:t>
      </w:r>
      <w:r w:rsidRPr="0098752C">
        <w:rPr>
          <w:rFonts w:ascii="Times New Roman" w:hAnsi="Times New Roman" w:cs="Times New Roman"/>
          <w:sz w:val="24"/>
          <w:szCs w:val="24"/>
        </w:rPr>
        <w:t>982.</w:t>
      </w:r>
    </w:p>
    <w:p w:rsidR="00DA21A9" w:rsidRPr="0098752C" w:rsidRDefault="00DA21A9" w:rsidP="00DA21A9">
      <w:pPr>
        <w:pStyle w:val="PlainText"/>
        <w:spacing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Heskel MA, Tang JW (2018) Environmental controls on light inhibition of respiration and leaf and canopy daytime carbon exchange in a temperate deciduous forest. Tree Physiol 38:1886-1902.</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Jarvi MP, Burton AJ (2013) Acclimation and soil moisture constrain sugar maple root respiration in experimentally warmed soil. Tree Physiol 33:949</w:t>
      </w:r>
      <w:r>
        <w:rPr>
          <w:rFonts w:ascii="Times New Roman" w:hAnsi="Times New Roman" w:cs="Times New Roman"/>
          <w:sz w:val="24"/>
          <w:szCs w:val="24"/>
        </w:rPr>
        <w:t>-</w:t>
      </w:r>
      <w:r w:rsidRPr="0098752C">
        <w:rPr>
          <w:rFonts w:ascii="Times New Roman" w:hAnsi="Times New Roman" w:cs="Times New Roman"/>
          <w:sz w:val="24"/>
          <w:szCs w:val="24"/>
        </w:rPr>
        <w:t>959.</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Landsberg JJ, Gower ST (1997) Applications of physiological ecology to forest management. Academic Press, San Diego.</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lastRenderedPageBreak/>
        <w:t>Landsberg JJ, Sands PJ (2011) Physiological ecology of forest production. Academic Press, NY.</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 xml:space="preserve">Laureano RG, García-Nogales A, Seco JI, Rodríguez GP, Linares JC, Martínez F, Merino J (2013) Growth and maintenance costs of leaves and roots in two populations of </w:t>
      </w:r>
      <w:r w:rsidRPr="0098752C">
        <w:rPr>
          <w:rFonts w:ascii="Times New Roman" w:hAnsi="Times New Roman" w:cs="Times New Roman"/>
          <w:i/>
          <w:sz w:val="24"/>
          <w:szCs w:val="24"/>
        </w:rPr>
        <w:t>Quercus ilex</w:t>
      </w:r>
      <w:r w:rsidRPr="0098752C">
        <w:rPr>
          <w:rFonts w:ascii="Times New Roman" w:hAnsi="Times New Roman" w:cs="Times New Roman"/>
          <w:sz w:val="24"/>
          <w:szCs w:val="24"/>
        </w:rPr>
        <w:t xml:space="preserve"> native to different substrates. Pl Soil 363:87</w:t>
      </w:r>
      <w:r>
        <w:rPr>
          <w:rFonts w:ascii="Times New Roman" w:hAnsi="Times New Roman" w:cs="Times New Roman"/>
          <w:sz w:val="24"/>
          <w:szCs w:val="24"/>
        </w:rPr>
        <w:t>-</w:t>
      </w:r>
      <w:r w:rsidRPr="0098752C">
        <w:rPr>
          <w:rFonts w:ascii="Times New Roman" w:hAnsi="Times New Roman" w:cs="Times New Roman"/>
          <w:sz w:val="24"/>
          <w:szCs w:val="24"/>
        </w:rPr>
        <w:t>99.</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 xml:space="preserve">Laureano RG, Lazo YO, Linares JC, Luque A, Martínez F, Seco JI, Merino J (2008) The cost of stress resistance: construction and maintenance costs of leaves and roots in two populations of </w:t>
      </w:r>
      <w:r w:rsidRPr="0098752C">
        <w:rPr>
          <w:rFonts w:ascii="Times New Roman" w:hAnsi="Times New Roman" w:cs="Times New Roman"/>
          <w:i/>
          <w:sz w:val="24"/>
          <w:szCs w:val="24"/>
        </w:rPr>
        <w:t>Quercus ilex</w:t>
      </w:r>
      <w:r w:rsidRPr="0098752C">
        <w:rPr>
          <w:rFonts w:ascii="Times New Roman" w:hAnsi="Times New Roman" w:cs="Times New Roman"/>
          <w:sz w:val="24"/>
          <w:szCs w:val="24"/>
        </w:rPr>
        <w:t xml:space="preserve">. </w:t>
      </w:r>
      <w:r w:rsidRPr="0098752C">
        <w:rPr>
          <w:rFonts w:ascii="Times New Roman" w:hAnsi="Times New Roman" w:cs="Times New Roman"/>
          <w:iCs/>
          <w:sz w:val="24"/>
          <w:szCs w:val="24"/>
        </w:rPr>
        <w:t>Tree Physiol</w:t>
      </w:r>
      <w:r w:rsidRPr="0098752C">
        <w:rPr>
          <w:rFonts w:ascii="Times New Roman" w:hAnsi="Times New Roman" w:cs="Times New Roman"/>
          <w:sz w:val="24"/>
          <w:szCs w:val="24"/>
        </w:rPr>
        <w:t xml:space="preserve"> </w:t>
      </w:r>
      <w:r w:rsidRPr="0098752C">
        <w:rPr>
          <w:rFonts w:ascii="Times New Roman" w:hAnsi="Times New Roman" w:cs="Times New Roman"/>
          <w:bCs/>
          <w:sz w:val="24"/>
          <w:szCs w:val="24"/>
        </w:rPr>
        <w:t>28:</w:t>
      </w:r>
      <w:r w:rsidRPr="0098752C">
        <w:rPr>
          <w:rFonts w:ascii="Times New Roman" w:hAnsi="Times New Roman" w:cs="Times New Roman"/>
          <w:sz w:val="24"/>
          <w:szCs w:val="24"/>
        </w:rPr>
        <w:t>1721</w:t>
      </w:r>
      <w:r>
        <w:rPr>
          <w:rFonts w:ascii="Times New Roman" w:hAnsi="Times New Roman" w:cs="Times New Roman"/>
          <w:sz w:val="24"/>
          <w:szCs w:val="24"/>
        </w:rPr>
        <w:t>-</w:t>
      </w:r>
      <w:r w:rsidRPr="0098752C">
        <w:rPr>
          <w:rFonts w:ascii="Times New Roman" w:hAnsi="Times New Roman" w:cs="Times New Roman"/>
          <w:sz w:val="24"/>
          <w:szCs w:val="24"/>
        </w:rPr>
        <w:t>1728.</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Macinnis-Ng C, Wyse SV, Webb T, Taylor D, Schwendenmann L (2017) Sustained carbon uptake in a mixed age southern conifer forest. Trees 31:967</w:t>
      </w:r>
      <w:r>
        <w:rPr>
          <w:rFonts w:ascii="Times New Roman" w:hAnsi="Times New Roman" w:cs="Times New Roman"/>
          <w:sz w:val="24"/>
          <w:szCs w:val="24"/>
        </w:rPr>
        <w:t>-</w:t>
      </w:r>
      <w:r w:rsidRPr="0098752C">
        <w:rPr>
          <w:rFonts w:ascii="Times New Roman" w:hAnsi="Times New Roman" w:cs="Times New Roman"/>
          <w:sz w:val="24"/>
          <w:szCs w:val="24"/>
        </w:rPr>
        <w:t>980.</w:t>
      </w:r>
    </w:p>
    <w:p w:rsidR="00DA21A9" w:rsidRPr="0098752C" w:rsidRDefault="00DA21A9" w:rsidP="00DA21A9">
      <w:pPr>
        <w:spacing w:after="0" w:line="480" w:lineRule="auto"/>
        <w:ind w:left="720" w:hanging="720"/>
        <w:jc w:val="both"/>
        <w:rPr>
          <w:rFonts w:ascii="Times New Roman" w:hAnsi="Times New Roman" w:cs="Times New Roman"/>
          <w:sz w:val="24"/>
          <w:szCs w:val="24"/>
          <w:lang w:val="en-US"/>
        </w:rPr>
      </w:pPr>
      <w:r w:rsidRPr="0098752C">
        <w:rPr>
          <w:rFonts w:ascii="Times New Roman" w:hAnsi="Times New Roman" w:cs="Times New Roman"/>
          <w:sz w:val="24"/>
          <w:szCs w:val="24"/>
          <w:lang w:val="en-US"/>
        </w:rPr>
        <w:t>Merino J, Field C, Mooney HA (1982) Construction and maintenance costs of Mediterranean-climate evergreen and deciduous leaves I. Growth and CO</w:t>
      </w:r>
      <w:r w:rsidRPr="0098752C">
        <w:rPr>
          <w:rFonts w:ascii="Times New Roman" w:hAnsi="Times New Roman" w:cs="Times New Roman"/>
          <w:sz w:val="24"/>
          <w:szCs w:val="24"/>
          <w:vertAlign w:val="subscript"/>
          <w:lang w:val="en-US"/>
        </w:rPr>
        <w:t xml:space="preserve">2 </w:t>
      </w:r>
      <w:r w:rsidRPr="0098752C">
        <w:rPr>
          <w:rFonts w:ascii="Times New Roman" w:hAnsi="Times New Roman" w:cs="Times New Roman"/>
          <w:sz w:val="24"/>
          <w:szCs w:val="24"/>
          <w:lang w:val="en-US"/>
        </w:rPr>
        <w:t>exchange analysis. Oecologica 53:208</w:t>
      </w:r>
      <w:r>
        <w:rPr>
          <w:rFonts w:ascii="Times New Roman" w:hAnsi="Times New Roman" w:cs="Times New Roman"/>
          <w:sz w:val="24"/>
          <w:szCs w:val="24"/>
          <w:lang w:val="en-US"/>
        </w:rPr>
        <w:t>-</w:t>
      </w:r>
      <w:r w:rsidRPr="0098752C">
        <w:rPr>
          <w:rFonts w:ascii="Times New Roman" w:hAnsi="Times New Roman" w:cs="Times New Roman"/>
          <w:sz w:val="24"/>
          <w:szCs w:val="24"/>
          <w:lang w:val="en-US"/>
        </w:rPr>
        <w:t>213.</w:t>
      </w:r>
    </w:p>
    <w:p w:rsidR="00DA21A9" w:rsidRPr="0071643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 xml:space="preserve">Moncrieff J (2004) Surface turbulent fluxes. In: </w:t>
      </w:r>
      <w:r w:rsidRPr="0098752C">
        <w:rPr>
          <w:rFonts w:ascii="Times New Roman" w:hAnsi="Times New Roman" w:cs="Times New Roman"/>
          <w:bCs/>
          <w:sz w:val="24"/>
          <w:szCs w:val="24"/>
        </w:rPr>
        <w:t>Kabat</w:t>
      </w:r>
      <w:r w:rsidRPr="0098752C">
        <w:rPr>
          <w:rFonts w:ascii="Times New Roman" w:hAnsi="Times New Roman" w:cs="Times New Roman"/>
          <w:sz w:val="24"/>
          <w:szCs w:val="24"/>
        </w:rPr>
        <w:t xml:space="preserve"> P, </w:t>
      </w:r>
      <w:r w:rsidRPr="0098752C">
        <w:rPr>
          <w:rFonts w:ascii="Times New Roman" w:hAnsi="Times New Roman" w:cs="Times New Roman"/>
          <w:bCs/>
          <w:sz w:val="24"/>
          <w:szCs w:val="24"/>
        </w:rPr>
        <w:t>Claussen</w:t>
      </w:r>
      <w:r w:rsidRPr="0098752C">
        <w:rPr>
          <w:rFonts w:ascii="Times New Roman" w:hAnsi="Times New Roman" w:cs="Times New Roman"/>
          <w:sz w:val="24"/>
          <w:szCs w:val="24"/>
        </w:rPr>
        <w:t xml:space="preserve"> M, </w:t>
      </w:r>
      <w:r w:rsidRPr="0098752C">
        <w:rPr>
          <w:rFonts w:ascii="Times New Roman" w:hAnsi="Times New Roman" w:cs="Times New Roman"/>
          <w:bCs/>
          <w:sz w:val="24"/>
          <w:szCs w:val="24"/>
        </w:rPr>
        <w:t>Whitlock</w:t>
      </w:r>
      <w:r w:rsidRPr="0098752C">
        <w:rPr>
          <w:rFonts w:ascii="Times New Roman" w:hAnsi="Times New Roman" w:cs="Times New Roman"/>
          <w:sz w:val="24"/>
          <w:szCs w:val="24"/>
        </w:rPr>
        <w:t xml:space="preserve"> S, </w:t>
      </w:r>
      <w:r w:rsidRPr="0098752C">
        <w:rPr>
          <w:rFonts w:ascii="Times New Roman" w:hAnsi="Times New Roman" w:cs="Times New Roman"/>
          <w:bCs/>
          <w:sz w:val="24"/>
          <w:szCs w:val="24"/>
        </w:rPr>
        <w:t>Gash</w:t>
      </w:r>
      <w:r w:rsidRPr="0098752C">
        <w:rPr>
          <w:rFonts w:ascii="Times New Roman" w:hAnsi="Times New Roman" w:cs="Times New Roman"/>
          <w:sz w:val="24"/>
          <w:szCs w:val="24"/>
        </w:rPr>
        <w:t xml:space="preserve"> JHC, </w:t>
      </w:r>
      <w:r w:rsidRPr="0098752C">
        <w:rPr>
          <w:rFonts w:ascii="Times New Roman" w:hAnsi="Times New Roman" w:cs="Times New Roman"/>
          <w:bCs/>
          <w:sz w:val="24"/>
          <w:szCs w:val="24"/>
        </w:rPr>
        <w:t>Guenni</w:t>
      </w:r>
      <w:r w:rsidRPr="0098752C">
        <w:rPr>
          <w:rFonts w:ascii="Times New Roman" w:hAnsi="Times New Roman" w:cs="Times New Roman"/>
          <w:sz w:val="24"/>
          <w:szCs w:val="24"/>
        </w:rPr>
        <w:t xml:space="preserve"> LB de, </w:t>
      </w:r>
      <w:r w:rsidRPr="0098752C">
        <w:rPr>
          <w:rFonts w:ascii="Times New Roman" w:hAnsi="Times New Roman" w:cs="Times New Roman"/>
          <w:bCs/>
          <w:sz w:val="24"/>
          <w:szCs w:val="24"/>
        </w:rPr>
        <w:t>Meybeck</w:t>
      </w:r>
      <w:r w:rsidRPr="0098752C">
        <w:rPr>
          <w:rFonts w:ascii="Times New Roman" w:hAnsi="Times New Roman" w:cs="Times New Roman"/>
          <w:sz w:val="24"/>
          <w:szCs w:val="24"/>
        </w:rPr>
        <w:t xml:space="preserve"> M, </w:t>
      </w:r>
      <w:r w:rsidRPr="0098752C">
        <w:rPr>
          <w:rFonts w:ascii="Times New Roman" w:hAnsi="Times New Roman" w:cs="Times New Roman"/>
          <w:bCs/>
          <w:sz w:val="24"/>
          <w:szCs w:val="24"/>
        </w:rPr>
        <w:t>Pielke</w:t>
      </w:r>
      <w:r w:rsidRPr="0098752C">
        <w:rPr>
          <w:rFonts w:ascii="Times New Roman" w:hAnsi="Times New Roman" w:cs="Times New Roman"/>
          <w:sz w:val="24"/>
          <w:szCs w:val="24"/>
        </w:rPr>
        <w:t xml:space="preserve"> R, </w:t>
      </w:r>
      <w:r w:rsidRPr="0098752C">
        <w:rPr>
          <w:rFonts w:ascii="Times New Roman" w:hAnsi="Times New Roman" w:cs="Times New Roman"/>
          <w:bCs/>
          <w:sz w:val="24"/>
          <w:szCs w:val="24"/>
        </w:rPr>
        <w:t>Vörösmarty</w:t>
      </w:r>
      <w:r w:rsidRPr="0098752C">
        <w:rPr>
          <w:rFonts w:ascii="Times New Roman" w:hAnsi="Times New Roman" w:cs="Times New Roman"/>
          <w:sz w:val="24"/>
          <w:szCs w:val="24"/>
        </w:rPr>
        <w:t xml:space="preserve"> CJ, </w:t>
      </w:r>
      <w:r w:rsidRPr="0098752C">
        <w:rPr>
          <w:rFonts w:ascii="Times New Roman" w:hAnsi="Times New Roman" w:cs="Times New Roman"/>
          <w:bCs/>
          <w:sz w:val="24"/>
          <w:szCs w:val="24"/>
        </w:rPr>
        <w:t>Hutjes</w:t>
      </w:r>
      <w:r w:rsidRPr="0098752C">
        <w:rPr>
          <w:rFonts w:ascii="Times New Roman" w:hAnsi="Times New Roman" w:cs="Times New Roman"/>
          <w:sz w:val="24"/>
          <w:szCs w:val="24"/>
        </w:rPr>
        <w:t xml:space="preserve"> RWA, </w:t>
      </w:r>
      <w:r w:rsidRPr="0098752C">
        <w:rPr>
          <w:rFonts w:ascii="Times New Roman" w:hAnsi="Times New Roman" w:cs="Times New Roman"/>
          <w:bCs/>
          <w:sz w:val="24"/>
          <w:szCs w:val="24"/>
        </w:rPr>
        <w:t>Lütkemeier</w:t>
      </w:r>
      <w:r w:rsidRPr="0098752C">
        <w:rPr>
          <w:rFonts w:ascii="Times New Roman" w:hAnsi="Times New Roman" w:cs="Times New Roman"/>
          <w:sz w:val="24"/>
          <w:szCs w:val="24"/>
        </w:rPr>
        <w:t xml:space="preserve"> S (eds) Vegetation, water, humans and the climate global change. Springer, Berlin, pp </w:t>
      </w:r>
      <w:r w:rsidRPr="0071643C">
        <w:rPr>
          <w:rFonts w:ascii="Times New Roman" w:hAnsi="Times New Roman" w:cs="Times New Roman"/>
          <w:sz w:val="24"/>
          <w:szCs w:val="24"/>
        </w:rPr>
        <w:t>173-182.</w:t>
      </w:r>
    </w:p>
    <w:p w:rsidR="00DA21A9" w:rsidRPr="008571E2" w:rsidRDefault="00DA21A9" w:rsidP="00DA21A9">
      <w:pPr>
        <w:pStyle w:val="PlainText"/>
        <w:spacing w:line="480" w:lineRule="auto"/>
        <w:ind w:left="720" w:hanging="720"/>
        <w:jc w:val="both"/>
        <w:rPr>
          <w:rFonts w:ascii="Times New Roman" w:hAnsi="Times New Roman" w:cs="Times New Roman"/>
          <w:sz w:val="24"/>
          <w:szCs w:val="24"/>
        </w:rPr>
      </w:pPr>
      <w:r w:rsidRPr="008571E2">
        <w:rPr>
          <w:rFonts w:ascii="Times New Roman" w:hAnsi="Times New Roman" w:cs="Times New Roman"/>
          <w:sz w:val="24"/>
          <w:szCs w:val="24"/>
        </w:rPr>
        <w:t>Park,</w:t>
      </w:r>
      <w:r>
        <w:rPr>
          <w:rFonts w:ascii="Times New Roman" w:hAnsi="Times New Roman" w:cs="Times New Roman"/>
          <w:sz w:val="24"/>
          <w:szCs w:val="24"/>
        </w:rPr>
        <w:t xml:space="preserve"> </w:t>
      </w:r>
      <w:r w:rsidRPr="008571E2">
        <w:rPr>
          <w:rFonts w:ascii="Times New Roman" w:hAnsi="Times New Roman" w:cs="Times New Roman"/>
          <w:sz w:val="24"/>
          <w:szCs w:val="24"/>
        </w:rPr>
        <w:t>H., Im,</w:t>
      </w:r>
      <w:r>
        <w:rPr>
          <w:rFonts w:ascii="Times New Roman" w:hAnsi="Times New Roman" w:cs="Times New Roman"/>
          <w:sz w:val="24"/>
          <w:szCs w:val="24"/>
        </w:rPr>
        <w:t xml:space="preserve"> </w:t>
      </w:r>
      <w:r w:rsidRPr="008571E2">
        <w:rPr>
          <w:rFonts w:ascii="Times New Roman" w:hAnsi="Times New Roman" w:cs="Times New Roman"/>
          <w:sz w:val="24"/>
          <w:szCs w:val="24"/>
        </w:rPr>
        <w:t>J., Kim,</w:t>
      </w:r>
      <w:r>
        <w:rPr>
          <w:rFonts w:ascii="Times New Roman" w:hAnsi="Times New Roman" w:cs="Times New Roman"/>
          <w:sz w:val="24"/>
          <w:szCs w:val="24"/>
        </w:rPr>
        <w:t xml:space="preserve"> </w:t>
      </w:r>
      <w:r w:rsidRPr="008571E2">
        <w:rPr>
          <w:rFonts w:ascii="Times New Roman" w:hAnsi="Times New Roman" w:cs="Times New Roman"/>
          <w:sz w:val="24"/>
          <w:szCs w:val="24"/>
        </w:rPr>
        <w:t>M.</w:t>
      </w:r>
      <w:r>
        <w:rPr>
          <w:rFonts w:ascii="Times New Roman" w:hAnsi="Times New Roman" w:cs="Times New Roman"/>
          <w:sz w:val="24"/>
          <w:szCs w:val="24"/>
        </w:rPr>
        <w:t>,</w:t>
      </w:r>
      <w:r w:rsidRPr="008571E2">
        <w:rPr>
          <w:rFonts w:ascii="Times New Roman" w:hAnsi="Times New Roman" w:cs="Times New Roman"/>
          <w:sz w:val="24"/>
          <w:szCs w:val="24"/>
        </w:rPr>
        <w:t xml:space="preserve"> 2019</w:t>
      </w:r>
      <w:r>
        <w:rPr>
          <w:rFonts w:ascii="Times New Roman" w:hAnsi="Times New Roman" w:cs="Times New Roman"/>
          <w:sz w:val="24"/>
          <w:szCs w:val="24"/>
        </w:rPr>
        <w:t>.</w:t>
      </w:r>
      <w:r w:rsidRPr="008571E2">
        <w:rPr>
          <w:rFonts w:ascii="Times New Roman" w:hAnsi="Times New Roman" w:cs="Times New Roman"/>
          <w:sz w:val="24"/>
          <w:szCs w:val="24"/>
        </w:rPr>
        <w:t xml:space="preserve"> Improvement of satellite-based estimation of gross primary production through optimization of meteorological parameters and high resolution land cover</w:t>
      </w:r>
      <w:r>
        <w:rPr>
          <w:rFonts w:ascii="Times New Roman" w:hAnsi="Times New Roman" w:cs="Times New Roman"/>
          <w:sz w:val="24"/>
          <w:szCs w:val="24"/>
        </w:rPr>
        <w:t>.</w:t>
      </w:r>
      <w:r w:rsidRPr="008571E2">
        <w:rPr>
          <w:rFonts w:ascii="Times New Roman" w:hAnsi="Times New Roman" w:cs="Times New Roman"/>
          <w:sz w:val="24"/>
          <w:szCs w:val="24"/>
        </w:rPr>
        <w:t xml:space="preserve"> Agric. For. Meteorol. 271</w:t>
      </w:r>
      <w:r>
        <w:rPr>
          <w:rFonts w:ascii="Times New Roman" w:hAnsi="Times New Roman" w:cs="Times New Roman"/>
          <w:sz w:val="24"/>
          <w:szCs w:val="24"/>
        </w:rPr>
        <w:t>:</w:t>
      </w:r>
      <w:r w:rsidRPr="008571E2">
        <w:rPr>
          <w:rFonts w:ascii="Times New Roman" w:hAnsi="Times New Roman" w:cs="Times New Roman"/>
          <w:sz w:val="24"/>
          <w:szCs w:val="24"/>
        </w:rPr>
        <w:t>180-192</w:t>
      </w:r>
      <w:r>
        <w:rPr>
          <w:rFonts w:ascii="Times New Roman" w:hAnsi="Times New Roman" w:cs="Times New Roman"/>
          <w:sz w:val="24"/>
          <w:szCs w:val="24"/>
        </w:rPr>
        <w:t>.</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71643C">
        <w:rPr>
          <w:rFonts w:ascii="Times New Roman" w:hAnsi="Times New Roman" w:cs="Times New Roman"/>
          <w:sz w:val="24"/>
          <w:szCs w:val="24"/>
        </w:rPr>
        <w:t>Penning de Vries FWT (1975b) The cost of maintenance processes in plant cells. Ann Bot</w:t>
      </w:r>
      <w:r w:rsidRPr="0098752C">
        <w:rPr>
          <w:rFonts w:ascii="Times New Roman" w:hAnsi="Times New Roman" w:cs="Times New Roman"/>
          <w:sz w:val="24"/>
          <w:szCs w:val="24"/>
        </w:rPr>
        <w:t xml:space="preserve"> 39:77</w:t>
      </w:r>
      <w:r>
        <w:rPr>
          <w:rFonts w:ascii="Times New Roman" w:hAnsi="Times New Roman" w:cs="Times New Roman"/>
          <w:sz w:val="24"/>
          <w:szCs w:val="24"/>
        </w:rPr>
        <w:t>-</w:t>
      </w:r>
      <w:r w:rsidRPr="0098752C">
        <w:rPr>
          <w:rFonts w:ascii="Times New Roman" w:hAnsi="Times New Roman" w:cs="Times New Roman"/>
          <w:sz w:val="24"/>
          <w:szCs w:val="24"/>
        </w:rPr>
        <w:t>92.</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 xml:space="preserve">Piper FI, Fajardo A (2011) No evidence of carbon limitation with tree age and height in </w:t>
      </w:r>
      <w:r w:rsidRPr="0098752C">
        <w:rPr>
          <w:rFonts w:ascii="Times New Roman" w:hAnsi="Times New Roman" w:cs="Times New Roman"/>
          <w:i/>
          <w:sz w:val="24"/>
          <w:szCs w:val="24"/>
        </w:rPr>
        <w:t>Nothofagus pumilio</w:t>
      </w:r>
      <w:r w:rsidRPr="0098752C">
        <w:rPr>
          <w:rFonts w:ascii="Times New Roman" w:hAnsi="Times New Roman" w:cs="Times New Roman"/>
          <w:sz w:val="24"/>
          <w:szCs w:val="24"/>
        </w:rPr>
        <w:t xml:space="preserve"> under Mediterranean and temperate climate conditions. Ann Bot 108:907</w:t>
      </w:r>
      <w:r>
        <w:rPr>
          <w:rFonts w:ascii="Times New Roman" w:hAnsi="Times New Roman" w:cs="Times New Roman"/>
          <w:sz w:val="24"/>
          <w:szCs w:val="24"/>
        </w:rPr>
        <w:t>-</w:t>
      </w:r>
      <w:r w:rsidRPr="0098752C">
        <w:rPr>
          <w:rFonts w:ascii="Times New Roman" w:hAnsi="Times New Roman" w:cs="Times New Roman"/>
          <w:sz w:val="24"/>
          <w:szCs w:val="24"/>
        </w:rPr>
        <w:t>917.</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lastRenderedPageBreak/>
        <w:t>Reichstein M, Falge E, Baldocchi D, and 29 others (2005) On the separation of net ecosystem exchange into assimilation and ecosystem respiration: review and improved algorithm. Global Change Biol 11:1424</w:t>
      </w:r>
      <w:r>
        <w:rPr>
          <w:rFonts w:ascii="Times New Roman" w:hAnsi="Times New Roman" w:cs="Times New Roman"/>
          <w:sz w:val="24"/>
          <w:szCs w:val="24"/>
        </w:rPr>
        <w:t>-</w:t>
      </w:r>
      <w:r w:rsidRPr="0098752C">
        <w:rPr>
          <w:rFonts w:ascii="Times New Roman" w:hAnsi="Times New Roman" w:cs="Times New Roman"/>
          <w:sz w:val="24"/>
          <w:szCs w:val="24"/>
        </w:rPr>
        <w:t>1439.</w:t>
      </w:r>
    </w:p>
    <w:p w:rsidR="00223B00" w:rsidRPr="0098752C" w:rsidDel="005C7E6C" w:rsidRDefault="00223B00" w:rsidP="00223B00">
      <w:pPr>
        <w:pStyle w:val="PlainText"/>
        <w:spacing w:line="480" w:lineRule="auto"/>
        <w:ind w:left="510" w:hanging="510"/>
        <w:rPr>
          <w:rFonts w:ascii="Times New Roman" w:hAnsi="Times New Roman" w:cs="Times New Roman"/>
          <w:sz w:val="24"/>
          <w:szCs w:val="24"/>
        </w:rPr>
      </w:pPr>
      <w:r w:rsidRPr="0098752C" w:rsidDel="005C7E6C">
        <w:rPr>
          <w:rFonts w:ascii="Times New Roman" w:hAnsi="Times New Roman" w:cs="Times New Roman"/>
          <w:sz w:val="24"/>
          <w:szCs w:val="24"/>
        </w:rPr>
        <w:t>Running SW, Coughlan JC, (1988) A general model of forest ecosystem processes for regional applications I. Hydrological balance, canopy gas exchange and primary production processes. Ecol Mod 42:125</w:t>
      </w:r>
      <w:r w:rsidDel="005C7E6C">
        <w:rPr>
          <w:rFonts w:ascii="Times New Roman" w:hAnsi="Times New Roman" w:cs="Times New Roman"/>
          <w:sz w:val="24"/>
          <w:szCs w:val="24"/>
        </w:rPr>
        <w:t>-</w:t>
      </w:r>
      <w:r w:rsidRPr="0098752C" w:rsidDel="005C7E6C">
        <w:rPr>
          <w:rFonts w:ascii="Times New Roman" w:hAnsi="Times New Roman" w:cs="Times New Roman"/>
          <w:sz w:val="24"/>
          <w:szCs w:val="24"/>
        </w:rPr>
        <w:t>154.</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Running SW, Hunt ER (1993) Generalization of a forest ecosystem process model for other biomes BIOMEBGC and an application for global scale models. In: Ehleringer JR, Field C (eds) Scaling physiological processes: leaf to globe. Academic Press, San Diego, pp 141</w:t>
      </w:r>
      <w:r>
        <w:rPr>
          <w:rFonts w:ascii="Times New Roman" w:hAnsi="Times New Roman" w:cs="Times New Roman"/>
          <w:sz w:val="24"/>
          <w:szCs w:val="24"/>
        </w:rPr>
        <w:t>-</w:t>
      </w:r>
      <w:r w:rsidRPr="0098752C">
        <w:rPr>
          <w:rFonts w:ascii="Times New Roman" w:hAnsi="Times New Roman" w:cs="Times New Roman"/>
          <w:sz w:val="24"/>
          <w:szCs w:val="24"/>
        </w:rPr>
        <w:t>158.</w:t>
      </w:r>
    </w:p>
    <w:p w:rsidR="00DA21A9" w:rsidRPr="0098752C" w:rsidRDefault="00DA21A9" w:rsidP="00DA21A9">
      <w:pPr>
        <w:spacing w:after="0" w:line="480" w:lineRule="auto"/>
        <w:ind w:left="720" w:hanging="720"/>
        <w:jc w:val="both"/>
        <w:rPr>
          <w:rFonts w:ascii="Times New Roman" w:hAnsi="Times New Roman" w:cs="Times New Roman"/>
          <w:sz w:val="24"/>
          <w:szCs w:val="24"/>
          <w:lang w:val="en-US"/>
        </w:rPr>
      </w:pPr>
      <w:r w:rsidRPr="0098752C">
        <w:rPr>
          <w:rFonts w:ascii="Times New Roman" w:hAnsi="Times New Roman" w:cs="Times New Roman"/>
          <w:sz w:val="24"/>
          <w:szCs w:val="24"/>
          <w:lang w:val="en-US"/>
        </w:rPr>
        <w:t xml:space="preserve">Ryan MG, Hubbard RM, Pongracic S, Raison RJ, McMurtrie RE (1996) Foliage, fine root, woody-tissue and stand respiration in </w:t>
      </w:r>
      <w:r w:rsidRPr="0098752C">
        <w:rPr>
          <w:rFonts w:ascii="Times New Roman" w:hAnsi="Times New Roman" w:cs="Times New Roman"/>
          <w:i/>
          <w:sz w:val="24"/>
          <w:szCs w:val="24"/>
          <w:lang w:val="en-US"/>
        </w:rPr>
        <w:t>Pinus radiata</w:t>
      </w:r>
      <w:r w:rsidRPr="0098752C">
        <w:rPr>
          <w:rFonts w:ascii="Times New Roman" w:hAnsi="Times New Roman" w:cs="Times New Roman"/>
          <w:sz w:val="24"/>
          <w:szCs w:val="24"/>
          <w:lang w:val="en-US"/>
        </w:rPr>
        <w:t xml:space="preserve"> in relation to nitrogen status. Tree Physiol 16:333</w:t>
      </w:r>
      <w:r>
        <w:rPr>
          <w:rFonts w:ascii="Times New Roman" w:hAnsi="Times New Roman" w:cs="Times New Roman"/>
          <w:sz w:val="24"/>
          <w:szCs w:val="24"/>
          <w:lang w:val="en-US"/>
        </w:rPr>
        <w:t>-</w:t>
      </w:r>
      <w:r w:rsidRPr="0098752C">
        <w:rPr>
          <w:rFonts w:ascii="Times New Roman" w:hAnsi="Times New Roman" w:cs="Times New Roman"/>
          <w:sz w:val="24"/>
          <w:szCs w:val="24"/>
          <w:lang w:val="en-US"/>
        </w:rPr>
        <w:t>343.</w:t>
      </w:r>
    </w:p>
    <w:p w:rsidR="00DA21A9" w:rsidRPr="0098752C" w:rsidRDefault="00DA21A9" w:rsidP="00DA21A9">
      <w:pPr>
        <w:spacing w:after="0" w:line="480" w:lineRule="auto"/>
        <w:ind w:left="720" w:hanging="720"/>
        <w:jc w:val="both"/>
        <w:rPr>
          <w:rFonts w:ascii="Times New Roman" w:hAnsi="Times New Roman" w:cs="Times New Roman"/>
          <w:sz w:val="24"/>
          <w:szCs w:val="24"/>
          <w:lang w:val="en-US"/>
        </w:rPr>
      </w:pPr>
      <w:r w:rsidRPr="0098752C">
        <w:rPr>
          <w:rFonts w:ascii="Times New Roman" w:hAnsi="Times New Roman" w:cs="Times New Roman"/>
          <w:sz w:val="24"/>
          <w:szCs w:val="24"/>
          <w:lang w:val="en-US"/>
        </w:rPr>
        <w:t>Ryan MG (1991) Effects of climate change on plant respiration. Ecol App 1:157</w:t>
      </w:r>
      <w:r>
        <w:rPr>
          <w:rFonts w:ascii="Times New Roman" w:hAnsi="Times New Roman" w:cs="Times New Roman"/>
          <w:sz w:val="24"/>
          <w:szCs w:val="24"/>
          <w:lang w:val="en-US"/>
        </w:rPr>
        <w:t>-</w:t>
      </w:r>
      <w:r w:rsidRPr="0098752C">
        <w:rPr>
          <w:rFonts w:ascii="Times New Roman" w:hAnsi="Times New Roman" w:cs="Times New Roman"/>
          <w:sz w:val="24"/>
          <w:szCs w:val="24"/>
          <w:lang w:val="en-US"/>
        </w:rPr>
        <w:t>167.</w:t>
      </w:r>
    </w:p>
    <w:p w:rsidR="00DA21A9" w:rsidRPr="0098752C" w:rsidRDefault="00DA21A9" w:rsidP="00DA21A9">
      <w:pPr>
        <w:spacing w:after="0" w:line="480" w:lineRule="auto"/>
        <w:ind w:left="720" w:hanging="720"/>
        <w:jc w:val="both"/>
        <w:rPr>
          <w:rFonts w:ascii="Times New Roman" w:hAnsi="Times New Roman" w:cs="Times New Roman"/>
          <w:sz w:val="24"/>
          <w:szCs w:val="24"/>
          <w:lang w:val="en-US"/>
        </w:rPr>
      </w:pPr>
      <w:r w:rsidRPr="0098752C">
        <w:rPr>
          <w:rFonts w:ascii="Times New Roman" w:hAnsi="Times New Roman" w:cs="Times New Roman"/>
          <w:sz w:val="24"/>
          <w:szCs w:val="24"/>
          <w:lang w:val="en-US"/>
        </w:rPr>
        <w:t>Tan ZH, Hughes A, Sato T, Zhang YP, Han SJ, Kosugi Y, Goulden M, Deng XB, Cao M, Hao Z (2017) Quantifying forest net primary production: combining eddy flux, inventory and metabolic theory. iForest 10:475</w:t>
      </w:r>
      <w:r>
        <w:rPr>
          <w:rFonts w:ascii="Times New Roman" w:hAnsi="Times New Roman" w:cs="Times New Roman"/>
          <w:sz w:val="24"/>
          <w:szCs w:val="24"/>
          <w:lang w:val="en-US"/>
        </w:rPr>
        <w:t>-</w:t>
      </w:r>
      <w:r w:rsidRPr="0098752C">
        <w:rPr>
          <w:rFonts w:ascii="Times New Roman" w:hAnsi="Times New Roman" w:cs="Times New Roman"/>
          <w:sz w:val="24"/>
          <w:szCs w:val="24"/>
          <w:lang w:val="en-US"/>
        </w:rPr>
        <w:t>482.</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Tang J, Bolstad PV, Desai AR, Martin JG, Cook BD, Davis KJ, Carey EV (2008) Ecosystem respiration and its components in an old-growth forest in the Great Lakes region of the United States. Agric For Meteorol 148:171</w:t>
      </w:r>
      <w:r>
        <w:rPr>
          <w:rFonts w:ascii="Times New Roman" w:hAnsi="Times New Roman" w:cs="Times New Roman"/>
          <w:sz w:val="24"/>
          <w:szCs w:val="24"/>
        </w:rPr>
        <w:t>-</w:t>
      </w:r>
      <w:r w:rsidRPr="0098752C">
        <w:rPr>
          <w:rFonts w:ascii="Times New Roman" w:hAnsi="Times New Roman" w:cs="Times New Roman"/>
          <w:sz w:val="24"/>
          <w:szCs w:val="24"/>
        </w:rPr>
        <w:t>185.</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 xml:space="preserve">Villar R, Merino J (2001) Comparison of leaf construction costs in woody species with differing leaf life-spans in contrasting ecosystems. </w:t>
      </w:r>
      <w:r w:rsidRPr="0098752C">
        <w:rPr>
          <w:rFonts w:ascii="Times New Roman" w:hAnsi="Times New Roman" w:cs="Times New Roman"/>
          <w:iCs/>
          <w:sz w:val="24"/>
          <w:szCs w:val="24"/>
        </w:rPr>
        <w:t>New Phytol</w:t>
      </w:r>
      <w:r w:rsidRPr="0098752C">
        <w:rPr>
          <w:rFonts w:ascii="Times New Roman" w:hAnsi="Times New Roman" w:cs="Times New Roman"/>
          <w:sz w:val="24"/>
          <w:szCs w:val="24"/>
        </w:rPr>
        <w:t xml:space="preserve"> </w:t>
      </w:r>
      <w:r w:rsidRPr="0098752C">
        <w:rPr>
          <w:rFonts w:ascii="Times New Roman" w:hAnsi="Times New Roman" w:cs="Times New Roman"/>
          <w:bCs/>
          <w:sz w:val="24"/>
          <w:szCs w:val="24"/>
        </w:rPr>
        <w:t>151:</w:t>
      </w:r>
      <w:r w:rsidRPr="0098752C">
        <w:rPr>
          <w:rFonts w:ascii="Times New Roman" w:hAnsi="Times New Roman" w:cs="Times New Roman"/>
          <w:sz w:val="24"/>
          <w:szCs w:val="24"/>
        </w:rPr>
        <w:t>213</w:t>
      </w:r>
      <w:r>
        <w:rPr>
          <w:rFonts w:ascii="Times New Roman" w:hAnsi="Times New Roman" w:cs="Times New Roman"/>
          <w:sz w:val="24"/>
          <w:szCs w:val="24"/>
        </w:rPr>
        <w:t>-</w:t>
      </w:r>
      <w:r w:rsidRPr="0098752C">
        <w:rPr>
          <w:rFonts w:ascii="Times New Roman" w:hAnsi="Times New Roman" w:cs="Times New Roman"/>
          <w:sz w:val="24"/>
          <w:szCs w:val="24"/>
        </w:rPr>
        <w:t>226.</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Vogt KA, Vogt DJ, Bloomfield J (1998) Analysis of some direct and indirect methods for estimating root biomass and production of forests at an ecosystem level. Pl Soil 200:71</w:t>
      </w:r>
      <w:r>
        <w:rPr>
          <w:rFonts w:ascii="Times New Roman" w:hAnsi="Times New Roman" w:cs="Times New Roman"/>
          <w:sz w:val="24"/>
          <w:szCs w:val="24"/>
        </w:rPr>
        <w:t>-</w:t>
      </w:r>
      <w:r w:rsidRPr="0098752C">
        <w:rPr>
          <w:rFonts w:ascii="Times New Roman" w:hAnsi="Times New Roman" w:cs="Times New Roman"/>
          <w:sz w:val="24"/>
          <w:szCs w:val="24"/>
        </w:rPr>
        <w:t>89.</w:t>
      </w:r>
    </w:p>
    <w:p w:rsidR="00223B00" w:rsidRPr="0098752C" w:rsidRDefault="00223B00" w:rsidP="00223B00">
      <w:pPr>
        <w:pStyle w:val="PlainText"/>
        <w:spacing w:line="480" w:lineRule="auto"/>
        <w:ind w:left="510" w:hanging="510"/>
        <w:rPr>
          <w:rFonts w:ascii="Times New Roman" w:hAnsi="Times New Roman" w:cs="Times New Roman"/>
          <w:sz w:val="24"/>
          <w:szCs w:val="24"/>
        </w:rPr>
      </w:pPr>
      <w:r w:rsidRPr="0098752C">
        <w:rPr>
          <w:rFonts w:ascii="Times New Roman" w:hAnsi="Times New Roman" w:cs="Times New Roman"/>
          <w:sz w:val="24"/>
          <w:szCs w:val="24"/>
        </w:rPr>
        <w:lastRenderedPageBreak/>
        <w:t>Vose JM, Ryan MG (2002) Seasonal respiration of foliage, fine roots, and woody tissues in relation to growth, tissue N, and photosynthesis. Global Change Biol 8:182</w:t>
      </w:r>
      <w:r>
        <w:rPr>
          <w:rFonts w:ascii="Times New Roman" w:hAnsi="Times New Roman" w:cs="Times New Roman"/>
          <w:sz w:val="24"/>
          <w:szCs w:val="24"/>
        </w:rPr>
        <w:t>-</w:t>
      </w:r>
      <w:r w:rsidRPr="0098752C">
        <w:rPr>
          <w:rFonts w:ascii="Times New Roman" w:hAnsi="Times New Roman" w:cs="Times New Roman"/>
          <w:sz w:val="24"/>
          <w:szCs w:val="24"/>
        </w:rPr>
        <w:t>193.</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Wang M, Guan D-X, Han S-J, Wu J-L (2010) Comparison of eddy covariance and chamber-based methods for measuring CO</w:t>
      </w:r>
      <w:r w:rsidRPr="0098752C">
        <w:rPr>
          <w:rFonts w:ascii="Times New Roman" w:hAnsi="Times New Roman" w:cs="Times New Roman"/>
          <w:sz w:val="24"/>
          <w:szCs w:val="24"/>
          <w:vertAlign w:val="subscript"/>
        </w:rPr>
        <w:t xml:space="preserve">2 </w:t>
      </w:r>
      <w:r w:rsidRPr="0098752C">
        <w:rPr>
          <w:rFonts w:ascii="Times New Roman" w:hAnsi="Times New Roman" w:cs="Times New Roman"/>
          <w:sz w:val="24"/>
          <w:szCs w:val="24"/>
        </w:rPr>
        <w:t>flux in a temperate mixed forest. Tree Physiol 30:149</w:t>
      </w:r>
      <w:r>
        <w:rPr>
          <w:rFonts w:ascii="Times New Roman" w:hAnsi="Times New Roman" w:cs="Times New Roman"/>
          <w:sz w:val="24"/>
          <w:szCs w:val="24"/>
        </w:rPr>
        <w:t>-</w:t>
      </w:r>
      <w:r w:rsidRPr="0098752C">
        <w:rPr>
          <w:rFonts w:ascii="Times New Roman" w:hAnsi="Times New Roman" w:cs="Times New Roman"/>
          <w:sz w:val="24"/>
          <w:szCs w:val="24"/>
        </w:rPr>
        <w:t>163.</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Wehr R, Munger JW, McManus JB, Neslon DD, Zahniser MS, Davidson EA, Wofsy SC, Saleska SR (2016) Seasonality of temperate forest photosynthesis and daytime respiration. Nature 534:680</w:t>
      </w:r>
      <w:r>
        <w:rPr>
          <w:rFonts w:ascii="Times New Roman" w:hAnsi="Times New Roman" w:cs="Times New Roman"/>
          <w:sz w:val="24"/>
          <w:szCs w:val="24"/>
        </w:rPr>
        <w:t>-</w:t>
      </w:r>
      <w:r w:rsidRPr="0098752C">
        <w:rPr>
          <w:rFonts w:ascii="Times New Roman" w:hAnsi="Times New Roman" w:cs="Times New Roman"/>
          <w:sz w:val="24"/>
          <w:szCs w:val="24"/>
        </w:rPr>
        <w:t>683.</w:t>
      </w:r>
    </w:p>
    <w:p w:rsidR="00DA21A9" w:rsidRPr="0098752C" w:rsidRDefault="00DA21A9" w:rsidP="00DA21A9">
      <w:pPr>
        <w:spacing w:after="0" w:line="480" w:lineRule="auto"/>
        <w:ind w:left="720" w:hanging="720"/>
        <w:jc w:val="both"/>
        <w:rPr>
          <w:rFonts w:ascii="Times New Roman" w:hAnsi="Times New Roman" w:cs="Times New Roman"/>
          <w:sz w:val="24"/>
          <w:szCs w:val="24"/>
          <w:lang w:val="en-US"/>
        </w:rPr>
      </w:pPr>
      <w:r w:rsidRPr="0098752C">
        <w:rPr>
          <w:rFonts w:ascii="Times New Roman" w:hAnsi="Times New Roman" w:cs="Times New Roman"/>
          <w:sz w:val="24"/>
          <w:szCs w:val="24"/>
          <w:lang w:val="en-US"/>
        </w:rPr>
        <w:t>Wehr R, Saleska SR (2015) An improved isotopic method for partitioning net ecosystem-atmosphere CO</w:t>
      </w:r>
      <w:r w:rsidRPr="0098752C">
        <w:rPr>
          <w:rFonts w:ascii="Times New Roman" w:hAnsi="Times New Roman" w:cs="Times New Roman"/>
          <w:sz w:val="24"/>
          <w:szCs w:val="24"/>
          <w:vertAlign w:val="subscript"/>
          <w:lang w:val="en-US"/>
        </w:rPr>
        <w:t xml:space="preserve">2 </w:t>
      </w:r>
      <w:r w:rsidRPr="0098752C">
        <w:rPr>
          <w:rFonts w:ascii="Times New Roman" w:hAnsi="Times New Roman" w:cs="Times New Roman"/>
          <w:sz w:val="24"/>
          <w:szCs w:val="24"/>
          <w:lang w:val="en-US"/>
        </w:rPr>
        <w:t>exchange. Agric For Meteorol 214</w:t>
      </w:r>
      <w:r>
        <w:rPr>
          <w:rFonts w:ascii="Times New Roman" w:hAnsi="Times New Roman" w:cs="Times New Roman"/>
          <w:sz w:val="24"/>
          <w:szCs w:val="24"/>
          <w:lang w:val="en-US"/>
        </w:rPr>
        <w:t>-</w:t>
      </w:r>
      <w:r w:rsidRPr="0098752C">
        <w:rPr>
          <w:rFonts w:ascii="Times New Roman" w:hAnsi="Times New Roman" w:cs="Times New Roman"/>
          <w:sz w:val="24"/>
          <w:szCs w:val="24"/>
          <w:lang w:val="en-US"/>
        </w:rPr>
        <w:t>215:515</w:t>
      </w:r>
      <w:r>
        <w:rPr>
          <w:rFonts w:ascii="Times New Roman" w:hAnsi="Times New Roman" w:cs="Times New Roman"/>
          <w:sz w:val="24"/>
          <w:szCs w:val="24"/>
          <w:lang w:val="en-US"/>
        </w:rPr>
        <w:t>-</w:t>
      </w:r>
      <w:r w:rsidRPr="0098752C">
        <w:rPr>
          <w:rFonts w:ascii="Times New Roman" w:hAnsi="Times New Roman" w:cs="Times New Roman"/>
          <w:sz w:val="24"/>
          <w:szCs w:val="24"/>
          <w:lang w:val="en-US"/>
        </w:rPr>
        <w:t>531.</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Weiskittel AR, Hann DW, Kershaw JA, Vanclay JK, (2011) Forest growth and yield modelling. Wiley, UK.</w:t>
      </w:r>
    </w:p>
    <w:p w:rsidR="00DA21A9" w:rsidRPr="0098752C" w:rsidRDefault="00DA21A9" w:rsidP="00DA21A9">
      <w:pPr>
        <w:spacing w:after="0" w:line="480" w:lineRule="auto"/>
        <w:ind w:left="720" w:hanging="720"/>
        <w:jc w:val="both"/>
        <w:rPr>
          <w:rFonts w:ascii="Times New Roman" w:hAnsi="Times New Roman" w:cs="Times New Roman"/>
          <w:sz w:val="24"/>
          <w:szCs w:val="24"/>
        </w:rPr>
      </w:pPr>
      <w:r w:rsidRPr="0098752C">
        <w:rPr>
          <w:rFonts w:ascii="Times New Roman" w:hAnsi="Times New Roman" w:cs="Times New Roman"/>
          <w:sz w:val="24"/>
          <w:szCs w:val="24"/>
        </w:rPr>
        <w:t>West PW (2015) Tree and forest measurement. 3rd ed. Springer International Publishing, Switzerland.</w:t>
      </w:r>
    </w:p>
    <w:p w:rsidR="00DA21A9" w:rsidRPr="0098752C" w:rsidRDefault="00DA21A9" w:rsidP="00DA21A9">
      <w:pPr>
        <w:spacing w:after="0" w:line="480" w:lineRule="auto"/>
        <w:ind w:left="720" w:hanging="720"/>
        <w:jc w:val="both"/>
        <w:rPr>
          <w:rFonts w:ascii="Times New Roman" w:hAnsi="Times New Roman" w:cs="Times New Roman"/>
          <w:sz w:val="24"/>
          <w:szCs w:val="24"/>
          <w:lang w:val="en-US"/>
        </w:rPr>
      </w:pPr>
      <w:r w:rsidRPr="0098752C">
        <w:rPr>
          <w:rFonts w:ascii="Times New Roman" w:hAnsi="Times New Roman" w:cs="Times New Roman"/>
          <w:sz w:val="24"/>
          <w:szCs w:val="24"/>
          <w:lang w:val="en-US"/>
        </w:rPr>
        <w:t>Williams K, Percival F, Merino J, Mooney HA (1987) Estimation of tissue construction cost from heat of combustion and organic nitrogen content. Pl Cell Environ 10:725</w:t>
      </w:r>
      <w:r>
        <w:rPr>
          <w:rFonts w:ascii="Times New Roman" w:hAnsi="Times New Roman" w:cs="Times New Roman"/>
          <w:sz w:val="24"/>
          <w:szCs w:val="24"/>
          <w:lang w:val="en-US"/>
        </w:rPr>
        <w:t>-</w:t>
      </w:r>
      <w:r w:rsidRPr="0098752C">
        <w:rPr>
          <w:rFonts w:ascii="Times New Roman" w:hAnsi="Times New Roman" w:cs="Times New Roman"/>
          <w:sz w:val="24"/>
          <w:szCs w:val="24"/>
          <w:lang w:val="en-US"/>
        </w:rPr>
        <w:t>734.</w:t>
      </w:r>
    </w:p>
    <w:p w:rsidR="00DA21A9" w:rsidRPr="0098752C" w:rsidRDefault="00DA21A9" w:rsidP="00DA21A9">
      <w:pPr>
        <w:spacing w:after="0" w:line="480" w:lineRule="auto"/>
        <w:ind w:left="720" w:hanging="720"/>
        <w:jc w:val="both"/>
        <w:rPr>
          <w:lang w:val="en-US"/>
        </w:rPr>
      </w:pPr>
      <w:r w:rsidRPr="0098752C">
        <w:rPr>
          <w:rFonts w:ascii="Times New Roman" w:hAnsi="Times New Roman" w:cs="Times New Roman"/>
          <w:sz w:val="24"/>
          <w:szCs w:val="24"/>
          <w:lang w:val="en-US"/>
        </w:rPr>
        <w:t>Zhang Y, Song C, Sun G, Band LE, McNulty S, Noormets A, Zhang Q, Zhang Z (2016) Development of a coupled carbon and water model for estimating global gross primary productivity and evapotranspiration based on eddy flux and remote sensing data. Agric For Meteorol 223:116-131.</w:t>
      </w:r>
    </w:p>
    <w:p w:rsidR="00394394" w:rsidRDefault="00AD2FB5"/>
    <w:sectPr w:rsidR="00394394" w:rsidSect="00725DB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FB5" w:rsidRDefault="00AD2FB5" w:rsidP="00913CEE">
      <w:pPr>
        <w:spacing w:after="0" w:line="240" w:lineRule="auto"/>
      </w:pPr>
      <w:r>
        <w:separator/>
      </w:r>
    </w:p>
  </w:endnote>
  <w:endnote w:type="continuationSeparator" w:id="0">
    <w:p w:rsidR="00AD2FB5" w:rsidRDefault="00AD2FB5" w:rsidP="00913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FB5" w:rsidRDefault="00AD2FB5" w:rsidP="00913CEE">
      <w:pPr>
        <w:spacing w:after="0" w:line="240" w:lineRule="auto"/>
      </w:pPr>
      <w:r>
        <w:separator/>
      </w:r>
    </w:p>
  </w:footnote>
  <w:footnote w:type="continuationSeparator" w:id="0">
    <w:p w:rsidR="00AD2FB5" w:rsidRDefault="00AD2FB5" w:rsidP="00913C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1A9"/>
    <w:rsid w:val="00035D88"/>
    <w:rsid w:val="000B4D9A"/>
    <w:rsid w:val="001A7F45"/>
    <w:rsid w:val="00223B00"/>
    <w:rsid w:val="00235261"/>
    <w:rsid w:val="00323771"/>
    <w:rsid w:val="005B2DA4"/>
    <w:rsid w:val="006518B9"/>
    <w:rsid w:val="00681451"/>
    <w:rsid w:val="00687483"/>
    <w:rsid w:val="00725DBE"/>
    <w:rsid w:val="00810C3F"/>
    <w:rsid w:val="00860A61"/>
    <w:rsid w:val="00913CEE"/>
    <w:rsid w:val="00940577"/>
    <w:rsid w:val="00A41354"/>
    <w:rsid w:val="00AD2FB5"/>
    <w:rsid w:val="00B01E9A"/>
    <w:rsid w:val="00B44C53"/>
    <w:rsid w:val="00C3264B"/>
    <w:rsid w:val="00C47899"/>
    <w:rsid w:val="00DA21A9"/>
    <w:rsid w:val="00DF44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ACD9D8-A731-4147-B82B-2E313A9A1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1A9"/>
    <w:pPr>
      <w:spacing w:after="160" w:line="259" w:lineRule="auto"/>
    </w:pPr>
    <w:rPr>
      <w:kern w:val="0"/>
      <w:sz w:val="22"/>
      <w:lang w:val="en-AU"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DA21A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A21A9"/>
    <w:rPr>
      <w:rFonts w:ascii="Consolas" w:hAnsi="Consolas"/>
      <w:kern w:val="0"/>
      <w:szCs w:val="21"/>
      <w:lang w:val="en-AU" w:eastAsia="en-US"/>
    </w:rPr>
  </w:style>
  <w:style w:type="character" w:styleId="LineNumber">
    <w:name w:val="line number"/>
    <w:basedOn w:val="DefaultParagraphFont"/>
    <w:uiPriority w:val="99"/>
    <w:semiHidden/>
    <w:unhideWhenUsed/>
    <w:rsid w:val="00DA21A9"/>
  </w:style>
  <w:style w:type="paragraph" w:styleId="Header">
    <w:name w:val="header"/>
    <w:basedOn w:val="Normal"/>
    <w:link w:val="HeaderChar"/>
    <w:uiPriority w:val="99"/>
    <w:unhideWhenUsed/>
    <w:rsid w:val="00913CEE"/>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913CEE"/>
    <w:rPr>
      <w:kern w:val="0"/>
      <w:sz w:val="18"/>
      <w:szCs w:val="18"/>
      <w:lang w:val="en-AU" w:eastAsia="en-US"/>
    </w:rPr>
  </w:style>
  <w:style w:type="paragraph" w:styleId="Footer">
    <w:name w:val="footer"/>
    <w:basedOn w:val="Normal"/>
    <w:link w:val="FooterChar"/>
    <w:uiPriority w:val="99"/>
    <w:unhideWhenUsed/>
    <w:rsid w:val="00913CEE"/>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913CEE"/>
    <w:rPr>
      <w:kern w:val="0"/>
      <w:sz w:val="18"/>
      <w:szCs w:val="18"/>
      <w:lang w:val="en-AU" w:eastAsia="en-US"/>
    </w:rPr>
  </w:style>
  <w:style w:type="paragraph" w:styleId="BalloonText">
    <w:name w:val="Balloon Text"/>
    <w:basedOn w:val="Normal"/>
    <w:link w:val="BalloonTextChar"/>
    <w:uiPriority w:val="99"/>
    <w:semiHidden/>
    <w:unhideWhenUsed/>
    <w:rsid w:val="00725D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5DBE"/>
    <w:rPr>
      <w:rFonts w:ascii="Tahoma" w:hAnsi="Tahoma" w:cs="Tahoma"/>
      <w:kern w:val="0"/>
      <w:sz w:val="16"/>
      <w:szCs w:val="16"/>
      <w:lang w:val="en-AU" w:eastAsia="en-US"/>
    </w:rPr>
  </w:style>
  <w:style w:type="character" w:styleId="FootnoteReference">
    <w:name w:val="footnote reference"/>
    <w:basedOn w:val="DefaultParagraphFont"/>
    <w:uiPriority w:val="99"/>
    <w:semiHidden/>
    <w:unhideWhenUsed/>
    <w:rsid w:val="006814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19</Pages>
  <Words>5056</Words>
  <Characters>28822</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China</Company>
  <LinksUpToDate>false</LinksUpToDate>
  <CharactersWithSpaces>33811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 LAY</dc:creator>
  <cp:keywords/>
  <dc:description/>
  <cp:lastModifiedBy>Phil</cp:lastModifiedBy>
  <cp:revision>12</cp:revision>
  <dcterms:created xsi:type="dcterms:W3CDTF">2019-09-03T23:37:00Z</dcterms:created>
  <dcterms:modified xsi:type="dcterms:W3CDTF">2019-09-04T04:52:00Z</dcterms:modified>
</cp:coreProperties>
</file>