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B48" w:rsidRPr="00D56A24" w:rsidRDefault="00082CB8" w:rsidP="00304C5B">
      <w:pPr>
        <w:spacing w:line="480" w:lineRule="auto"/>
      </w:pPr>
      <w:r w:rsidRPr="002917C9">
        <w:rPr>
          <w:b/>
        </w:rPr>
        <w:t>Table</w:t>
      </w:r>
      <w:r w:rsidR="004B2B48" w:rsidRPr="002917C9">
        <w:rPr>
          <w:b/>
        </w:rPr>
        <w:t xml:space="preserve"> </w:t>
      </w:r>
      <w:r w:rsidRPr="002917C9">
        <w:rPr>
          <w:b/>
        </w:rPr>
        <w:t>S1</w:t>
      </w:r>
      <w:r w:rsidR="004B2B48" w:rsidRPr="00D56A24">
        <w:t xml:space="preserve"> Different Levels of Each COVID-19 Response Policy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271"/>
        <w:gridCol w:w="979"/>
        <w:gridCol w:w="2021"/>
        <w:gridCol w:w="1892"/>
        <w:gridCol w:w="2154"/>
        <w:gridCol w:w="872"/>
      </w:tblGrid>
      <w:tr w:rsidR="004B2B48" w:rsidRPr="00985515" w:rsidTr="002917C9">
        <w:trPr>
          <w:trHeight w:val="25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Response policy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Categories</w:t>
            </w: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Restrictions on stay at home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No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Recommended restrictions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Required (except essentials)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Required (few exceptions)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Cancellation of public events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No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Recommended cancellations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Required cancellations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Restrictions on public gatherings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No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&gt;1000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100-1000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10-100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&lt;10 people</w:t>
            </w: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Public information campaigns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No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Public officials urging caution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Coordinated information campaign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Restrictions on internal movement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No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Recommend restriction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Restrict movement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Workplaces closures policy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No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Recommended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Required for 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Required for all but key workers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985515" w:rsidTr="002917C9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0" w:type="auto"/>
            <w:gridSpan w:val="5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985515" w:rsidRDefault="004B2B48" w:rsidP="00C13ACC">
            <w:pPr>
              <w:spacing w:line="200" w:lineRule="atLeast"/>
              <w:jc w:val="both"/>
              <w:rPr>
                <w:sz w:val="15"/>
                <w:szCs w:val="15"/>
              </w:rPr>
            </w:pPr>
            <w:r w:rsidRPr="00985515">
              <w:rPr>
                <w:sz w:val="15"/>
                <w:szCs w:val="15"/>
              </w:rPr>
              <w:t>a value between 0 and 100</w:t>
            </w:r>
          </w:p>
        </w:tc>
      </w:tr>
    </w:tbl>
    <w:p w:rsidR="00304C5B" w:rsidRDefault="00304C5B">
      <w:pPr>
        <w:rPr>
          <w:highlight w:val="white"/>
        </w:rPr>
      </w:pPr>
      <w:r>
        <w:rPr>
          <w:highlight w:val="white"/>
        </w:rPr>
        <w:br w:type="page"/>
      </w:r>
    </w:p>
    <w:p w:rsidR="004B2B48" w:rsidRPr="00D56A24" w:rsidRDefault="00082CB8" w:rsidP="00C13ACC">
      <w:pPr>
        <w:spacing w:line="200" w:lineRule="atLeast"/>
        <w:rPr>
          <w:highlight w:val="white"/>
        </w:rPr>
      </w:pPr>
      <w:r w:rsidRPr="00C96A05">
        <w:rPr>
          <w:b/>
        </w:rPr>
        <w:lastRenderedPageBreak/>
        <w:t>Table S2</w:t>
      </w:r>
      <w:r w:rsidR="004B2B48" w:rsidRPr="00D56A24">
        <w:rPr>
          <w:highlight w:val="white"/>
        </w:rPr>
        <w:t xml:space="preserve"> Descriptive information and data source for each index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585"/>
        <w:gridCol w:w="6733"/>
        <w:gridCol w:w="3640"/>
      </w:tblGrid>
      <w:tr w:rsidR="004B2B48" w:rsidRPr="00C13ACC" w:rsidTr="00C96A05">
        <w:tc>
          <w:tcPr>
            <w:tcW w:w="1284" w:type="pct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Index</w:t>
            </w:r>
          </w:p>
        </w:tc>
        <w:tc>
          <w:tcPr>
            <w:tcW w:w="2412" w:type="pct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Description</w:t>
            </w:r>
          </w:p>
        </w:tc>
        <w:tc>
          <w:tcPr>
            <w:tcW w:w="1304" w:type="pct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Data Source </w:t>
            </w:r>
          </w:p>
        </w:tc>
      </w:tr>
      <w:tr w:rsidR="004B2B48" w:rsidRPr="00C13ACC" w:rsidTr="00C96A05">
        <w:tc>
          <w:tcPr>
            <w:tcW w:w="128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Population density </w:t>
            </w:r>
          </w:p>
        </w:tc>
        <w:tc>
          <w:tcPr>
            <w:tcW w:w="241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People per sq.km of land area</w:t>
            </w:r>
          </w:p>
        </w:tc>
        <w:tc>
          <w:tcPr>
            <w:tcW w:w="130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f7q90joqzbx3">
              <w:r w:rsidRPr="00C13ACC">
                <w:rPr>
                  <w:sz w:val="15"/>
                  <w:szCs w:val="15"/>
                  <w:u w:val="single"/>
                </w:rPr>
                <w:t>The World Bank Group (2020)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GDP/capita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Country's economic output that accounts for its number of people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ulqbtmqv88kx">
              <w:r w:rsidRPr="00C13ACC">
                <w:rPr>
                  <w:sz w:val="15"/>
                  <w:szCs w:val="15"/>
                  <w:u w:val="single"/>
                </w:rPr>
                <w:t>International Monetary Fund (2020)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Life satisfaction index 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proofErr w:type="spellStart"/>
            <w:r w:rsidRPr="00C13ACC">
              <w:rPr>
                <w:sz w:val="15"/>
                <w:szCs w:val="15"/>
              </w:rPr>
              <w:t>Cantril</w:t>
            </w:r>
            <w:proofErr w:type="spellEnd"/>
            <w:r w:rsidRPr="00C13ACC">
              <w:rPr>
                <w:sz w:val="15"/>
                <w:szCs w:val="15"/>
              </w:rPr>
              <w:t xml:space="preserve"> Ladder (0=worst; 10=best)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mmbh8v2bh64j">
              <w:r w:rsidRPr="00C13ACC">
                <w:rPr>
                  <w:sz w:val="15"/>
                  <w:szCs w:val="15"/>
                  <w:u w:val="single"/>
                </w:rPr>
                <w:t xml:space="preserve">Helliwell et al. (2019) 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Environmental performance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State of environmental sustainability of each country 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y2x70c653fhm">
              <w:r w:rsidRPr="00C13ACC">
                <w:rPr>
                  <w:sz w:val="15"/>
                  <w:szCs w:val="15"/>
                  <w:u w:val="single"/>
                </w:rPr>
                <w:t>Yale University (2020)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Individualism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The level to which individuals are integrated into groups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ps64tljeu8s1">
              <w:r w:rsidRPr="00C13ACC">
                <w:rPr>
                  <w:sz w:val="15"/>
                  <w:szCs w:val="15"/>
                  <w:u w:val="single"/>
                </w:rPr>
                <w:t>Hofstede Insight (2020a)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Masculinity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The distribution of roles between the genders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p0w0tc33d5mo">
              <w:r w:rsidRPr="00C13ACC">
                <w:rPr>
                  <w:sz w:val="15"/>
                  <w:szCs w:val="15"/>
                  <w:u w:val="single"/>
                </w:rPr>
                <w:t>Hofstede Insight (2020b)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Power distance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Distribution of power and wealth between people of each country 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4y0evfaoiafc">
              <w:r w:rsidRPr="00C13ACC">
                <w:rPr>
                  <w:sz w:val="15"/>
                  <w:szCs w:val="15"/>
                  <w:u w:val="single"/>
                </w:rPr>
                <w:t>Hofstede Insight (2020c)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Uncertainty avoidance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A society’s tolerance for uncertainty and ambiguity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7rj1ywal3xzn">
              <w:r w:rsidRPr="00C13ACC">
                <w:rPr>
                  <w:sz w:val="15"/>
                  <w:szCs w:val="15"/>
                  <w:u w:val="single"/>
                </w:rPr>
                <w:t>Hofstede Insight (2020d)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Personal freedom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The freedom of an individual to have opinion and expression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gubq8f9gdpud">
              <w:r w:rsidRPr="00C13ACC">
                <w:rPr>
                  <w:sz w:val="15"/>
                  <w:szCs w:val="15"/>
                  <w:u w:val="single"/>
                </w:rPr>
                <w:t>Vásquez &amp; Porčnik (2018</w:t>
              </w:r>
            </w:hyperlink>
            <w:r w:rsidRPr="00C13ACC">
              <w:rPr>
                <w:sz w:val="15"/>
                <w:szCs w:val="15"/>
              </w:rPr>
              <w:t>)</w:t>
            </w:r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Economic freedom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Country’s trade freedom, business freedom, investment freedom, and property rights.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gubq8f9gdpud">
              <w:r w:rsidRPr="00C13ACC">
                <w:rPr>
                  <w:sz w:val="15"/>
                  <w:szCs w:val="15"/>
                  <w:u w:val="single"/>
                </w:rPr>
                <w:t>Vásquez &amp; Porčnik (2018)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Human freedom index 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A comprehensive measure of the state of human freedom, including civil, personal and economic aspects 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bookmark=id.gubq8f9gdpud">
              <w:r w:rsidRPr="00C13ACC">
                <w:rPr>
                  <w:sz w:val="15"/>
                  <w:szCs w:val="15"/>
                  <w:u w:val="single"/>
                </w:rPr>
                <w:t>Vásquez &amp; Porčnik (2018)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Environmental health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Includes air quality, water and sanitation, and heavy metal condition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Yale2018" w:history="1">
              <w:r w:rsidRPr="00C13ACC">
                <w:rPr>
                  <w:rStyle w:val="aa"/>
                  <w:color w:val="auto"/>
                  <w:sz w:val="15"/>
                  <w:szCs w:val="15"/>
                </w:rPr>
                <w:t>Yale University (2018)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Ecosystem vitality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Includes biodiversity and habitat, forests, fisheries, climate and energy,  pollution, water resources and agriculture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Yale2018" w:history="1">
              <w:r w:rsidRPr="00C13ACC">
                <w:rPr>
                  <w:rStyle w:val="aa"/>
                  <w:color w:val="auto"/>
                  <w:sz w:val="15"/>
                  <w:szCs w:val="15"/>
                </w:rPr>
                <w:t>Yale University (2018)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Poverty index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An indication of the poverty of the community in a country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our" w:history="1">
              <w:r w:rsidRPr="00C13ACC">
                <w:rPr>
                  <w:rStyle w:val="aa"/>
                  <w:color w:val="auto"/>
                  <w:sz w:val="15"/>
                  <w:szCs w:val="15"/>
                </w:rPr>
                <w:t>Our World in Data (2020)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Life expectancy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A statistical measure of the average time an individual is expected to live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our" w:history="1">
              <w:r w:rsidRPr="00C13ACC">
                <w:rPr>
                  <w:rStyle w:val="aa"/>
                  <w:color w:val="auto"/>
                  <w:sz w:val="15"/>
                  <w:szCs w:val="15"/>
                </w:rPr>
                <w:t>Our World in Data (2020)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Unemployment rate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The number of unemployed persons divided by the number of persons in the labour force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our" w:history="1">
              <w:r w:rsidRPr="00C13ACC">
                <w:rPr>
                  <w:rStyle w:val="aa"/>
                  <w:color w:val="auto"/>
                  <w:sz w:val="15"/>
                  <w:szCs w:val="15"/>
                </w:rPr>
                <w:t>Our World in Data (2020)</w:t>
              </w:r>
            </w:hyperlink>
          </w:p>
        </w:tc>
      </w:tr>
      <w:tr w:rsidR="004B2B48" w:rsidRPr="00C13ACC" w:rsidTr="00C96A05"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transport satisfaction</w:t>
            </w:r>
          </w:p>
        </w:tc>
        <w:tc>
          <w:tcPr>
            <w:tcW w:w="241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People’s satisfaction level on public transportation </w:t>
            </w:r>
          </w:p>
        </w:tc>
        <w:tc>
          <w:tcPr>
            <w:tcW w:w="130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widowControl w:val="0"/>
              <w:adjustRightInd w:val="0"/>
              <w:snapToGrid w:val="0"/>
              <w:spacing w:line="160" w:lineRule="atLeast"/>
              <w:jc w:val="both"/>
              <w:rPr>
                <w:sz w:val="15"/>
                <w:szCs w:val="15"/>
              </w:rPr>
            </w:pPr>
            <w:hyperlink w:anchor="our" w:history="1">
              <w:r w:rsidRPr="00C13ACC">
                <w:rPr>
                  <w:rStyle w:val="aa"/>
                  <w:color w:val="auto"/>
                  <w:sz w:val="15"/>
                  <w:szCs w:val="15"/>
                </w:rPr>
                <w:t>Our World in Data (2020</w:t>
              </w:r>
            </w:hyperlink>
            <w:r w:rsidRPr="00C13ACC">
              <w:rPr>
                <w:sz w:val="15"/>
                <w:szCs w:val="15"/>
              </w:rPr>
              <w:t>)</w:t>
            </w:r>
          </w:p>
        </w:tc>
      </w:tr>
    </w:tbl>
    <w:p w:rsidR="00C96A05" w:rsidRDefault="00C96A05">
      <w:r>
        <w:br w:type="page"/>
      </w:r>
    </w:p>
    <w:p w:rsidR="004B2B48" w:rsidRDefault="00082CB8" w:rsidP="00C96A05">
      <w:pPr>
        <w:spacing w:line="480" w:lineRule="auto"/>
      </w:pPr>
      <w:r w:rsidRPr="00C96A05">
        <w:rPr>
          <w:b/>
        </w:rPr>
        <w:lastRenderedPageBreak/>
        <w:t>Table S3</w:t>
      </w:r>
      <w:r w:rsidR="004B2B48" w:rsidRPr="00D56A24">
        <w:t xml:space="preserve"> Coefficients analysis in the stepwise regression model for the impact Covid-19 and government responses on park visitor numbers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691"/>
        <w:gridCol w:w="2323"/>
        <w:gridCol w:w="1499"/>
        <w:gridCol w:w="1787"/>
        <w:gridCol w:w="2055"/>
        <w:gridCol w:w="776"/>
        <w:gridCol w:w="631"/>
        <w:gridCol w:w="1281"/>
        <w:gridCol w:w="1262"/>
        <w:gridCol w:w="938"/>
        <w:gridCol w:w="715"/>
      </w:tblGrid>
      <w:tr w:rsidR="0091230C" w:rsidRPr="00C13ACC" w:rsidTr="0091230C">
        <w:tc>
          <w:tcPr>
            <w:tcW w:w="24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1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95.0% Confidence Interval for B</w:t>
            </w:r>
          </w:p>
        </w:tc>
        <w:tc>
          <w:tcPr>
            <w:tcW w:w="3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Model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Unstandardized B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 xml:space="preserve">Coefficients </w:t>
            </w:r>
            <w:proofErr w:type="spellStart"/>
            <w:r w:rsidRPr="00C13ACC">
              <w:rPr>
                <w:sz w:val="15"/>
                <w:szCs w:val="15"/>
              </w:rPr>
              <w:t>Std.Error</w:t>
            </w:r>
            <w:proofErr w:type="spellEnd"/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Standardized Coefficients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t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sig.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Lower Bound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Upper Bound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Tolerance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VIF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7.911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0.777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10.184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6.388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9.433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-21.787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0.526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-0.511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-41.387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-22.819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-20.755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7.863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0.775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10.152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6.345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9.382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-22.455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-0.527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-41.641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-23.512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-21.398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0.948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1.055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0.068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5.405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1.055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12.295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10.011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9.888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14.703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-18.698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-0.439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-19.246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-20.603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-16.793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3.44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5.164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0.945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1.058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-0.145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0.031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-0.104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-4.644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-0.207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-0.084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3.35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14.377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1.265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11.363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11.896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16.857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-18.557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-0.435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-19.175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-20.454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-16.66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3.442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0.051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3.957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0.915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1.093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-0.319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-0.229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-7.733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-0.238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5.875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Social gathering cancelation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3.606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0.561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6.425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2.505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4.706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0.282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3.544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4.387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1.892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2.319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0.020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0.679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8.096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-16.424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-0.385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-16.277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-18.402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-14.446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3.78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0.044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3.441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1.099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-0.494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-0.355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-10.307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-0.588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0.125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Social gathering cancelation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4.298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0.176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7.581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3.186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5.409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0.274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3.652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information campaign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8.934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1.263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7.074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6.458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11.41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0.615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1.626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4.301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1.889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2.277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0.023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0.597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8.004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-14.879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1.081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-0.349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-13.762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-16.998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-12.759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4.352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2.936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0.896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1.116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-0.679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-0.487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-10.136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-0.81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-0.548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15.654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Social gathering cancelation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4.507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0.569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7.928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3.393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5.622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3.684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information campaign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9.226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7.304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6.75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11.703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0.613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1.631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event cancelation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5.557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1.41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3.942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2.794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8.321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5.013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4.534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1.889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2.400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0.016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0.831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8.238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-14.651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1.083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-0.344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-13.531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-16.774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-12.529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0.229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4.373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2.278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0.023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0.861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1.161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-0.809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-0.581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-10.186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-0.965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-0.654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0.045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22.07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Social gathering cancelation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4.522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0.568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0.186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7.961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3.409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5.636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3.685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information campaign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10.049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0.124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7.786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7.519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12.58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1.706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event cancelation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6.017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1.416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4.248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8.793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0.197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5.07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Workplace closure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3.063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1.006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3.046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1.091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5.034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0.186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5.385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(Constant)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4.762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1.892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2.518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0.012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1.054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8.47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-14.52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1.084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-0.341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-13.392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-16.646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-12.395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4.388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Daily increase cases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0.025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1.845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0.065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0.83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1.205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-0.898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-0.645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-9.946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-1.075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-0.721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28.504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Social gathering cancelation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4.636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0.571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8.126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3.518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5.755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0.269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3.719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information campaign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10.547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1.313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8.035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7.973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13.12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0.566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1.766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Public event cancelation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6.528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1.437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0.126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4.541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3.71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9.346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5.225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Workplace closure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3.271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0.092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3.238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1.29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5.252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5.439</w:t>
            </w:r>
          </w:p>
        </w:tc>
      </w:tr>
      <w:tr w:rsidR="0091230C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Movement restrictions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2.276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1.103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0.048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2.064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b/>
                <w:sz w:val="15"/>
                <w:szCs w:val="15"/>
              </w:rPr>
            </w:pPr>
            <w:r w:rsidRPr="00C13ACC">
              <w:rPr>
                <w:b/>
                <w:sz w:val="15"/>
                <w:szCs w:val="15"/>
              </w:rPr>
              <w:t>0.039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0.114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4.438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0.268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3.726</w:t>
            </w:r>
          </w:p>
        </w:tc>
      </w:tr>
      <w:tr w:rsidR="004B2B48" w:rsidRPr="00C13ACC" w:rsidTr="0091230C"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2008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C13ACC">
              <w:rPr>
                <w:sz w:val="15"/>
                <w:szCs w:val="15"/>
              </w:rPr>
              <w:t>Dependent Variable: park visitor number change</w:t>
            </w:r>
          </w:p>
        </w:tc>
        <w:tc>
          <w:tcPr>
            <w:tcW w:w="2743" w:type="pct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C13ACC" w:rsidRDefault="004B2B48" w:rsidP="00C13ACC">
            <w:pPr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</w:tbl>
    <w:sdt>
      <w:sdtPr>
        <w:tag w:val="goog_rdk_11"/>
        <w:id w:val="-1647114586"/>
      </w:sdtPr>
      <w:sdtContent>
        <w:p w:rsidR="004B2B48" w:rsidRPr="00280CCD" w:rsidRDefault="004B2B48" w:rsidP="004B2B48">
          <w:pPr>
            <w:spacing w:line="480" w:lineRule="auto"/>
            <w:rPr>
              <w:rFonts w:eastAsia="Gungsuh"/>
              <w:sz w:val="18"/>
              <w:szCs w:val="18"/>
            </w:rPr>
          </w:pPr>
          <w:r w:rsidRPr="00D56A24">
            <w:rPr>
              <w:rFonts w:eastAsia="Gungsuh"/>
              <w:sz w:val="18"/>
              <w:szCs w:val="18"/>
            </w:rPr>
            <w:t>(</w:t>
          </w:r>
          <w:proofErr w:type="spellStart"/>
          <w:r w:rsidRPr="00D56A24">
            <w:rPr>
              <w:rFonts w:eastAsia="Gungsuh"/>
              <w:sz w:val="18"/>
              <w:szCs w:val="18"/>
            </w:rPr>
            <w:t>Note</w:t>
          </w:r>
          <w:proofErr w:type="gramStart"/>
          <w:r w:rsidR="000B0CCE">
            <w:rPr>
              <w:rFonts w:eastAsia="Gungsuh"/>
              <w:sz w:val="18"/>
              <w:szCs w:val="18"/>
            </w:rPr>
            <w:t>:</w:t>
          </w:r>
          <w:r w:rsidRPr="00D56A24">
            <w:rPr>
              <w:sz w:val="18"/>
              <w:szCs w:val="18"/>
            </w:rPr>
            <w:t>bold</w:t>
          </w:r>
          <w:proofErr w:type="spellEnd"/>
          <w:proofErr w:type="gramEnd"/>
          <w:r w:rsidRPr="00D56A24">
            <w:rPr>
              <w:sz w:val="18"/>
              <w:szCs w:val="18"/>
            </w:rPr>
            <w:t xml:space="preserve"> font indicates statistical significance</w:t>
          </w:r>
          <w:r>
            <w:rPr>
              <w:sz w:val="18"/>
              <w:szCs w:val="18"/>
            </w:rPr>
            <w:t xml:space="preserve">, </w:t>
          </w:r>
          <w:r w:rsidRPr="00D56A24">
            <w:rPr>
              <w:rFonts w:eastAsia="Gungsuh"/>
              <w:sz w:val="18"/>
              <w:szCs w:val="18"/>
            </w:rPr>
            <w:t xml:space="preserve">* indicates </w:t>
          </w:r>
          <w:r w:rsidRPr="00985515">
            <w:rPr>
              <w:rFonts w:eastAsia="Gungsuh"/>
              <w:i/>
              <w:sz w:val="18"/>
              <w:szCs w:val="18"/>
            </w:rPr>
            <w:t>P</w:t>
          </w:r>
          <w:r w:rsidRPr="00D56A24">
            <w:rPr>
              <w:rFonts w:eastAsia="Gungsuh"/>
              <w:sz w:val="18"/>
              <w:szCs w:val="18"/>
            </w:rPr>
            <w:t xml:space="preserve"> ≤ 0.05; ** indicates </w:t>
          </w:r>
          <w:r w:rsidRPr="00985515">
            <w:rPr>
              <w:rFonts w:eastAsia="Gungsuh"/>
              <w:i/>
              <w:sz w:val="18"/>
              <w:szCs w:val="18"/>
            </w:rPr>
            <w:t>P</w:t>
          </w:r>
          <w:r w:rsidRPr="00D56A24">
            <w:rPr>
              <w:rFonts w:eastAsia="Gungsuh"/>
              <w:sz w:val="18"/>
              <w:szCs w:val="18"/>
            </w:rPr>
            <w:t xml:space="preserve"> ≤ 0.01, bold font indicates statistical significance.)</w:t>
          </w:r>
        </w:p>
      </w:sdtContent>
    </w:sdt>
    <w:p w:rsidR="00C13ACC" w:rsidRDefault="00C13ACC">
      <w:r>
        <w:br w:type="page"/>
      </w:r>
    </w:p>
    <w:p w:rsidR="004B2B48" w:rsidRPr="00D56A24" w:rsidRDefault="00082CB8" w:rsidP="004B2B48">
      <w:pPr>
        <w:spacing w:line="480" w:lineRule="auto"/>
      </w:pPr>
      <w:r w:rsidRPr="000B0CCE">
        <w:rPr>
          <w:b/>
        </w:rPr>
        <w:lastRenderedPageBreak/>
        <w:t>Table S4</w:t>
      </w:r>
      <w:r w:rsidR="004B2B48" w:rsidRPr="00D56A24">
        <w:t xml:space="preserve"> Stepwise regression analysis of COVID-19 impacts on park visitation in group level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042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Model 9</w:t>
            </w:r>
          </w:p>
        </w:tc>
      </w:tr>
      <w:tr w:rsidR="004B2B48" w:rsidRPr="000B0CCE" w:rsidTr="000B0CCE">
        <w:tc>
          <w:tcPr>
            <w:tcW w:w="0" w:type="auto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i/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Very strong significant negative correlation group </w:t>
            </w:r>
            <w:r w:rsidRPr="000B0CCE">
              <w:rPr>
                <w:i/>
                <w:sz w:val="15"/>
                <w:szCs w:val="15"/>
              </w:rPr>
              <w:t>(Italy, Singapore)</w:t>
            </w:r>
          </w:p>
        </w:tc>
      </w:tr>
      <w:tr w:rsidR="004B2B48" w:rsidRPr="000B0CCE" w:rsidTr="000B0CC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-0.817**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-1.641**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-2.011**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-2.392**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-2.574**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Internal movement restriction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0.892**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1.064**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0.809**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0.902**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Public event cancellation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0.299**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0.381**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0.330**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Workplace 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0.601**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0.574**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Social gathering restriction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0.186**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Strong significant negative correlation group </w:t>
            </w:r>
          </w:p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i/>
                <w:sz w:val="15"/>
                <w:szCs w:val="15"/>
              </w:rPr>
            </w:pPr>
            <w:r w:rsidRPr="000B0CCE">
              <w:rPr>
                <w:i/>
                <w:sz w:val="15"/>
                <w:szCs w:val="15"/>
              </w:rPr>
              <w:t>(Austria, France, Mexico, Panama, Philippines, Portugal, Romania, Saudi Arabia, Spain)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-0.785**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-0.713**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-0.426**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-0.791**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-1.083**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-1.371**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-1.851**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-1.954**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-1.836**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Daily increase cases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-0.231**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-0.207**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-0.202**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-0.205**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-0.186**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-0.194**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-0.198**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-0.193**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-0.329**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-0.303**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-0.200**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-0.199**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Social gathering restriction 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0.365**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0.472**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-0.559**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0.560**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0.569**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0.580**</w:t>
            </w:r>
          </w:p>
        </w:tc>
        <w:bookmarkStart w:id="0" w:name="_GoBack"/>
        <w:bookmarkEnd w:id="0"/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Public information campaign 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0.183**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0.207**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0.234**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0.244**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0,235**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Internal movement restriction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0.212**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0.260**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0.265**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0.252**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Public event cancellation 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0.320**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0.355**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0.345**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Workplace closure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-0.112</w:t>
            </w:r>
          </w:p>
        </w:tc>
      </w:tr>
      <w:tr w:rsidR="004B2B48" w:rsidRPr="000B0CCE" w:rsidTr="000B0CCE"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Moderate significant negative correlation group  </w:t>
            </w:r>
          </w:p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i/>
                <w:sz w:val="15"/>
                <w:szCs w:val="15"/>
              </w:rPr>
            </w:pPr>
            <w:r w:rsidRPr="000B0CCE">
              <w:rPr>
                <w:i/>
                <w:sz w:val="15"/>
                <w:szCs w:val="15"/>
              </w:rPr>
              <w:t>(Argentina, Belgium, Columbia, India, Indonesia, Kenya, Malaysia, New Zealand, Nigeria, Peru, South Africa, South Korea, United States)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lastRenderedPageBreak/>
              <w:t>Government stringency index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-0.629**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-0.653**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-0.898**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-1.121**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-1.159**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-1.458**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 Daily increase cases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0.198**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0.181**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0.144**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0.142**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0.118**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Public event cancellation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0.279**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0.303**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0.303**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0.399**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Workplace closure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0.235**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0.245**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0.261**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Public information campaign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0.063**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0.095**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stay at home restriction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0.211**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Weak significant negative correlation group </w:t>
            </w:r>
          </w:p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i/>
                <w:sz w:val="15"/>
                <w:szCs w:val="15"/>
              </w:rPr>
            </w:pPr>
            <w:r w:rsidRPr="000B0CCE">
              <w:rPr>
                <w:i/>
                <w:sz w:val="15"/>
                <w:szCs w:val="15"/>
              </w:rPr>
              <w:t>(Australia, Bolivia, Brazil, Chile, Egypt, Hong Kong, Hungary, Ireland, Thailand, UK)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Workplace closure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-0.592**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-0.356**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-0.423**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-0.306**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-0.269**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Internal movement restriction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-0.310**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-0.324**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-0.225**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-0.201**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Public event cancellation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0.096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0.264**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0.257**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-0.360**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-0.461**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Public information campaign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0.076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Significant positive correlation group (</w:t>
            </w:r>
            <w:r w:rsidRPr="000B0CCE">
              <w:rPr>
                <w:i/>
                <w:sz w:val="15"/>
                <w:szCs w:val="15"/>
              </w:rPr>
              <w:t>Denmark, Finland, Sweden</w:t>
            </w:r>
            <w:r w:rsidRPr="000B0CCE">
              <w:rPr>
                <w:sz w:val="15"/>
                <w:szCs w:val="15"/>
              </w:rPr>
              <w:t>)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0.569**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0.530**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Daily increase 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0.166**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0.203**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0.225**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0.246**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Workplace closure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0.585**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0.737**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Public event cancellation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-0.240**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-0.263**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No significant correlation group</w:t>
            </w:r>
          </w:p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i/>
                <w:sz w:val="15"/>
                <w:szCs w:val="15"/>
              </w:rPr>
            </w:pPr>
            <w:r w:rsidRPr="000B0CCE">
              <w:rPr>
                <w:i/>
                <w:sz w:val="15"/>
                <w:szCs w:val="15"/>
              </w:rPr>
              <w:t>(Canada, Ecuador, Germany, Japan, Mongolia, Netherlands, Norway, Poland, Taiwan, Vietnam)</w:t>
            </w: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lastRenderedPageBreak/>
              <w:t>Internal movement restrictions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-0.194**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-0.353**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-0.091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-0.043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Social gathering restriction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0.291**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0.597**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0.604**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0.656**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0.669**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0.647**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Government stringency index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-0.554**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-0.991**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-1.089**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-1.137**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-1.136**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Public event cancellation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0.478**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0.445**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0.445**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0.446**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 xml:space="preserve">Public information campaign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0.112**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0.119**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0.118**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  <w:tr w:rsidR="004B2B48" w:rsidRPr="000B0CCE" w:rsidTr="000B0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Daily increase 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  <w:r w:rsidRPr="000B0CCE">
              <w:rPr>
                <w:sz w:val="15"/>
                <w:szCs w:val="15"/>
              </w:rPr>
              <w:t>0.060*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2B48" w:rsidRPr="000B0CCE" w:rsidRDefault="004B2B48" w:rsidP="007078F9">
            <w:pPr>
              <w:adjustRightInd w:val="0"/>
              <w:snapToGrid w:val="0"/>
              <w:spacing w:line="200" w:lineRule="atLeast"/>
              <w:jc w:val="both"/>
              <w:rPr>
                <w:sz w:val="15"/>
                <w:szCs w:val="15"/>
              </w:rPr>
            </w:pPr>
          </w:p>
        </w:tc>
      </w:tr>
    </w:tbl>
    <w:sdt>
      <w:sdtPr>
        <w:tag w:val="goog_rdk_11"/>
        <w:id w:val="-1766754681"/>
      </w:sdtPr>
      <w:sdtContent>
        <w:p w:rsidR="004B2B48" w:rsidRDefault="004B2B48" w:rsidP="004B2B48">
          <w:pPr>
            <w:spacing w:line="480" w:lineRule="auto"/>
          </w:pPr>
          <w:r w:rsidRPr="00D56A24">
            <w:rPr>
              <w:rFonts w:eastAsia="Gungsuh"/>
              <w:sz w:val="18"/>
              <w:szCs w:val="18"/>
            </w:rPr>
            <w:t>(Note</w:t>
          </w:r>
          <w:r w:rsidR="000B0CCE">
            <w:rPr>
              <w:rFonts w:eastAsia="Gungsuh"/>
              <w:sz w:val="18"/>
              <w:szCs w:val="18"/>
            </w:rPr>
            <w:t>:</w:t>
          </w:r>
          <w:r w:rsidRPr="00D56A24">
            <w:rPr>
              <w:sz w:val="18"/>
              <w:szCs w:val="18"/>
            </w:rPr>
            <w:t xml:space="preserve"> </w:t>
          </w:r>
          <w:r w:rsidRPr="00D56A24">
            <w:rPr>
              <w:rFonts w:eastAsia="Gungsuh"/>
              <w:sz w:val="18"/>
              <w:szCs w:val="18"/>
            </w:rPr>
            <w:t xml:space="preserve">* indicates </w:t>
          </w:r>
          <w:r w:rsidRPr="000B0CCE">
            <w:rPr>
              <w:rFonts w:eastAsia="Gungsuh"/>
              <w:i/>
              <w:sz w:val="18"/>
              <w:szCs w:val="18"/>
            </w:rPr>
            <w:t>P</w:t>
          </w:r>
          <w:r w:rsidRPr="00D56A24">
            <w:rPr>
              <w:rFonts w:eastAsia="Gungsuh"/>
              <w:sz w:val="18"/>
              <w:szCs w:val="18"/>
            </w:rPr>
            <w:t xml:space="preserve"> ≤ 0.05; ** indicates </w:t>
          </w:r>
          <w:r w:rsidRPr="000B0CCE">
            <w:rPr>
              <w:rFonts w:eastAsia="Gungsuh"/>
              <w:i/>
              <w:sz w:val="18"/>
              <w:szCs w:val="18"/>
            </w:rPr>
            <w:t>P</w:t>
          </w:r>
          <w:r w:rsidRPr="00D56A24">
            <w:rPr>
              <w:rFonts w:eastAsia="Gungsuh"/>
              <w:sz w:val="18"/>
              <w:szCs w:val="18"/>
            </w:rPr>
            <w:t xml:space="preserve"> ≤ 0.01, bold font indicates statistical significance.)</w:t>
          </w:r>
        </w:p>
      </w:sdtContent>
    </w:sdt>
    <w:p w:rsidR="00F001E4" w:rsidRPr="004B2B48" w:rsidRDefault="00F001E4"/>
    <w:sectPr w:rsidR="00F001E4" w:rsidRPr="004B2B48" w:rsidSect="004B2B4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48"/>
    <w:rsid w:val="00082CB8"/>
    <w:rsid w:val="000B0CCE"/>
    <w:rsid w:val="00236CC1"/>
    <w:rsid w:val="002917C9"/>
    <w:rsid w:val="00304C5B"/>
    <w:rsid w:val="00325A28"/>
    <w:rsid w:val="004B2B48"/>
    <w:rsid w:val="007078F9"/>
    <w:rsid w:val="0091230C"/>
    <w:rsid w:val="00985515"/>
    <w:rsid w:val="00C13ACC"/>
    <w:rsid w:val="00C96A05"/>
    <w:rsid w:val="00F0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CC9C1-A305-4BCC-A732-1751DBE7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B48"/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paragraph" w:styleId="1">
    <w:name w:val="heading 1"/>
    <w:basedOn w:val="a"/>
    <w:next w:val="a"/>
    <w:link w:val="1Char"/>
    <w:uiPriority w:val="9"/>
    <w:qFormat/>
    <w:rsid w:val="004B2B4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B2B4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2B4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2B48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2B4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2B4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B2B48"/>
    <w:rPr>
      <w:rFonts w:ascii="Times New Roman" w:eastAsia="Times New Roman" w:hAnsi="Times New Roman" w:cs="Times New Roman"/>
      <w:kern w:val="0"/>
      <w:sz w:val="40"/>
      <w:szCs w:val="40"/>
      <w:lang w:val="en-CA"/>
    </w:rPr>
  </w:style>
  <w:style w:type="character" w:customStyle="1" w:styleId="2Char">
    <w:name w:val="标题 2 Char"/>
    <w:basedOn w:val="a0"/>
    <w:link w:val="2"/>
    <w:uiPriority w:val="9"/>
    <w:rsid w:val="004B2B48"/>
    <w:rPr>
      <w:rFonts w:ascii="Times New Roman" w:eastAsia="Times New Roman" w:hAnsi="Times New Roman" w:cs="Times New Roman"/>
      <w:kern w:val="0"/>
      <w:sz w:val="32"/>
      <w:szCs w:val="32"/>
      <w:lang w:val="en-CA"/>
    </w:rPr>
  </w:style>
  <w:style w:type="character" w:customStyle="1" w:styleId="3Char">
    <w:name w:val="标题 3 Char"/>
    <w:basedOn w:val="a0"/>
    <w:link w:val="3"/>
    <w:uiPriority w:val="9"/>
    <w:semiHidden/>
    <w:rsid w:val="004B2B48"/>
    <w:rPr>
      <w:rFonts w:ascii="Times New Roman" w:eastAsia="Times New Roman" w:hAnsi="Times New Roman" w:cs="Times New Roman"/>
      <w:color w:val="434343"/>
      <w:kern w:val="0"/>
      <w:sz w:val="28"/>
      <w:szCs w:val="28"/>
      <w:lang w:val="en-CA"/>
    </w:rPr>
  </w:style>
  <w:style w:type="character" w:customStyle="1" w:styleId="4Char">
    <w:name w:val="标题 4 Char"/>
    <w:basedOn w:val="a0"/>
    <w:link w:val="4"/>
    <w:uiPriority w:val="9"/>
    <w:semiHidden/>
    <w:rsid w:val="004B2B48"/>
    <w:rPr>
      <w:rFonts w:ascii="Times New Roman" w:eastAsia="Times New Roman" w:hAnsi="Times New Roman" w:cs="Times New Roman"/>
      <w:color w:val="666666"/>
      <w:kern w:val="0"/>
      <w:sz w:val="24"/>
      <w:szCs w:val="24"/>
      <w:lang w:val="en-CA"/>
    </w:rPr>
  </w:style>
  <w:style w:type="character" w:customStyle="1" w:styleId="5Char">
    <w:name w:val="标题 5 Char"/>
    <w:basedOn w:val="a0"/>
    <w:link w:val="5"/>
    <w:uiPriority w:val="9"/>
    <w:semiHidden/>
    <w:rsid w:val="004B2B48"/>
    <w:rPr>
      <w:rFonts w:ascii="Times New Roman" w:eastAsia="Times New Roman" w:hAnsi="Times New Roman" w:cs="Times New Roman"/>
      <w:color w:val="666666"/>
      <w:kern w:val="0"/>
      <w:sz w:val="24"/>
      <w:szCs w:val="24"/>
      <w:lang w:val="en-CA"/>
    </w:rPr>
  </w:style>
  <w:style w:type="character" w:customStyle="1" w:styleId="6Char">
    <w:name w:val="标题 6 Char"/>
    <w:basedOn w:val="a0"/>
    <w:link w:val="6"/>
    <w:uiPriority w:val="9"/>
    <w:semiHidden/>
    <w:rsid w:val="004B2B48"/>
    <w:rPr>
      <w:rFonts w:ascii="Times New Roman" w:eastAsia="Times New Roman" w:hAnsi="Times New Roman" w:cs="Times New Roman"/>
      <w:i/>
      <w:color w:val="666666"/>
      <w:kern w:val="0"/>
      <w:sz w:val="24"/>
      <w:szCs w:val="24"/>
      <w:lang w:val="en-CA"/>
    </w:rPr>
  </w:style>
  <w:style w:type="character" w:customStyle="1" w:styleId="Char">
    <w:name w:val="标题 Char"/>
    <w:basedOn w:val="a0"/>
    <w:link w:val="a3"/>
    <w:uiPriority w:val="10"/>
    <w:rsid w:val="004B2B48"/>
    <w:rPr>
      <w:rFonts w:ascii="Times New Roman" w:eastAsia="Times New Roman" w:hAnsi="Times New Roman" w:cs="Times New Roman"/>
      <w:kern w:val="0"/>
      <w:sz w:val="52"/>
      <w:szCs w:val="52"/>
      <w:lang w:val="en-CA"/>
    </w:rPr>
  </w:style>
  <w:style w:type="paragraph" w:styleId="a3">
    <w:name w:val="Title"/>
    <w:basedOn w:val="a"/>
    <w:next w:val="a"/>
    <w:link w:val="Char"/>
    <w:uiPriority w:val="10"/>
    <w:qFormat/>
    <w:rsid w:val="004B2B48"/>
    <w:pPr>
      <w:keepNext/>
      <w:keepLines/>
      <w:spacing w:after="60"/>
    </w:pPr>
    <w:rPr>
      <w:sz w:val="52"/>
      <w:szCs w:val="52"/>
    </w:rPr>
  </w:style>
  <w:style w:type="character" w:customStyle="1" w:styleId="Char0">
    <w:name w:val="副标题 Char"/>
    <w:basedOn w:val="a0"/>
    <w:link w:val="a4"/>
    <w:uiPriority w:val="11"/>
    <w:rsid w:val="004B2B48"/>
    <w:rPr>
      <w:rFonts w:ascii="Times New Roman" w:eastAsia="Times New Roman" w:hAnsi="Times New Roman" w:cs="Times New Roman"/>
      <w:color w:val="666666"/>
      <w:kern w:val="0"/>
      <w:sz w:val="30"/>
      <w:szCs w:val="30"/>
      <w:lang w:val="en-CA"/>
    </w:rPr>
  </w:style>
  <w:style w:type="paragraph" w:styleId="a4">
    <w:name w:val="Subtitle"/>
    <w:basedOn w:val="a"/>
    <w:next w:val="a"/>
    <w:link w:val="Char0"/>
    <w:uiPriority w:val="11"/>
    <w:qFormat/>
    <w:rsid w:val="004B2B4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Char1">
    <w:name w:val="批注框文本 Char"/>
    <w:basedOn w:val="a0"/>
    <w:link w:val="a5"/>
    <w:uiPriority w:val="99"/>
    <w:semiHidden/>
    <w:rsid w:val="004B2B48"/>
    <w:rPr>
      <w:rFonts w:ascii="Times New Roman" w:eastAsia="Times New Roman" w:hAnsi="Times New Roman" w:cs="Times New Roman"/>
      <w:kern w:val="0"/>
      <w:sz w:val="18"/>
      <w:szCs w:val="18"/>
      <w:lang w:val="en-CA"/>
    </w:rPr>
  </w:style>
  <w:style w:type="paragraph" w:styleId="a5">
    <w:name w:val="Balloon Text"/>
    <w:basedOn w:val="a"/>
    <w:link w:val="Char1"/>
    <w:uiPriority w:val="99"/>
    <w:semiHidden/>
    <w:unhideWhenUsed/>
    <w:rsid w:val="004B2B48"/>
    <w:rPr>
      <w:sz w:val="18"/>
      <w:szCs w:val="18"/>
    </w:rPr>
  </w:style>
  <w:style w:type="character" w:customStyle="1" w:styleId="Char2">
    <w:name w:val="批注文字 Char"/>
    <w:basedOn w:val="a0"/>
    <w:link w:val="a6"/>
    <w:uiPriority w:val="99"/>
    <w:semiHidden/>
    <w:rsid w:val="004B2B48"/>
    <w:rPr>
      <w:rFonts w:ascii="Times New Roman" w:eastAsia="Times New Roman" w:hAnsi="Times New Roman" w:cs="Times New Roman"/>
      <w:kern w:val="0"/>
      <w:sz w:val="20"/>
      <w:szCs w:val="20"/>
      <w:lang w:val="en-CA"/>
    </w:rPr>
  </w:style>
  <w:style w:type="paragraph" w:styleId="a6">
    <w:name w:val="annotation text"/>
    <w:basedOn w:val="a"/>
    <w:link w:val="Char2"/>
    <w:uiPriority w:val="99"/>
    <w:semiHidden/>
    <w:unhideWhenUsed/>
    <w:rsid w:val="004B2B48"/>
    <w:rPr>
      <w:sz w:val="20"/>
      <w:szCs w:val="20"/>
    </w:rPr>
  </w:style>
  <w:style w:type="character" w:customStyle="1" w:styleId="Char3">
    <w:name w:val="批注主题 Char"/>
    <w:basedOn w:val="Char2"/>
    <w:link w:val="a7"/>
    <w:uiPriority w:val="99"/>
    <w:semiHidden/>
    <w:rsid w:val="004B2B48"/>
    <w:rPr>
      <w:rFonts w:ascii="Times New Roman" w:eastAsia="Times New Roman" w:hAnsi="Times New Roman" w:cs="Times New Roman"/>
      <w:b/>
      <w:bCs/>
      <w:kern w:val="0"/>
      <w:sz w:val="20"/>
      <w:szCs w:val="20"/>
      <w:lang w:val="en-CA"/>
    </w:rPr>
  </w:style>
  <w:style w:type="paragraph" w:styleId="a7">
    <w:name w:val="annotation subject"/>
    <w:basedOn w:val="a6"/>
    <w:next w:val="a6"/>
    <w:link w:val="Char3"/>
    <w:uiPriority w:val="99"/>
    <w:semiHidden/>
    <w:unhideWhenUsed/>
    <w:rsid w:val="004B2B48"/>
    <w:rPr>
      <w:b/>
      <w:bCs/>
    </w:rPr>
  </w:style>
  <w:style w:type="character" w:customStyle="1" w:styleId="Char4">
    <w:name w:val="页眉 Char"/>
    <w:basedOn w:val="a0"/>
    <w:link w:val="a8"/>
    <w:uiPriority w:val="99"/>
    <w:rsid w:val="004B2B48"/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paragraph" w:styleId="a8">
    <w:name w:val="header"/>
    <w:basedOn w:val="a"/>
    <w:link w:val="Char4"/>
    <w:uiPriority w:val="99"/>
    <w:unhideWhenUsed/>
    <w:rsid w:val="004B2B48"/>
    <w:pPr>
      <w:tabs>
        <w:tab w:val="center" w:pos="4680"/>
        <w:tab w:val="right" w:pos="9360"/>
      </w:tabs>
    </w:pPr>
  </w:style>
  <w:style w:type="character" w:customStyle="1" w:styleId="Char5">
    <w:name w:val="页脚 Char"/>
    <w:basedOn w:val="a0"/>
    <w:link w:val="a9"/>
    <w:uiPriority w:val="99"/>
    <w:rsid w:val="004B2B48"/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paragraph" w:styleId="a9">
    <w:name w:val="footer"/>
    <w:basedOn w:val="a"/>
    <w:link w:val="Char5"/>
    <w:uiPriority w:val="99"/>
    <w:unhideWhenUsed/>
    <w:rsid w:val="004B2B48"/>
    <w:pPr>
      <w:tabs>
        <w:tab w:val="center" w:pos="4680"/>
        <w:tab w:val="right" w:pos="9360"/>
      </w:tabs>
    </w:pPr>
  </w:style>
  <w:style w:type="character" w:styleId="aa">
    <w:name w:val="Hyperlink"/>
    <w:basedOn w:val="a0"/>
    <w:uiPriority w:val="99"/>
    <w:unhideWhenUsed/>
    <w:rsid w:val="004B2B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1564</Words>
  <Characters>8915</Characters>
  <Application>Microsoft Office Word</Application>
  <DocSecurity>0</DocSecurity>
  <Lines>74</Lines>
  <Paragraphs>20</Paragraphs>
  <ScaleCrop>false</ScaleCrop>
  <Company>China</Company>
  <LinksUpToDate>false</LinksUpToDate>
  <CharactersWithSpaces>10459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 LAY</dc:creator>
  <cp:keywords/>
  <dc:description/>
  <cp:lastModifiedBy>RE LAY</cp:lastModifiedBy>
  <cp:revision>3</cp:revision>
  <dcterms:created xsi:type="dcterms:W3CDTF">2020-11-02T02:46:00Z</dcterms:created>
  <dcterms:modified xsi:type="dcterms:W3CDTF">2020-11-02T03:07:00Z</dcterms:modified>
</cp:coreProperties>
</file>