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hint="eastAsia" w:ascii="Times New Roman" w:hAnsi="Times New Roman" w:cs="Times New Roman"/>
          <w:sz w:val="16"/>
          <w:szCs w:val="16"/>
        </w:rPr>
      </w:pPr>
      <w:bookmarkStart w:id="0" w:name="_Hlk181950329"/>
      <w:r>
        <w:rPr>
          <w:rFonts w:ascii="Times New Roman" w:hAnsi="Times New Roman" w:cs="Times New Roman"/>
          <w:b/>
          <w:bCs/>
          <w:sz w:val="16"/>
          <w:szCs w:val="16"/>
        </w:rPr>
        <w:t>Fig</w:t>
      </w:r>
      <w:r>
        <w:rPr>
          <w:rFonts w:ascii="Times New Roman" w:hAnsi="Times New Roman" w:eastAsia="等线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hint="eastAsia" w:ascii="Times New Roman" w:hAnsi="Times New Roman" w:eastAsia="等线" w:cs="Times New Roman"/>
          <w:sz w:val="16"/>
          <w:szCs w:val="16"/>
        </w:rPr>
        <w:t>The 7 20m</w:t>
      </w:r>
      <w:r>
        <w:rPr>
          <w:rFonts w:ascii="Times New Roman" w:hAnsi="Times New Roman" w:eastAsia="等线" w:cs="Times New Roman"/>
          <w:sz w:val="16"/>
          <w:szCs w:val="16"/>
        </w:rPr>
        <w:sym w:font="Symbol" w:char="F0B4"/>
      </w:r>
      <w:r>
        <w:rPr>
          <w:rFonts w:hint="eastAsia" w:ascii="Times New Roman" w:hAnsi="Times New Roman" w:eastAsia="等线" w:cs="Times New Roman"/>
          <w:sz w:val="16"/>
          <w:szCs w:val="16"/>
        </w:rPr>
        <w:t xml:space="preserve">20m plots on the upper hillside of Kadoorie Farm and Botanic Garden, </w:t>
      </w:r>
      <w:r>
        <w:rPr>
          <w:rFonts w:ascii="Times New Roman" w:hAnsi="Times New Roman" w:eastAsia="等线" w:cs="Times New Roman"/>
          <w:sz w:val="16"/>
          <w:szCs w:val="16"/>
        </w:rPr>
        <w:t>northern</w:t>
      </w:r>
      <w:r>
        <w:rPr>
          <w:rFonts w:hint="eastAsia" w:ascii="Times New Roman" w:hAnsi="Times New Roman" w:eastAsia="等线" w:cs="Times New Roman"/>
          <w:sz w:val="16"/>
          <w:szCs w:val="16"/>
        </w:rPr>
        <w:t xml:space="preserve"> slope of Tai Mo Shan, Hong Kong SAR, China. (A) the </w:t>
      </w:r>
      <w:r>
        <w:rPr>
          <w:rFonts w:hint="eastAsia" w:ascii="Times New Roman" w:hAnsi="Times New Roman" w:cs="Times New Roman"/>
          <w:sz w:val="16"/>
          <w:szCs w:val="16"/>
        </w:rPr>
        <w:t>e</w:t>
      </w:r>
      <w:r>
        <w:rPr>
          <w:rFonts w:ascii="Times New Roman" w:hAnsi="Times New Roman" w:cs="Times New Roman"/>
          <w:sz w:val="16"/>
          <w:szCs w:val="16"/>
        </w:rPr>
        <w:t>nclosed blue tree guard</w:t>
      </w:r>
      <w:r>
        <w:rPr>
          <w:rFonts w:hint="eastAsia" w:ascii="Times New Roman" w:hAnsi="Times New Roman" w:cs="Times New Roman"/>
          <w:sz w:val="16"/>
          <w:szCs w:val="16"/>
        </w:rPr>
        <w:t xml:space="preserve">s and </w:t>
      </w:r>
      <w:r>
        <w:rPr>
          <w:rFonts w:ascii="Times New Roman" w:hAnsi="Times New Roman" w:cs="Times New Roman"/>
          <w:sz w:val="16"/>
          <w:szCs w:val="16"/>
        </w:rPr>
        <w:t>yellow mesh tree guard</w:t>
      </w:r>
      <w:r>
        <w:rPr>
          <w:rFonts w:hint="eastAsia" w:ascii="Times New Roman" w:hAnsi="Times New Roman" w:cs="Times New Roman"/>
          <w:sz w:val="16"/>
          <w:szCs w:val="16"/>
        </w:rPr>
        <w:t xml:space="preserve">s before tree planting in 2013; (B) Bamboo </w:t>
      </w:r>
      <w:r>
        <w:rPr>
          <w:rFonts w:ascii="Times New Roman" w:hAnsi="Times New Roman" w:eastAsia="宋体"/>
          <w:sz w:val="16"/>
          <w:szCs w:val="16"/>
        </w:rPr>
        <w:t>stakes</w:t>
      </w:r>
      <w:r>
        <w:rPr>
          <w:rFonts w:hint="eastAsia" w:ascii="Times New Roman" w:hAnsi="Times New Roman" w:eastAsia="宋体"/>
          <w:sz w:val="16"/>
          <w:szCs w:val="16"/>
        </w:rPr>
        <w:t xml:space="preserve"> used for </w:t>
      </w:r>
      <w:r>
        <w:rPr>
          <w:rFonts w:ascii="Times New Roman" w:hAnsi="Times New Roman" w:eastAsia="宋体"/>
          <w:sz w:val="16"/>
          <w:szCs w:val="16"/>
        </w:rPr>
        <w:t>stabilising</w:t>
      </w:r>
      <w:r>
        <w:rPr>
          <w:rFonts w:hint="eastAsia" w:ascii="Times New Roman" w:hAnsi="Times New Roman" w:eastAsia="宋体"/>
          <w:sz w:val="16"/>
          <w:szCs w:val="16"/>
        </w:rPr>
        <w:t xml:space="preserve"> the treeguards; (C) Close view of the subplots and the tree guards after planting in 2013; (D) The 7 plots viewed from the northwestern corner in 2013</w:t>
      </w:r>
      <w:r>
        <w:rPr>
          <w:rFonts w:hint="eastAsia" w:ascii="Times New Roman" w:hAnsi="Times New Roman" w:eastAsia="宋体"/>
          <w:sz w:val="16"/>
          <w:szCs w:val="16"/>
          <w:lang w:val="en-US" w:eastAsia="zh-CN"/>
        </w:rPr>
        <w:t>;</w:t>
      </w:r>
      <w:r>
        <w:rPr>
          <w:rFonts w:hint="eastAsia" w:ascii="Times New Roman" w:hAnsi="Times New Roman" w:eastAsia="宋体"/>
          <w:sz w:val="16"/>
          <w:szCs w:val="16"/>
        </w:rPr>
        <w:t xml:space="preserve"> (E) Plot 1 in 2017.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ascii="Times New Roman" w:hAnsi="Times New Roman" w:cs="Times New Roman"/>
          <w:b/>
          <w:bCs/>
          <w:sz w:val="16"/>
          <w:szCs w:val="1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bookmarkStart w:id="1" w:name="_Toc181970757"/>
      <w:bookmarkEnd w:id="1"/>
      <w:r>
        <w:rPr>
          <w:rFonts w:hint="eastAsia" w:ascii="Times New Roman" w:hAnsi="Times New Roman" w:cs="Times New Roman"/>
          <w:sz w:val="16"/>
          <w:szCs w:val="16"/>
        </w:rPr>
        <w:t xml:space="preserve"> Survival rates for the 12 planted species by treatment </w:t>
      </w:r>
      <w:r>
        <w:rPr>
          <w:rFonts w:ascii="Times New Roman" w:hAnsi="Times New Roman" w:cs="Times New Roman"/>
          <w:sz w:val="16"/>
          <w:szCs w:val="16"/>
        </w:rPr>
        <w:t>in 2014</w:t>
      </w:r>
      <w:r>
        <w:rPr>
          <w:rFonts w:hint="eastAsia"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2015 and 2017</w:t>
      </w:r>
      <w:r>
        <w:rPr>
          <w:rFonts w:hint="eastAsia" w:ascii="Times New Roman" w:hAnsi="Times New Roman" w:cs="Times New Roman"/>
          <w:sz w:val="16"/>
          <w:szCs w:val="16"/>
        </w:rPr>
        <w:t>. Species codes are given in Table 1.</w:t>
      </w:r>
      <w:r>
        <w:rPr>
          <w:rFonts w:hint="eastAsia"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Legend explanation: Enclosed: blue enclosed guard; Mesh: yellow mesh guard; InorgFert: inorganic fertiliser; OrgFert: organic fertiliser; NoFert: no fertiliser; WM: with weeding mat; NoWM: without weeding mat.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ascii="Times New Roman" w:hAnsi="Times New Roman" w:cs="Times New Roman"/>
          <w:b/>
          <w:bCs/>
          <w:sz w:val="16"/>
          <w:szCs w:val="1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16"/>
          <w:szCs w:val="16"/>
        </w:rPr>
        <w:t>3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/>
        </w:rPr>
        <w:t>Seedling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</w:rPr>
        <w:t>heights</w:t>
      </w:r>
      <w:r>
        <w:rPr>
          <w:rFonts w:ascii="Times New Roman" w:hAnsi="Times New Roman" w:cs="Times New Roman"/>
          <w:sz w:val="16"/>
          <w:szCs w:val="16"/>
        </w:rPr>
        <w:t xml:space="preserve"> of the 12 species in 2014</w:t>
      </w:r>
      <w:r>
        <w:rPr>
          <w:rFonts w:hint="eastAsia"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2015 and 2017. </w:t>
      </w:r>
      <w:r>
        <w:rPr>
          <w:rFonts w:hint="eastAsia" w:ascii="Times New Roman" w:hAnsi="Times New Roman" w:cs="Times New Roman"/>
          <w:sz w:val="16"/>
          <w:szCs w:val="16"/>
        </w:rPr>
        <w:t>Species codes are given in Table 1.</w:t>
      </w:r>
      <w:r>
        <w:rPr>
          <w:rFonts w:hint="eastAsia"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Violin width corresponds to the frequency of points in each region. </w:t>
      </w:r>
      <w:r>
        <w:rPr>
          <w:rFonts w:hint="eastAsia" w:ascii="Times New Roman" w:hAnsi="Times New Roman" w:cs="Times New Roman"/>
          <w:sz w:val="16"/>
          <w:szCs w:val="16"/>
        </w:rPr>
        <w:t>Seedling heights</w:t>
      </w:r>
      <w:r>
        <w:rPr>
          <w:rFonts w:ascii="Times New Roman" w:hAnsi="Times New Roman" w:cs="Times New Roman"/>
          <w:sz w:val="16"/>
          <w:szCs w:val="16"/>
        </w:rPr>
        <w:t xml:space="preserve"> were compared using Wilcoxon test</w:t>
      </w:r>
      <w:r>
        <w:rPr>
          <w:rFonts w:hint="eastAsia"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NS</w:t>
      </w:r>
      <w:r>
        <w:rPr>
          <w:rFonts w:hint="eastAsia" w:ascii="Times New Roman" w:hAnsi="Times New Roman" w:cs="Times New Roman"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not significant; **</w:t>
      </w:r>
      <w:r>
        <w:rPr>
          <w:rFonts w:hint="eastAsia"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&lt; 0.01, ***: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&lt; 0.001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hint="eastAsia" w:ascii="Times New Roman" w:hAnsi="Times New Roman" w:cs="Times New Roman"/>
          <w:b/>
          <w:bCs/>
          <w:sz w:val="16"/>
          <w:szCs w:val="1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textAlignment w:val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16"/>
          <w:szCs w:val="16"/>
        </w:rPr>
        <w:t>4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  <w:lang w:val="en-US"/>
        </w:rPr>
        <w:t>Seedling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>
        <w:rPr>
          <w:rFonts w:hint="eastAsia" w:ascii="Times New Roman" w:hAnsi="Times New Roman" w:cs="Times New Roman"/>
          <w:sz w:val="16"/>
          <w:szCs w:val="16"/>
        </w:rPr>
        <w:t>BDs</w:t>
      </w:r>
      <w:r>
        <w:rPr>
          <w:rFonts w:ascii="Times New Roman" w:hAnsi="Times New Roman" w:cs="Times New Roman"/>
          <w:sz w:val="16"/>
          <w:szCs w:val="16"/>
        </w:rPr>
        <w:t xml:space="preserve"> of the 12 species in 2014</w:t>
      </w:r>
      <w:r>
        <w:rPr>
          <w:rFonts w:hint="eastAsia"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2015 and 2017. </w:t>
      </w:r>
      <w:r>
        <w:rPr>
          <w:rFonts w:hint="eastAsia" w:ascii="Times New Roman" w:hAnsi="Times New Roman" w:cs="Times New Roman"/>
          <w:sz w:val="16"/>
          <w:szCs w:val="16"/>
        </w:rPr>
        <w:t>Species codes are given in Table 1.</w:t>
      </w:r>
      <w:r>
        <w:rPr>
          <w:rFonts w:hint="eastAsia"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Violin width corresponds to the frequency of points in each region. </w:t>
      </w:r>
      <w:r>
        <w:rPr>
          <w:rFonts w:hint="eastAsia" w:ascii="Times New Roman" w:hAnsi="Times New Roman" w:cs="Times New Roman"/>
          <w:sz w:val="16"/>
          <w:szCs w:val="16"/>
        </w:rPr>
        <w:t>Seedling BDs</w:t>
      </w:r>
      <w:r>
        <w:rPr>
          <w:rFonts w:ascii="Times New Roman" w:hAnsi="Times New Roman" w:cs="Times New Roman"/>
          <w:sz w:val="16"/>
          <w:szCs w:val="16"/>
        </w:rPr>
        <w:t xml:space="preserve"> were compared using Wilcoxon test</w:t>
      </w:r>
      <w:r>
        <w:rPr>
          <w:rFonts w:hint="eastAsia"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NS</w:t>
      </w:r>
      <w:r>
        <w:rPr>
          <w:rFonts w:hint="eastAsia" w:ascii="Times New Roman" w:hAnsi="Times New Roman" w:cs="Times New Roman"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not significant; **</w:t>
      </w:r>
      <w:r>
        <w:rPr>
          <w:rFonts w:hint="eastAsia"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&lt; 0.01, ***: </w:t>
      </w:r>
      <w:r>
        <w:rPr>
          <w:rFonts w:ascii="Times New Roman" w:hAnsi="Times New Roman" w:cs="Times New Roman"/>
          <w:i/>
          <w:iCs/>
          <w:sz w:val="16"/>
          <w:szCs w:val="16"/>
        </w:rPr>
        <w:t>P</w:t>
      </w:r>
      <w:r>
        <w:rPr>
          <w:rFonts w:ascii="Times New Roman" w:hAnsi="Times New Roman" w:cs="Times New Roman"/>
          <w:sz w:val="16"/>
          <w:szCs w:val="16"/>
        </w:rPr>
        <w:t xml:space="preserve"> &lt; 0.001</w:t>
      </w:r>
    </w:p>
    <w:p>
      <w:pPr>
        <w:snapToGrid w:val="0"/>
        <w:rPr>
          <w:rFonts w:hint="eastAsia" w:ascii="Times New Roman" w:hAnsi="Times New Roman" w:cs="Times New Roman"/>
          <w:b/>
          <w:bCs/>
          <w:sz w:val="16"/>
          <w:szCs w:val="16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0fc92e69-5372-4ea6-98eb-4c9ff6d6aff0"/>
  </w:docVars>
  <w:rsids>
    <w:rsidRoot w:val="00FC011F"/>
    <w:rsid w:val="000B34F8"/>
    <w:rsid w:val="00186979"/>
    <w:rsid w:val="00482B4C"/>
    <w:rsid w:val="004C2385"/>
    <w:rsid w:val="004E35C5"/>
    <w:rsid w:val="006C5458"/>
    <w:rsid w:val="006E3CA5"/>
    <w:rsid w:val="0074284F"/>
    <w:rsid w:val="00765F0B"/>
    <w:rsid w:val="00883E89"/>
    <w:rsid w:val="008F7434"/>
    <w:rsid w:val="00A46DC0"/>
    <w:rsid w:val="00C87808"/>
    <w:rsid w:val="00D321A9"/>
    <w:rsid w:val="00D9667F"/>
    <w:rsid w:val="00E75F71"/>
    <w:rsid w:val="00EC0E7C"/>
    <w:rsid w:val="00F508A6"/>
    <w:rsid w:val="00F54CD8"/>
    <w:rsid w:val="00FC011F"/>
    <w:rsid w:val="2C0436D0"/>
    <w:rsid w:val="51F6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80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8"/>
      <w:szCs w:val="48"/>
      <w:lang w:val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val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val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widowControl w:val="0"/>
      <w:spacing w:before="80" w:after="40" w:line="240" w:lineRule="auto"/>
      <w:jc w:val="both"/>
      <w:outlineLvl w:val="3"/>
    </w:pPr>
    <w:rPr>
      <w:rFonts w:cstheme="majorBidi"/>
      <w:color w:val="2F5597" w:themeColor="accent1" w:themeShade="BF"/>
      <w:kern w:val="2"/>
      <w:sz w:val="28"/>
      <w:szCs w:val="28"/>
      <w:lang w:val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widowControl w:val="0"/>
      <w:spacing w:before="80" w:after="40" w:line="240" w:lineRule="auto"/>
      <w:jc w:val="both"/>
      <w:outlineLvl w:val="4"/>
    </w:pPr>
    <w:rPr>
      <w:rFonts w:cstheme="majorBidi"/>
      <w:color w:val="2F5597" w:themeColor="accent1" w:themeShade="BF"/>
      <w:kern w:val="2"/>
      <w:sz w:val="24"/>
      <w:szCs w:val="24"/>
      <w:lang w:val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40" w:line="240" w:lineRule="auto"/>
      <w:jc w:val="both"/>
      <w:outlineLvl w:val="5"/>
    </w:pPr>
    <w:rPr>
      <w:rFonts w:cstheme="majorBidi"/>
      <w:b/>
      <w:bCs/>
      <w:color w:val="2F5597" w:themeColor="accent1" w:themeShade="BF"/>
      <w:kern w:val="2"/>
      <w:sz w:val="21"/>
      <w:lang w:val="en-US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40" w:line="240" w:lineRule="auto"/>
      <w:jc w:val="both"/>
      <w:outlineLvl w:val="6"/>
    </w:pPr>
    <w:rPr>
      <w:rFonts w:cstheme="majorBidi"/>
      <w:b/>
      <w:bCs/>
      <w:color w:val="595959" w:themeColor="text1" w:themeTint="A6"/>
      <w:kern w:val="2"/>
      <w:sz w:val="21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widowControl w:val="0"/>
      <w:spacing w:line="240" w:lineRule="auto"/>
      <w:jc w:val="both"/>
      <w:outlineLvl w:val="7"/>
    </w:pPr>
    <w:rPr>
      <w:rFonts w:cstheme="majorBidi"/>
      <w:color w:val="595959" w:themeColor="text1" w:themeTint="A6"/>
      <w:kern w:val="2"/>
      <w:sz w:val="21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widowControl w:val="0"/>
      <w:spacing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widowControl w:val="0"/>
      <w:spacing w:after="160" w:line="24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widowControl w:val="0"/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</w:rPr>
  </w:style>
  <w:style w:type="character" w:customStyle="1" w:styleId="15">
    <w:name w:val="Heading 1 Char"/>
    <w:basedOn w:val="1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Heading 2 Char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3 Char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4 Char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Heading 5 Char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Heading 6 Char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Heading 7 Char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9 Char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le Char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lang w:val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widowControl w:val="0"/>
      <w:spacing w:line="240" w:lineRule="auto"/>
      <w:ind w:left="720"/>
      <w:contextualSpacing/>
      <w:jc w:val="both"/>
    </w:pPr>
    <w:rPr>
      <w:kern w:val="2"/>
      <w:sz w:val="21"/>
      <w:lang w:val="en-US"/>
    </w:rPr>
  </w:style>
  <w:style w:type="character" w:customStyle="1" w:styleId="29">
    <w:name w:val="Intense Emphasis1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widowControl w:val="0"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40" w:lineRule="auto"/>
      <w:ind w:left="864" w:right="864"/>
      <w:jc w:val="center"/>
    </w:pPr>
    <w:rPr>
      <w:i/>
      <w:iCs/>
      <w:color w:val="2F5597" w:themeColor="accent1" w:themeShade="BF"/>
      <w:kern w:val="2"/>
      <w:sz w:val="21"/>
      <w:lang w:val="en-US"/>
    </w:rPr>
  </w:style>
  <w:style w:type="character" w:customStyle="1" w:styleId="31">
    <w:name w:val="Intense Quote Char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1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Revision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Kadoorie Farm and Botanic Garden</Company>
  <Pages>1</Pages>
  <Words>232</Words>
  <Characters>1086</Characters>
  <Lines>9</Lines>
  <Paragraphs>2</Paragraphs>
  <TotalTime>32</TotalTime>
  <ScaleCrop>false</ScaleCrop>
  <LinksUpToDate>false</LinksUpToDate>
  <CharactersWithSpaces>1318</CharactersWithSpaces>
  <Application>WPS Office_11.1.0.12375_F1E327BC-269C-435d-A152-05C5408002CA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2025-04-01T06:29:00Z</dcterms:created>
  <dc:creator>JFR-LSX</dc:creator>
  <cp:lastModifiedBy>美少女战士</cp:lastModifiedBy>
  <dcterms:modified xsi:type="dcterms:W3CDTF">2025-04-04T15:07:03Z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2052-11.1.0.12375</vt:lpwstr>
  </property>
  <property fmtid="{D5CDD505-2E9C-101B-9397-08002B2CF9AE}" pid="3" name="ICV">
    <vt:lpwstr>EA85499C02DB45758C8FFAD857388B25</vt:lpwstr>
  </property>
</Properties>
</file>