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E02F1" w14:textId="18A6DCD0" w:rsidR="000549CF" w:rsidRPr="000549CF" w:rsidRDefault="00C11E1A" w:rsidP="00E46BEB">
      <w:pPr>
        <w:spacing w:before="120" w:line="360" w:lineRule="auto"/>
        <w:rPr>
          <w:rFonts w:cstheme="minorHAnsi"/>
          <w:lang w:val="en-US"/>
        </w:rPr>
      </w:pPr>
      <w:r>
        <w:rPr>
          <w:rFonts w:cstheme="minorHAnsi"/>
          <w:lang w:val="en-US"/>
        </w:rPr>
        <w:t>Methods:</w:t>
      </w:r>
    </w:p>
    <w:p w14:paraId="2B7C32B7" w14:textId="76524098" w:rsidR="000549CF" w:rsidRDefault="00B47164" w:rsidP="00E46BEB">
      <w:pPr>
        <w:spacing w:before="120" w:line="360" w:lineRule="auto"/>
        <w:jc w:val="both"/>
        <w:rPr>
          <w:lang w:val="en-US"/>
        </w:rPr>
      </w:pPr>
      <w:r w:rsidRPr="009C44CC">
        <w:rPr>
          <w:highlight w:val="yellow"/>
          <w:lang w:val="en-US"/>
        </w:rPr>
        <w:t>Recruitment:</w:t>
      </w:r>
      <w:r w:rsidR="005124F2" w:rsidRPr="009C44CC">
        <w:rPr>
          <w:highlight w:val="yellow"/>
          <w:lang w:val="en-US"/>
        </w:rPr>
        <w:t xml:space="preserve"> </w:t>
      </w:r>
      <w:r w:rsidRPr="009C44CC">
        <w:rPr>
          <w:highlight w:val="yellow"/>
          <w:lang w:val="en-US"/>
        </w:rPr>
        <w:t xml:space="preserve">DESCRIBE (DZNE Clinical Register Study of Neurodegenerative Disorders): </w:t>
      </w:r>
      <w:r w:rsidR="000549CF" w:rsidRPr="009C44CC">
        <w:rPr>
          <w:highlight w:val="yellow"/>
          <w:lang w:val="en-US"/>
        </w:rPr>
        <w:t xml:space="preserve">All </w:t>
      </w:r>
      <w:r w:rsidR="008E7D55" w:rsidRPr="009C44CC">
        <w:rPr>
          <w:highlight w:val="yellow"/>
          <w:lang w:val="en-US"/>
        </w:rPr>
        <w:t>behavioral variant Frontotemporal Dementia (</w:t>
      </w:r>
      <w:proofErr w:type="spellStart"/>
      <w:r w:rsidR="008E7D55" w:rsidRPr="009C44CC">
        <w:rPr>
          <w:highlight w:val="yellow"/>
          <w:lang w:val="en-US"/>
        </w:rPr>
        <w:t>bvFTD</w:t>
      </w:r>
      <w:proofErr w:type="spellEnd"/>
      <w:r w:rsidR="008E7D55" w:rsidRPr="009C44CC">
        <w:rPr>
          <w:highlight w:val="yellow"/>
          <w:lang w:val="en-US"/>
        </w:rPr>
        <w:t xml:space="preserve">) </w:t>
      </w:r>
      <w:r w:rsidR="000549CF" w:rsidRPr="009C44CC">
        <w:rPr>
          <w:highlight w:val="yellow"/>
          <w:lang w:val="en-US"/>
        </w:rPr>
        <w:t xml:space="preserve">patients were assessed </w:t>
      </w:r>
      <w:r w:rsidR="00223F22" w:rsidRPr="009C44CC">
        <w:rPr>
          <w:highlight w:val="yellow"/>
          <w:lang w:val="en-US"/>
        </w:rPr>
        <w:t>according to routine medical care</w:t>
      </w:r>
      <w:r w:rsidR="000549CF" w:rsidRPr="009C44CC">
        <w:rPr>
          <w:highlight w:val="yellow"/>
          <w:lang w:val="en-US"/>
        </w:rPr>
        <w:t xml:space="preserve"> at the respective centers </w:t>
      </w:r>
      <w:r w:rsidR="00EC2831" w:rsidRPr="009C44CC">
        <w:rPr>
          <w:highlight w:val="yellow"/>
          <w:lang w:val="en-US"/>
        </w:rPr>
        <w:t xml:space="preserve">(including medical history, psychiatric and neurological examination, blood laboratory work-up, and MRI) </w:t>
      </w:r>
      <w:r w:rsidR="000549CF" w:rsidRPr="009C44CC">
        <w:rPr>
          <w:highlight w:val="yellow"/>
          <w:lang w:val="en-US"/>
        </w:rPr>
        <w:t xml:space="preserve">before entering DESCRIBE. </w:t>
      </w:r>
      <w:r w:rsidR="00EC2831" w:rsidRPr="009C44CC">
        <w:rPr>
          <w:highlight w:val="yellow"/>
          <w:lang w:val="en-US"/>
        </w:rPr>
        <w:t>For</w:t>
      </w:r>
      <w:r w:rsidR="008E7D55" w:rsidRPr="009C44CC">
        <w:rPr>
          <w:highlight w:val="yellow"/>
          <w:lang w:val="en-US"/>
        </w:rPr>
        <w:t xml:space="preserve"> inclusion into the DESCRIBE-FTD </w:t>
      </w:r>
      <w:proofErr w:type="spellStart"/>
      <w:r w:rsidR="008E7D55" w:rsidRPr="009C44CC">
        <w:rPr>
          <w:highlight w:val="yellow"/>
          <w:lang w:val="en-US"/>
        </w:rPr>
        <w:t>subcohort</w:t>
      </w:r>
      <w:proofErr w:type="spellEnd"/>
      <w:r w:rsidR="008E7D55" w:rsidRPr="009C44CC">
        <w:rPr>
          <w:highlight w:val="yellow"/>
          <w:lang w:val="en-US"/>
        </w:rPr>
        <w:t xml:space="preserve">, </w:t>
      </w:r>
      <w:r w:rsidR="006F7C6E" w:rsidRPr="009C44CC">
        <w:rPr>
          <w:highlight w:val="yellow"/>
          <w:lang w:val="en-US"/>
        </w:rPr>
        <w:t>participants</w:t>
      </w:r>
      <w:r w:rsidR="008E7D55" w:rsidRPr="009C44CC">
        <w:rPr>
          <w:highlight w:val="yellow"/>
          <w:lang w:val="en-US"/>
        </w:rPr>
        <w:t xml:space="preserve"> had to</w:t>
      </w:r>
      <w:r w:rsidR="00FD7B1C" w:rsidRPr="009C44CC">
        <w:rPr>
          <w:highlight w:val="yellow"/>
          <w:lang w:val="en-US"/>
        </w:rPr>
        <w:t xml:space="preserve"> be &gt;18 years, </w:t>
      </w:r>
      <w:r w:rsidR="008E7D55" w:rsidRPr="009C44CC">
        <w:rPr>
          <w:highlight w:val="yellow"/>
          <w:lang w:val="en-US"/>
        </w:rPr>
        <w:t xml:space="preserve">fulfill </w:t>
      </w:r>
      <w:r w:rsidR="008F7DD5" w:rsidRPr="009C44CC">
        <w:rPr>
          <w:highlight w:val="yellow"/>
          <w:lang w:val="en-US"/>
        </w:rPr>
        <w:t xml:space="preserve">the </w:t>
      </w:r>
      <w:r w:rsidR="00C251E8" w:rsidRPr="009C44CC">
        <w:rPr>
          <w:highlight w:val="yellow"/>
          <w:lang w:val="en-US"/>
        </w:rPr>
        <w:t xml:space="preserve">established </w:t>
      </w:r>
      <w:r w:rsidR="008F7DD5" w:rsidRPr="009C44CC">
        <w:rPr>
          <w:highlight w:val="yellow"/>
          <w:lang w:val="en-US"/>
        </w:rPr>
        <w:t>diagnostic criteria for a</w:t>
      </w:r>
      <w:r w:rsidR="00C251E8" w:rsidRPr="009C44CC">
        <w:rPr>
          <w:highlight w:val="yellow"/>
          <w:lang w:val="en-US"/>
        </w:rPr>
        <w:t xml:space="preserve"> clinical</w:t>
      </w:r>
      <w:r w:rsidR="008F7DD5" w:rsidRPr="009C44CC">
        <w:rPr>
          <w:highlight w:val="yellow"/>
          <w:lang w:val="en-US"/>
        </w:rPr>
        <w:t xml:space="preserve"> FTD variant (or </w:t>
      </w:r>
      <w:r w:rsidR="003D7023" w:rsidRPr="009C44CC">
        <w:rPr>
          <w:highlight w:val="yellow"/>
          <w:lang w:val="en-US"/>
        </w:rPr>
        <w:t>present as a</w:t>
      </w:r>
      <w:r w:rsidR="008F7DD5" w:rsidRPr="009C44CC">
        <w:rPr>
          <w:highlight w:val="yellow"/>
          <w:lang w:val="en-US"/>
        </w:rPr>
        <w:t xml:space="preserve"> symptomatic carrier</w:t>
      </w:r>
      <w:r w:rsidR="003D7023" w:rsidRPr="009C44CC">
        <w:rPr>
          <w:highlight w:val="yellow"/>
          <w:lang w:val="en-US"/>
        </w:rPr>
        <w:t xml:space="preserve"> of FTD-related genetic mutations</w:t>
      </w:r>
      <w:r w:rsidR="008F7DD5" w:rsidRPr="009C44CC">
        <w:rPr>
          <w:highlight w:val="yellow"/>
          <w:lang w:val="en-US"/>
        </w:rPr>
        <w:t>)</w:t>
      </w:r>
      <w:r w:rsidR="003D7023" w:rsidRPr="009C44CC">
        <w:rPr>
          <w:highlight w:val="yellow"/>
          <w:lang w:val="en-US"/>
        </w:rPr>
        <w:t xml:space="preserve">, and </w:t>
      </w:r>
      <w:r w:rsidR="006F7C6E" w:rsidRPr="009C44CC">
        <w:rPr>
          <w:highlight w:val="yellow"/>
          <w:lang w:val="en-US"/>
        </w:rPr>
        <w:t xml:space="preserve">provide </w:t>
      </w:r>
      <w:r w:rsidR="003D7023" w:rsidRPr="009C44CC">
        <w:rPr>
          <w:highlight w:val="yellow"/>
          <w:lang w:val="en-US"/>
        </w:rPr>
        <w:t>written informed consent</w:t>
      </w:r>
      <w:r w:rsidR="008F7DD5" w:rsidRPr="009C44CC">
        <w:rPr>
          <w:highlight w:val="yellow"/>
          <w:lang w:val="en-US"/>
        </w:rPr>
        <w:t xml:space="preserve"> </w:t>
      </w:r>
      <w:r w:rsidR="00C251E8" w:rsidRPr="009C44CC">
        <w:rPr>
          <w:highlight w:val="yellow"/>
          <w:lang w:val="en-US"/>
        </w:rPr>
        <w:t>(by the patient</w:t>
      </w:r>
      <w:r w:rsidR="006F7C6E" w:rsidRPr="009C44CC">
        <w:rPr>
          <w:highlight w:val="yellow"/>
          <w:lang w:val="en-US"/>
        </w:rPr>
        <w:t>,</w:t>
      </w:r>
      <w:r w:rsidR="00C251E8" w:rsidRPr="009C44CC">
        <w:rPr>
          <w:highlight w:val="yellow"/>
          <w:lang w:val="en-US"/>
        </w:rPr>
        <w:t xml:space="preserve"> or</w:t>
      </w:r>
      <w:r w:rsidR="006F7C6E" w:rsidRPr="009C44CC">
        <w:rPr>
          <w:highlight w:val="yellow"/>
          <w:lang w:val="en-US"/>
        </w:rPr>
        <w:t xml:space="preserve"> a</w:t>
      </w:r>
      <w:r w:rsidR="00C251E8" w:rsidRPr="009C44CC">
        <w:rPr>
          <w:highlight w:val="yellow"/>
          <w:lang w:val="en-US"/>
        </w:rPr>
        <w:t xml:space="preserve"> legal representative). </w:t>
      </w:r>
      <w:r w:rsidR="006F7C6E" w:rsidRPr="009C44CC">
        <w:rPr>
          <w:highlight w:val="yellow"/>
          <w:lang w:val="en-US"/>
        </w:rPr>
        <w:t>Exclusion criteria were</w:t>
      </w:r>
      <w:r w:rsidR="00EC2831" w:rsidRPr="009C44CC">
        <w:rPr>
          <w:highlight w:val="yellow"/>
          <w:lang w:val="en-US"/>
        </w:rPr>
        <w:t xml:space="preserve"> instable or severe medical conditions, previous or current psychological, psychiatric and physical illnesses</w:t>
      </w:r>
      <w:r w:rsidR="006F7C6E" w:rsidRPr="009C44CC">
        <w:rPr>
          <w:highlight w:val="yellow"/>
          <w:lang w:val="en-US"/>
        </w:rPr>
        <w:t xml:space="preserve"> </w:t>
      </w:r>
      <w:r w:rsidR="00EC2831" w:rsidRPr="009C44CC">
        <w:rPr>
          <w:highlight w:val="yellow"/>
          <w:lang w:val="en-US"/>
        </w:rPr>
        <w:t>which precluded study participation</w:t>
      </w:r>
      <w:r w:rsidR="00FE5C2A" w:rsidRPr="009C44CC">
        <w:rPr>
          <w:highlight w:val="yellow"/>
          <w:lang w:val="en-US"/>
        </w:rPr>
        <w:t xml:space="preserve">, as well as a clinical diagnosis of </w:t>
      </w:r>
      <w:proofErr w:type="spellStart"/>
      <w:r w:rsidR="00FE5C2A" w:rsidRPr="009C44CC">
        <w:rPr>
          <w:highlight w:val="yellow"/>
          <w:lang w:val="en-US"/>
        </w:rPr>
        <w:t>corticobasal</w:t>
      </w:r>
      <w:proofErr w:type="spellEnd"/>
      <w:r w:rsidR="00FE5C2A" w:rsidRPr="009C44CC">
        <w:rPr>
          <w:highlight w:val="yellow"/>
          <w:lang w:val="en-US"/>
        </w:rPr>
        <w:t xml:space="preserve"> degeneration or progressive supranuclear palsy</w:t>
      </w:r>
      <w:r w:rsidR="00665733" w:rsidRPr="009C44CC">
        <w:rPr>
          <w:highlight w:val="yellow"/>
          <w:lang w:val="en-US"/>
        </w:rPr>
        <w:t xml:space="preserve"> (and for the present study:  MR-related contraindications)</w:t>
      </w:r>
      <w:r w:rsidR="00EC2831" w:rsidRPr="009C44CC">
        <w:rPr>
          <w:highlight w:val="yellow"/>
          <w:lang w:val="en-US"/>
        </w:rPr>
        <w:t>.</w:t>
      </w:r>
    </w:p>
    <w:p w14:paraId="75AA43FA" w14:textId="30D54E1A" w:rsidR="00C11E1A" w:rsidRDefault="00C11E1A" w:rsidP="00E46BEB">
      <w:pPr>
        <w:spacing w:before="120" w:line="360" w:lineRule="auto"/>
        <w:jc w:val="both"/>
        <w:rPr>
          <w:lang w:val="en-US"/>
        </w:rPr>
      </w:pPr>
      <w:r w:rsidRPr="00C11E1A">
        <w:rPr>
          <w:lang w:val="en-US"/>
        </w:rPr>
        <w:t xml:space="preserve">The clinical assessments included a structured medical history, current medication, structured family history, standardized physical examination, including sensory testing, the Mini-Mental State Examination (MMSE) </w:t>
      </w:r>
      <w:r w:rsidR="003C6758">
        <w:rPr>
          <w:lang w:val="en-US"/>
        </w:rPr>
        <w:fldChar w:fldCharType="begin"/>
      </w:r>
      <w:r w:rsidR="003C6758">
        <w:rPr>
          <w:lang w:val="en-US"/>
        </w:rPr>
        <w:instrText xml:space="preserve"> ADDIN ZOTERO_ITEM CSL_CITATION {"citationID":"HwYlJZxC","properties":{"formattedCitation":"(Folstein et al., 1975)","plainCitation":"(Folstein et al., 1975)","noteIndex":0},"citationItems":[{"id":4048,"uris":["http://zotero.org/users/1784178/items/H734P9GJ"],"itemData":{"id":4048,"type":"article-journal","container-title":"Journal of Psychiatric Research","DOI":"10.1016/0022-3956(75)90026-6","ISSN":"0022-3956","issue":"3","journalAbbreviation":"J Psychiatr Res","language":"eng","note":"PMID: 1202204","page":"189-198","source":"PubMed","title":"\"Mini-mental state\". A practical method for grading the cognitive state of patients for the clinician","volume":"12","author":[{"family":"Folstein","given":"M. F."},{"family":"Folstein","given":"S. E."},{"family":"McHugh","given":"P. R."}],"issued":{"date-parts":[["1975",11]]}}}],"schema":"https://github.com/citation-style-language/schema/raw/master/csl-citation.json"} </w:instrText>
      </w:r>
      <w:r w:rsidR="003C6758">
        <w:rPr>
          <w:lang w:val="en-US"/>
        </w:rPr>
        <w:fldChar w:fldCharType="separate"/>
      </w:r>
      <w:r w:rsidR="003C6758">
        <w:rPr>
          <w:noProof/>
          <w:lang w:val="en-US"/>
        </w:rPr>
        <w:t>(Folstein et al., 1975)</w:t>
      </w:r>
      <w:r w:rsidR="003C6758">
        <w:rPr>
          <w:lang w:val="en-US"/>
        </w:rPr>
        <w:fldChar w:fldCharType="end"/>
      </w:r>
      <w:r w:rsidRPr="00C11E1A">
        <w:rPr>
          <w:lang w:val="en-US"/>
        </w:rPr>
        <w:t xml:space="preserve">, Clinical Dementia Rating (CDR) sum of boxes (CDR-SOB) </w:t>
      </w:r>
      <w:r w:rsidR="003C6758">
        <w:rPr>
          <w:lang w:val="en-US"/>
        </w:rPr>
        <w:fldChar w:fldCharType="begin"/>
      </w:r>
      <w:r w:rsidR="00B821A7">
        <w:rPr>
          <w:lang w:val="en-US"/>
        </w:rPr>
        <w:instrText xml:space="preserve"> ADDIN ZOTERO_ITEM CSL_CITATION {"citationID":"4MmoWqPA","properties":{"formattedCitation":"(Borroni et al., 2010)","plainCitation":"(Borroni et al., 2010)","noteIndex":0},"citationItems":[{"id":4175,"uris":["http://zotero.org/users/1784178/items/FH69UDEQ"],"itemData":{"id":4175,"type":"article-journal","abstract":"BACKGROUND: Frontotemporal Lobar Degeneration (FTLD) is a heterogeneous disorder characterized by impairment in executive functions, behavioural disturbance and language deficit. Reliable scales of global impairment are under evaluation. A consortium of Mayo Clinic and University of California FTLD Centers has recently developed the FTLD-modified Clinical Dementia Rating (CDR) scale to assess FTLD severity.\nOBJECTIVE: To evaluate whether FTLD-modified CDR scores correlate with the pattern and degree of brain SPECT hypoperfusion in patients with FTLD.\nMETHODS: Ninety-nine patients with FTLD entered the study. Patients underwent a clinical evaluation and a wide standardized neuropsychological assessment, including mini-mental state examination (MMSE) and FTLD-modified CDR. A brain SPECT perfusion imaging study was carried out in each patient. A linear correlation analysis between frontotemporal dementia-modified CDR or neuropsychological tests scores and perfusion data was performed.\nRESULTS: There was a significant relationship between higher FTLD-modified CDR score and lower global regional cerebral blood flow in the frontal and temporal lobes, bilaterally. No significant correlation between MMSE and brain frontotemporal hypoperfusion was found. The correlation between brain hypoperfusion pattern and neuropsychological test scores tapping different cognitive domains fitted with previously published data.\nCONCLUSIONS: The recently introduced FTLD-modified CDR scale correlates with the degree of frontotemporal hypoperfusion in patients with FTLD. This study confirms and further supports the usefulness of FTLD-modified CDR in future clinical trials to monitor disease progression.","container-title":"European Journal of Neurology","DOI":"10.1111/j.1468-1331.2009.02911.x","ISSN":"1468-1331","issue":"5","journalAbbreviation":"Eur J Neurol","language":"eng","note":"PMID: 20050899","page":"703-707","source":"PubMed","title":"The FTLD-modified Clinical Dementia Rating scale is a reliable tool for defining disease severity in frontotemporal lobar degeneration: evidence from a brain SPECT study","title-short":"The FTLD-modified Clinical Dementia Rating scale is a reliable tool for defining disease severity in frontotemporal lobar degeneration","volume":"17","author":[{"family":"Borroni","given":"B."},{"family":"Agosti","given":"C."},{"family":"Premi","given":"E."},{"family":"Cerini","given":"C."},{"family":"Cosseddu","given":"M."},{"family":"Paghera","given":"B."},{"family":"Bellelli","given":"G."},{"family":"Padovani","given":"A."}],"issued":{"date-parts":[["2010",5]]}}}],"schema":"https://github.com/citation-style-language/schema/raw/master/csl-citation.json"} </w:instrText>
      </w:r>
      <w:r w:rsidR="003C6758">
        <w:rPr>
          <w:lang w:val="en-US"/>
        </w:rPr>
        <w:fldChar w:fldCharType="separate"/>
      </w:r>
      <w:r w:rsidR="00B821A7">
        <w:rPr>
          <w:noProof/>
          <w:lang w:val="en-US"/>
        </w:rPr>
        <w:t>(Borroni et al., 2010)</w:t>
      </w:r>
      <w:r w:rsidR="003C6758">
        <w:rPr>
          <w:lang w:val="en-US"/>
        </w:rPr>
        <w:fldChar w:fldCharType="end"/>
      </w:r>
      <w:r w:rsidRPr="00C11E1A">
        <w:rPr>
          <w:lang w:val="en-US"/>
        </w:rPr>
        <w:t xml:space="preserve">, the 15-item short form of the Geriatric Depression Scale </w:t>
      </w:r>
      <w:r w:rsidRPr="00907A29">
        <w:rPr>
          <w:highlight w:val="yellow"/>
          <w:lang w:val="en-US"/>
        </w:rPr>
        <w:t xml:space="preserve">(GDS) </w:t>
      </w:r>
      <w:r w:rsidR="00542D94" w:rsidRPr="00907A29">
        <w:rPr>
          <w:highlight w:val="yellow"/>
          <w:lang w:val="en-US"/>
        </w:rPr>
        <w:fldChar w:fldCharType="begin"/>
      </w:r>
      <w:r w:rsidR="00542D94" w:rsidRPr="00907A29">
        <w:rPr>
          <w:highlight w:val="yellow"/>
          <w:lang w:val="en-US"/>
        </w:rPr>
        <w:instrText xml:space="preserve"> ADDIN ZOTERO_ITEM CSL_CITATION {"citationID":"4SoC84oM","properties":{"formattedCitation":"(Sheikh &amp; Yesavage, 1986)","plainCitation":"(Sheikh &amp; Yesavage, 1986)","noteIndex":0},"citationItems":[{"id":5332,"uris":["http://zotero.org/users/1784178/items/3CAXFMCW"],"itemData":{"id":5332,"type":"article-journal","abstract":"Reviews validation studies of the Geriatric Depression Scale (GDS) indicating that the GDS is a promising screen for detecting depression in the elderly. A study comparing the GDS with the Center for Epidemiological Studies-Depression Scale, the Hamilton Rating Scale for Depression, and the Depression Adjective Checklist is described. Data show that the GDS represents a reliable and valid screening device for measuring depression with the elderly, and that the GDS is also sensitive to depression among elderly persons suffering from mild to moderate dementia and physical illness. The Short Form of the GDS is considered useful in situations where economy of time is required. (PsycINFO Database Record (c) 2016 APA, all rights reserved)","container-title":"Clinical Gerontologist: The Journal of Aging and Mental Health","DOI":"10.1300/J018v05n01_09","ISSN":"1545-2301","issue":"1-2","note":"publisher-place: US\npublisher: Haworth Press","page":"165-173","source":"APA PsycNet","title":"Geriatric Depression Scale (GDS): Recent evidence and development of a shorter version","title-short":"Geriatric Depression Scale (GDS)","volume":"5","author":[{"family":"Sheikh","given":"Javaid I."},{"family":"Yesavage","given":"Jerome A."}],"issued":{"date-parts":[["1986"]]}}}],"schema":"https://github.com/citation-style-language/schema/raw/master/csl-citation.json"} </w:instrText>
      </w:r>
      <w:r w:rsidR="00542D94" w:rsidRPr="00907A29">
        <w:rPr>
          <w:highlight w:val="yellow"/>
          <w:lang w:val="en-US"/>
        </w:rPr>
        <w:fldChar w:fldCharType="separate"/>
      </w:r>
      <w:r w:rsidR="00542D94" w:rsidRPr="00907A29">
        <w:rPr>
          <w:noProof/>
          <w:highlight w:val="yellow"/>
          <w:lang w:val="en-US"/>
        </w:rPr>
        <w:t>(Sheikh &amp; Yesavage, 1986)</w:t>
      </w:r>
      <w:r w:rsidR="00542D94" w:rsidRPr="00907A29">
        <w:rPr>
          <w:highlight w:val="yellow"/>
          <w:lang w:val="en-US"/>
        </w:rPr>
        <w:fldChar w:fldCharType="end"/>
      </w:r>
      <w:r w:rsidRPr="00C11E1A">
        <w:rPr>
          <w:lang w:val="en-US"/>
        </w:rPr>
        <w:t xml:space="preserve">. Informants/caregivers were interviewed with the Neuropsychiatric Inventory (NPI-Q) </w:t>
      </w:r>
      <w:r w:rsidR="00542D94">
        <w:rPr>
          <w:lang w:val="en-US"/>
        </w:rPr>
        <w:fldChar w:fldCharType="begin"/>
      </w:r>
      <w:r w:rsidR="00542D94">
        <w:rPr>
          <w:lang w:val="en-US"/>
        </w:rPr>
        <w:instrText xml:space="preserve"> ADDIN ZOTERO_ITEM CSL_CITATION {"citationID":"ozeqkaHl","properties":{"formattedCitation":"(Cummings, 1997)","plainCitation":"(Cummings, 1997)","noteIndex":0},"citationItems":[{"id":4050,"uris":["http://zotero.org/users/1784178/items/XZYY3ZD3"],"itemData":{"id":4050,"type":"article-journal","abstract":"The Neuropsychiatric Inventory (NPI) was developed to assess psychopathology in dementia patients. It evaluates 12 neuropsychiatric disturbances common in dementia: delusions, hallucinations, agitation, dysphoria, anxiety, apathy, irritability, euphoria, disinhibition, aberrant motor behavior, night-time behavior disturbances, and appetite and eating abnormalities. The severity and frequency of each neuropsychiatric symptom are rated on the basis of scripted questions administered to the patient's caregiver. The NPI also assesses the amount of caregiver distress engendered by each of the neuropsychiatric disorders. A total NPI score and a total caregiver distress score are calculated, in addition to the scores for the individual symptom domains. Content validity, concurrent validity, inter-rater reliability, and test-retest reliability of the NPI are established. Different neurologic disorders have characteristic neuropsychiatric manifestations and distinctive NPI profiles. The NPI is sensitive to treatment effects and has demonstrated the amelioration of behavioral symptoms in Alzheimer's disease by cholinergic agents. The NPI is a useful instrument for characterizing the psychopathology of dementia syndromes, investigating the neurobiology of brain disorders with neuropsychiatric manifestations, distinguishing among different dementia syndromes, and assessing the efficacy of treatment.","container-title":"Neurology","DOI":"10.1212/wnl.48.5_suppl_6.10s","ISSN":"0028-3878","issue":"5 Suppl 6","journalAbbreviation":"Neurology","language":"eng","note":"PMID: 9153155","page":"S10-16","source":"PubMed","title":"The Neuropsychiatric Inventory: assessing psychopathology in dementia patients","title-short":"The Neuropsychiatric Inventory","volume":"48","author":[{"family":"Cummings","given":"J. L."}],"issued":{"date-parts":[["1997",5]]}}}],"schema":"https://github.com/citation-style-language/schema/raw/master/csl-citation.json"} </w:instrText>
      </w:r>
      <w:r w:rsidR="00542D94">
        <w:rPr>
          <w:lang w:val="en-US"/>
        </w:rPr>
        <w:fldChar w:fldCharType="separate"/>
      </w:r>
      <w:r w:rsidR="00542D94">
        <w:rPr>
          <w:noProof/>
          <w:lang w:val="en-US"/>
        </w:rPr>
        <w:t>(Cummings, 1997)</w:t>
      </w:r>
      <w:r w:rsidR="00542D94">
        <w:rPr>
          <w:lang w:val="en-US"/>
        </w:rPr>
        <w:fldChar w:fldCharType="end"/>
      </w:r>
      <w:r w:rsidR="00725CA3">
        <w:rPr>
          <w:lang w:val="en-US"/>
        </w:rPr>
        <w:t xml:space="preserve"> to assess the neuropsychiatric symptoms.</w:t>
      </w:r>
    </w:p>
    <w:p w14:paraId="32D6B230" w14:textId="55A7CA7E" w:rsidR="001D1E6E" w:rsidRPr="009C44CC" w:rsidRDefault="00893164" w:rsidP="00E46BEB">
      <w:pPr>
        <w:spacing w:before="120" w:line="360" w:lineRule="auto"/>
        <w:jc w:val="both"/>
        <w:rPr>
          <w:color w:val="000000" w:themeColor="text1"/>
          <w:highlight w:val="yellow"/>
          <w:lang w:val="en-US"/>
        </w:rPr>
      </w:pPr>
      <w:r w:rsidRPr="009C44CC">
        <w:rPr>
          <w:highlight w:val="yellow"/>
          <w:lang w:val="en-US"/>
        </w:rPr>
        <w:t>Degeneration Controls and Relatives (DANCER)</w:t>
      </w:r>
      <w:r w:rsidR="001B0181" w:rsidRPr="009C44CC">
        <w:rPr>
          <w:highlight w:val="yellow"/>
          <w:lang w:val="en-US"/>
        </w:rPr>
        <w:t xml:space="preserve">: </w:t>
      </w:r>
      <w:r w:rsidR="006939A6" w:rsidRPr="009C44CC">
        <w:rPr>
          <w:highlight w:val="yellow"/>
          <w:lang w:val="en-US"/>
        </w:rPr>
        <w:t xml:space="preserve">This </w:t>
      </w:r>
      <w:r w:rsidR="00EF7144" w:rsidRPr="009C44CC">
        <w:rPr>
          <w:highlight w:val="yellow"/>
          <w:lang w:val="en-US"/>
        </w:rPr>
        <w:t>ongoing study</w:t>
      </w:r>
      <w:r w:rsidR="002D0239" w:rsidRPr="009C44CC">
        <w:rPr>
          <w:highlight w:val="yellow"/>
          <w:lang w:val="en-US"/>
        </w:rPr>
        <w:t xml:space="preserve"> of the German Center of Neurodegenerative Diseases (DZNE) recruits</w:t>
      </w:r>
      <w:r w:rsidR="006939A6" w:rsidRPr="009C44CC">
        <w:rPr>
          <w:highlight w:val="yellow"/>
          <w:lang w:val="en-US"/>
        </w:rPr>
        <w:t xml:space="preserve"> healthy control</w:t>
      </w:r>
      <w:r w:rsidR="00305C5F" w:rsidRPr="009C44CC">
        <w:rPr>
          <w:highlight w:val="yellow"/>
          <w:lang w:val="en-US"/>
        </w:rPr>
        <w:t>s</w:t>
      </w:r>
      <w:r w:rsidR="006939A6" w:rsidRPr="009C44CC">
        <w:rPr>
          <w:highlight w:val="yellow"/>
          <w:lang w:val="en-US"/>
        </w:rPr>
        <w:t xml:space="preserve"> (HC) among </w:t>
      </w:r>
      <w:r w:rsidR="009D3CA8" w:rsidRPr="009C44CC">
        <w:rPr>
          <w:highlight w:val="yellow"/>
          <w:lang w:val="en-US"/>
        </w:rPr>
        <w:t>family members</w:t>
      </w:r>
      <w:r w:rsidR="006939A6" w:rsidRPr="009C44CC">
        <w:rPr>
          <w:highlight w:val="yellow"/>
          <w:lang w:val="en-US"/>
        </w:rPr>
        <w:t xml:space="preserve"> </w:t>
      </w:r>
      <w:r w:rsidR="00FA229A" w:rsidRPr="009C44CC">
        <w:rPr>
          <w:highlight w:val="yellow"/>
          <w:lang w:val="en-US"/>
        </w:rPr>
        <w:t xml:space="preserve">and friends </w:t>
      </w:r>
      <w:r w:rsidR="006939A6" w:rsidRPr="009C44CC">
        <w:rPr>
          <w:highlight w:val="yellow"/>
          <w:lang w:val="en-US"/>
        </w:rPr>
        <w:t>of patients with neurodegenerative disorders</w:t>
      </w:r>
      <w:r w:rsidR="00FA229A" w:rsidRPr="009C44CC">
        <w:rPr>
          <w:highlight w:val="yellow"/>
          <w:lang w:val="en-US"/>
        </w:rPr>
        <w:t xml:space="preserve">, as well as </w:t>
      </w:r>
      <w:r w:rsidR="00305C5F" w:rsidRPr="009C44CC">
        <w:rPr>
          <w:highlight w:val="yellow"/>
          <w:lang w:val="en-US"/>
        </w:rPr>
        <w:t xml:space="preserve">individuals without known neurodegenerative </w:t>
      </w:r>
      <w:r w:rsidR="00EF7144" w:rsidRPr="009C44CC">
        <w:rPr>
          <w:highlight w:val="yellow"/>
          <w:lang w:val="en-US"/>
        </w:rPr>
        <w:t>disease</w:t>
      </w:r>
      <w:r w:rsidR="00305C5F" w:rsidRPr="009C44CC">
        <w:rPr>
          <w:highlight w:val="yellow"/>
          <w:lang w:val="en-US"/>
        </w:rPr>
        <w:t xml:space="preserve"> who respond to </w:t>
      </w:r>
      <w:r w:rsidR="009D3CA8" w:rsidRPr="009C44CC">
        <w:rPr>
          <w:highlight w:val="yellow"/>
          <w:lang w:val="en-US"/>
        </w:rPr>
        <w:t xml:space="preserve">public </w:t>
      </w:r>
      <w:r w:rsidR="00305C5F" w:rsidRPr="009C44CC">
        <w:rPr>
          <w:highlight w:val="yellow"/>
          <w:lang w:val="en-US"/>
        </w:rPr>
        <w:t xml:space="preserve">calls </w:t>
      </w:r>
      <w:r w:rsidR="009D3CA8" w:rsidRPr="009C44CC">
        <w:rPr>
          <w:highlight w:val="yellow"/>
          <w:lang w:val="en-US"/>
        </w:rPr>
        <w:t>and</w:t>
      </w:r>
      <w:r w:rsidR="00305C5F" w:rsidRPr="009C44CC">
        <w:rPr>
          <w:highlight w:val="yellow"/>
          <w:lang w:val="en-US"/>
        </w:rPr>
        <w:t xml:space="preserve"> advertisements.</w:t>
      </w:r>
      <w:r w:rsidR="006939A6" w:rsidRPr="009C44CC">
        <w:rPr>
          <w:highlight w:val="yellow"/>
          <w:lang w:val="en-US"/>
        </w:rPr>
        <w:t xml:space="preserve"> </w:t>
      </w:r>
      <w:r w:rsidR="00C94888" w:rsidRPr="009C44CC">
        <w:rPr>
          <w:color w:val="000000" w:themeColor="text1"/>
          <w:highlight w:val="yellow"/>
          <w:lang w:val="en-US"/>
        </w:rPr>
        <w:t xml:space="preserve"> </w:t>
      </w:r>
      <w:r w:rsidR="001D1E6E" w:rsidRPr="009C44CC">
        <w:rPr>
          <w:color w:val="000000" w:themeColor="text1"/>
          <w:highlight w:val="yellow"/>
          <w:lang w:val="en-US"/>
        </w:rPr>
        <w:t xml:space="preserve">Inclusion criteria were age ≥ </w:t>
      </w:r>
      <w:r w:rsidR="005A2064" w:rsidRPr="009C44CC">
        <w:rPr>
          <w:color w:val="000000" w:themeColor="text1"/>
          <w:highlight w:val="yellow"/>
          <w:lang w:val="en-US"/>
        </w:rPr>
        <w:t>18</w:t>
      </w:r>
      <w:r w:rsidR="001D1E6E" w:rsidRPr="009C44CC">
        <w:rPr>
          <w:color w:val="000000" w:themeColor="text1"/>
          <w:highlight w:val="yellow"/>
          <w:lang w:val="en-US"/>
        </w:rPr>
        <w:t xml:space="preserve"> years, fluent German language skills</w:t>
      </w:r>
      <w:r w:rsidR="00AF5212" w:rsidRPr="009C44CC">
        <w:rPr>
          <w:color w:val="000000" w:themeColor="text1"/>
          <w:highlight w:val="yellow"/>
          <w:lang w:val="en-US"/>
        </w:rPr>
        <w:t>, and written informed consent</w:t>
      </w:r>
      <w:r w:rsidR="001D1E6E" w:rsidRPr="009C44CC">
        <w:rPr>
          <w:color w:val="000000" w:themeColor="text1"/>
          <w:highlight w:val="yellow"/>
          <w:lang w:val="en-US"/>
        </w:rPr>
        <w:t xml:space="preserve">. We excluded </w:t>
      </w:r>
      <w:r w:rsidR="00C94888" w:rsidRPr="009C44CC">
        <w:rPr>
          <w:color w:val="000000" w:themeColor="text1"/>
          <w:highlight w:val="yellow"/>
          <w:lang w:val="en-US"/>
        </w:rPr>
        <w:t>individuals</w:t>
      </w:r>
      <w:r w:rsidR="001D1E6E" w:rsidRPr="009C44CC">
        <w:rPr>
          <w:color w:val="000000" w:themeColor="text1"/>
          <w:highlight w:val="yellow"/>
          <w:lang w:val="en-US"/>
        </w:rPr>
        <w:t xml:space="preserve"> who reported </w:t>
      </w:r>
      <w:r w:rsidR="00AF5212" w:rsidRPr="009C44CC">
        <w:rPr>
          <w:highlight w:val="yellow"/>
          <w:lang w:val="en-US"/>
        </w:rPr>
        <w:t xml:space="preserve">instable or severe medical conditions, previous or current psychological, psychiatric and physical illnesses which precluded study participation, </w:t>
      </w:r>
      <w:r w:rsidR="00AF5212" w:rsidRPr="009C44CC">
        <w:rPr>
          <w:color w:val="000000" w:themeColor="text1"/>
          <w:highlight w:val="yellow"/>
          <w:lang w:val="en-US"/>
        </w:rPr>
        <w:t xml:space="preserve">showed </w:t>
      </w:r>
      <w:r w:rsidR="001D1E6E" w:rsidRPr="009C44CC">
        <w:rPr>
          <w:color w:val="000000" w:themeColor="text1"/>
          <w:highlight w:val="yellow"/>
          <w:lang w:val="en-US"/>
        </w:rPr>
        <w:t>cognitive problems</w:t>
      </w:r>
      <w:r w:rsidR="00AF5212" w:rsidRPr="009C44CC">
        <w:rPr>
          <w:color w:val="000000" w:themeColor="text1"/>
          <w:highlight w:val="yellow"/>
          <w:lang w:val="en-US"/>
        </w:rPr>
        <w:t xml:space="preserve"> in clinical testing</w:t>
      </w:r>
      <w:r w:rsidR="001D1E6E" w:rsidRPr="009C44CC">
        <w:rPr>
          <w:color w:val="000000" w:themeColor="text1"/>
          <w:highlight w:val="yellow"/>
          <w:lang w:val="en-US"/>
        </w:rPr>
        <w:t xml:space="preserve"> (MMSE&lt;26) and</w:t>
      </w:r>
      <w:r w:rsidR="00AF5212" w:rsidRPr="009C44CC">
        <w:rPr>
          <w:color w:val="000000" w:themeColor="text1"/>
          <w:highlight w:val="yellow"/>
          <w:lang w:val="en-US"/>
        </w:rPr>
        <w:t xml:space="preserve">, for the present </w:t>
      </w:r>
      <w:r w:rsidR="00C94888" w:rsidRPr="009C44CC">
        <w:rPr>
          <w:color w:val="000000" w:themeColor="text1"/>
          <w:highlight w:val="yellow"/>
          <w:lang w:val="en-US"/>
        </w:rPr>
        <w:t>analysis</w:t>
      </w:r>
      <w:r w:rsidR="00AF5212" w:rsidRPr="009C44CC">
        <w:rPr>
          <w:color w:val="000000" w:themeColor="text1"/>
          <w:highlight w:val="yellow"/>
          <w:lang w:val="en-US"/>
        </w:rPr>
        <w:t>,</w:t>
      </w:r>
      <w:r w:rsidR="001D1E6E" w:rsidRPr="009C44CC">
        <w:rPr>
          <w:color w:val="000000" w:themeColor="text1"/>
          <w:highlight w:val="yellow"/>
          <w:lang w:val="en-US"/>
        </w:rPr>
        <w:t xml:space="preserve"> MRI contradictions.</w:t>
      </w:r>
      <w:r w:rsidR="00541586" w:rsidRPr="009C44CC">
        <w:rPr>
          <w:color w:val="000000" w:themeColor="text1"/>
          <w:highlight w:val="yellow"/>
          <w:lang w:val="en-US"/>
        </w:rPr>
        <w:t xml:space="preserve"> </w:t>
      </w:r>
      <w:r w:rsidR="00541586" w:rsidRPr="009C44CC">
        <w:rPr>
          <w:highlight w:val="yellow"/>
          <w:lang w:val="en-US"/>
        </w:rPr>
        <w:t xml:space="preserve">Among N=21 DANCER participants included ongoing study recruitment, projects, </w:t>
      </w:r>
      <w:r w:rsidR="00541586" w:rsidRPr="009C44CC">
        <w:rPr>
          <w:color w:val="000000" w:themeColor="text1"/>
          <w:highlight w:val="yellow"/>
          <w:lang w:val="en-US"/>
        </w:rPr>
        <w:t>N=10 were patient relatives and N=10 advertised (N=1 with missing information)</w:t>
      </w:r>
      <w:r w:rsidR="00541586" w:rsidRPr="009C44CC">
        <w:rPr>
          <w:highlight w:val="yellow"/>
          <w:lang w:val="en-US"/>
        </w:rPr>
        <w:t xml:space="preserve">. We cannot exclude the risk that some of the former participants were asymptomatic FTD-mutation carriers, since no genetic characterization was available for this sample. Meanwhile, </w:t>
      </w:r>
      <w:r w:rsidR="00541586" w:rsidRPr="009C44CC">
        <w:rPr>
          <w:highlight w:val="yellow"/>
          <w:lang w:val="en-US"/>
        </w:rPr>
        <w:lastRenderedPageBreak/>
        <w:t xml:space="preserve">this means that observed group differences between </w:t>
      </w:r>
      <w:proofErr w:type="spellStart"/>
      <w:r w:rsidR="00541586" w:rsidRPr="009C44CC">
        <w:rPr>
          <w:highlight w:val="yellow"/>
          <w:lang w:val="en-US"/>
        </w:rPr>
        <w:t>bvFTD</w:t>
      </w:r>
      <w:proofErr w:type="spellEnd"/>
      <w:r w:rsidR="00541586" w:rsidRPr="009C44CC">
        <w:rPr>
          <w:highlight w:val="yellow"/>
          <w:lang w:val="en-US"/>
        </w:rPr>
        <w:t xml:space="preserve"> patients and controls should actually provide a conservative estimate of the actual differences.  </w:t>
      </w:r>
    </w:p>
    <w:p w14:paraId="6F349192" w14:textId="1B3B3915" w:rsidR="0097383E" w:rsidRPr="006F092E" w:rsidRDefault="0097383E" w:rsidP="00E46BEB">
      <w:pPr>
        <w:spacing w:before="120" w:line="360" w:lineRule="auto"/>
        <w:jc w:val="both"/>
        <w:rPr>
          <w:color w:val="000000" w:themeColor="text1"/>
          <w:highlight w:val="yellow"/>
          <w:lang w:val="en-US"/>
        </w:rPr>
      </w:pPr>
      <w:r w:rsidRPr="006F092E">
        <w:rPr>
          <w:color w:val="000000" w:themeColor="text1"/>
          <w:highlight w:val="yellow"/>
          <w:lang w:val="en-US"/>
        </w:rPr>
        <w:t xml:space="preserve">Since the DANCER participants are recruited as a comparison group for DESCRIBE patients, the clinical and neuropsychological assessment protocols are </w:t>
      </w:r>
      <w:r w:rsidR="00D302E0" w:rsidRPr="006F092E">
        <w:rPr>
          <w:color w:val="000000" w:themeColor="text1"/>
          <w:highlight w:val="yellow"/>
          <w:lang w:val="en-US"/>
        </w:rPr>
        <w:t>largely overlapping.</w:t>
      </w:r>
    </w:p>
    <w:p w14:paraId="74CFC7E3" w14:textId="560B4920" w:rsidR="00A541E8" w:rsidRPr="006F092E" w:rsidRDefault="001D1E6E" w:rsidP="00E46BEB">
      <w:pPr>
        <w:spacing w:before="120" w:line="360" w:lineRule="auto"/>
        <w:jc w:val="both"/>
        <w:rPr>
          <w:color w:val="000000" w:themeColor="text1"/>
          <w:highlight w:val="yellow"/>
          <w:lang w:val="en-US"/>
        </w:rPr>
      </w:pPr>
      <w:r w:rsidRPr="006F092E">
        <w:rPr>
          <w:color w:val="000000" w:themeColor="text1"/>
          <w:highlight w:val="yellow"/>
          <w:lang w:val="en-US"/>
        </w:rPr>
        <w:t xml:space="preserve">To match age differences from </w:t>
      </w:r>
      <w:r w:rsidR="0097383E" w:rsidRPr="006F092E">
        <w:rPr>
          <w:color w:val="000000" w:themeColor="text1"/>
          <w:highlight w:val="yellow"/>
          <w:lang w:val="en-US"/>
        </w:rPr>
        <w:t xml:space="preserve">the DESCRIBE </w:t>
      </w:r>
      <w:proofErr w:type="spellStart"/>
      <w:r w:rsidRPr="006F092E">
        <w:rPr>
          <w:color w:val="000000" w:themeColor="text1"/>
          <w:highlight w:val="yellow"/>
          <w:lang w:val="en-US"/>
        </w:rPr>
        <w:t>bvFTD</w:t>
      </w:r>
      <w:proofErr w:type="spellEnd"/>
      <w:r w:rsidRPr="006F092E">
        <w:rPr>
          <w:color w:val="000000" w:themeColor="text1"/>
          <w:highlight w:val="yellow"/>
          <w:lang w:val="en-US"/>
        </w:rPr>
        <w:t xml:space="preserve"> cohort, </w:t>
      </w:r>
      <w:r w:rsidR="00541586" w:rsidRPr="006F092E">
        <w:rPr>
          <w:color w:val="000000" w:themeColor="text1"/>
          <w:highlight w:val="yellow"/>
          <w:lang w:val="en-US"/>
        </w:rPr>
        <w:t>another</w:t>
      </w:r>
      <w:r w:rsidRPr="006F092E">
        <w:rPr>
          <w:color w:val="000000" w:themeColor="text1"/>
          <w:highlight w:val="yellow"/>
          <w:lang w:val="en-US"/>
        </w:rPr>
        <w:t xml:space="preserve"> </w:t>
      </w:r>
      <w:r w:rsidR="00541586" w:rsidRPr="006F092E">
        <w:rPr>
          <w:color w:val="000000" w:themeColor="text1"/>
          <w:highlight w:val="yellow"/>
          <w:lang w:val="en-US"/>
        </w:rPr>
        <w:t>N=</w:t>
      </w:r>
      <w:r w:rsidRPr="006F092E">
        <w:rPr>
          <w:color w:val="000000" w:themeColor="text1"/>
          <w:highlight w:val="yellow"/>
          <w:lang w:val="en-US"/>
        </w:rPr>
        <w:t>16</w:t>
      </w:r>
      <w:r w:rsidR="00541586" w:rsidRPr="006F092E">
        <w:rPr>
          <w:color w:val="000000" w:themeColor="text1"/>
          <w:highlight w:val="yellow"/>
          <w:lang w:val="en-US"/>
        </w:rPr>
        <w:t xml:space="preserve"> HC participants</w:t>
      </w:r>
      <w:r w:rsidRPr="006F092E">
        <w:rPr>
          <w:color w:val="000000" w:themeColor="text1"/>
          <w:highlight w:val="yellow"/>
          <w:lang w:val="en-US"/>
        </w:rPr>
        <w:t xml:space="preserve"> from the DELCODE </w:t>
      </w:r>
      <w:r w:rsidR="00541586" w:rsidRPr="006F092E">
        <w:rPr>
          <w:color w:val="000000" w:themeColor="text1"/>
          <w:highlight w:val="yellow"/>
          <w:lang w:val="en-US"/>
        </w:rPr>
        <w:t>study</w:t>
      </w:r>
      <w:r w:rsidR="00A541E8" w:rsidRPr="006F092E">
        <w:rPr>
          <w:color w:val="000000" w:themeColor="text1"/>
          <w:highlight w:val="yellow"/>
          <w:lang w:val="en-US"/>
        </w:rPr>
        <w:t>, which focuses on the preclinical stage of Alzheimer’s disease</w:t>
      </w:r>
      <w:r w:rsidRPr="006F092E">
        <w:rPr>
          <w:color w:val="000000" w:themeColor="text1"/>
          <w:highlight w:val="yellow"/>
          <w:lang w:val="en-US"/>
        </w:rPr>
        <w:t xml:space="preserve"> </w:t>
      </w:r>
      <w:r w:rsidR="00DC3459" w:rsidRPr="006F092E">
        <w:rPr>
          <w:color w:val="000000" w:themeColor="text1"/>
          <w:highlight w:val="yellow"/>
          <w:lang w:val="en-US"/>
        </w:rPr>
        <w:fldChar w:fldCharType="begin"/>
      </w:r>
      <w:r w:rsidR="00E46BEB" w:rsidRPr="006F092E">
        <w:rPr>
          <w:color w:val="000000" w:themeColor="text1"/>
          <w:highlight w:val="yellow"/>
          <w:lang w:val="en-US"/>
        </w:rPr>
        <w:instrText xml:space="preserve"> ADDIN ZOTERO_ITEM CSL_CITATION {"citationID":"VcjfBltG","properties":{"formattedCitation":"(Jessen et al., 2018)","plainCitation":"(Jessen et al., 2018)","noteIndex":0},"citationItems":[{"id":5334,"uris":["http://zotero.org/users/1784178/items/IMWXXZCB"],"itemData":{"id":5334,"type":"article-journal","abstract":"BACKGROUND: Deep phenotyping and longitudinal assessment of predementia at-risk states of Alzheimer's disease (AD) are required to define populations and outcomes for dementia prevention trials. Subjective cognitive decline (SCD) is a pre-mild cognitive impairment (pre-MCI) at-risk state of dementia, which emerges as a highly promising target for AD prevention.\nMETHODS: The German Center for Neurodegenerative Diseases (DZNE) is conducting the multicenter DZNE-Longitudinal Cognitive Impairment and Dementia Study (DELCODE), which focuses on the characterization of SCD in patients recruited from memory clinics. In addition, individuals with amnestic MCI, mild Alzheimer's dementia patients, first-degree relatives of patients with Alzheimer's dementia, and cognitively unimpaired control subjects are studied. The total number of subjects to be enrolled is 1000. Participants receive extensive clinical and neuropsychological assessments, magnetic resonance imaging, positron emission tomography, and biomaterial collection is perfomed. In this publication, we report cognitive and clinical data as well as apolipoprotein E (APOE) genotype and cerebrospinal fluid (CSF) biomarker results of the first 394 baseline data sets.\nRESULTS: In comparison with the control group, patients with SCD showed slightly poorer performance on cognitive and functional measures (Alzheimer's Disease Assessment Scale-cognitive part, Clinical Dementia Rating, Functional Activities Questionnaire), with all mean scores in a range which would be considered unimpaired. APOE4 genotype was enriched in the SCD group in comparison to what would be expected in the population and the frequency was significantly higher in comparison to the control group. CSF Aβ42 was lower in the SCD group in comparison to the control group at a statistical trend with age as a covariate. There were no group differences in Tau or pTau concentrations between the SCD and the control groups. The differences in all measures between the MCI group and the AD group were as expected.\nCONCLUSIONS: The initial baseline data for DELCODE support the approach of using SCD in patients recruited through memory clinics as an enrichment strategy for late-stage preclinical AD. This is indicated by slightly lower performance in a range of measures in SCD in comparison to the control subjects as well as by enriched APOE4 frequency and lower CSF Aβ42 concentration.\nTRIAL REGISTRATION: German Clinical Trials Register DRKS00007966 . Registered 4 May 2015.","container-title":"Alzheimer's Research &amp; Therapy","DOI":"10.1186/s13195-017-0314-2","ISSN":"1758-9193","issue":"1","journalAbbreviation":"Alzheimers Res Ther","language":"eng","note":"PMID: 29415768\nPMCID: PMC5802096","page":"15","source":"PubMed","title":"Design and first baseline data of the DZNE multicenter observational study on predementia Alzheimer's disease (DELCODE)","volume":"10","author":[{"family":"Jessen","given":"Frank"},{"family":"Spottke","given":"Annika"},{"family":"Boecker","given":"Henning"},{"family":"Brosseron","given":"Frederic"},{"family":"Buerger","given":"Katharina"},{"family":"Catak","given":"Cihan"},{"family":"Fliessbach","given":"Klaus"},{"family":"Franke","given":"Christiana"},{"family":"Fuentes","given":"Manuel"},{"family":"Heneka","given":"Michael T."},{"family":"Janowitz","given":"Daniel"},{"family":"Kilimann","given":"Ingo"},{"family":"Laske","given":"Christoph"},{"family":"Menne","given":"Felix"},{"family":"Nestor","given":"Peter"},{"family":"Peters","given":"Oliver"},{"family":"Priller","given":"Josef"},{"family":"Pross","given":"Verena"},{"family":"Ramirez","given":"Alfredo"},{"family":"Schneider","given":"Anja"},{"family":"Speck","given":"Oliver"},{"family":"Spruth","given":"Eike Jakob"},{"family":"Teipel","given":"Stefan"},{"family":"Vukovich","given":"Ruth"},{"family":"Westerteicher","given":"Christine"},{"family":"Wiltfang","given":"Jens"},{"family":"Wolfsgruber","given":"Steffen"},{"family":"Wagner","given":"Michael"},{"family":"Düzel","given":"Emrah"}],"issued":{"date-parts":[["2018",2,7]]}}}],"schema":"https://github.com/citation-style-language/schema/raw/master/csl-citation.json"} </w:instrText>
      </w:r>
      <w:r w:rsidR="00DC3459" w:rsidRPr="006F092E">
        <w:rPr>
          <w:color w:val="000000" w:themeColor="text1"/>
          <w:highlight w:val="yellow"/>
          <w:lang w:val="en-US"/>
        </w:rPr>
        <w:fldChar w:fldCharType="separate"/>
      </w:r>
      <w:r w:rsidR="00E46BEB" w:rsidRPr="006F092E">
        <w:rPr>
          <w:noProof/>
          <w:color w:val="000000" w:themeColor="text1"/>
          <w:highlight w:val="yellow"/>
          <w:lang w:val="en-US"/>
        </w:rPr>
        <w:t>(Jessen et al., 2018)</w:t>
      </w:r>
      <w:r w:rsidR="00DC3459" w:rsidRPr="006F092E">
        <w:rPr>
          <w:color w:val="000000" w:themeColor="text1"/>
          <w:highlight w:val="yellow"/>
          <w:lang w:val="en-US"/>
        </w:rPr>
        <w:fldChar w:fldCharType="end"/>
      </w:r>
      <w:r w:rsidR="004617C9" w:rsidRPr="006F092E">
        <w:rPr>
          <w:color w:val="000000" w:themeColor="text1"/>
          <w:highlight w:val="yellow"/>
          <w:lang w:val="en-US"/>
        </w:rPr>
        <w:t>: These participants were</w:t>
      </w:r>
      <w:r w:rsidR="002D46BF" w:rsidRPr="006F092E">
        <w:rPr>
          <w:color w:val="000000" w:themeColor="text1"/>
          <w:highlight w:val="yellow"/>
          <w:lang w:val="en-US"/>
        </w:rPr>
        <w:t xml:space="preserve"> recruited via advertisement, had to be &gt;=60 years, </w:t>
      </w:r>
      <w:r w:rsidR="00593A03" w:rsidRPr="006F092E">
        <w:rPr>
          <w:color w:val="000000" w:themeColor="text1"/>
          <w:highlight w:val="yellow"/>
          <w:lang w:val="en-US"/>
        </w:rPr>
        <w:t>show</w:t>
      </w:r>
      <w:r w:rsidR="002D46BF" w:rsidRPr="006F092E">
        <w:rPr>
          <w:color w:val="000000" w:themeColor="text1"/>
          <w:highlight w:val="yellow"/>
          <w:lang w:val="en-US"/>
        </w:rPr>
        <w:t xml:space="preserve"> fluent German language skills, </w:t>
      </w:r>
      <w:r w:rsidR="00403875" w:rsidRPr="006F092E">
        <w:rPr>
          <w:color w:val="000000" w:themeColor="text1"/>
          <w:highlight w:val="yellow"/>
          <w:lang w:val="en-US"/>
        </w:rPr>
        <w:t>negate cognitive problems, present</w:t>
      </w:r>
      <w:r w:rsidR="00593A03" w:rsidRPr="006F092E">
        <w:rPr>
          <w:color w:val="000000" w:themeColor="text1"/>
          <w:highlight w:val="yellow"/>
          <w:lang w:val="en-US"/>
        </w:rPr>
        <w:t xml:space="preserve"> unimpaired neuropsychological test performance), </w:t>
      </w:r>
      <w:r w:rsidR="00403875" w:rsidRPr="006F092E">
        <w:rPr>
          <w:color w:val="000000" w:themeColor="text1"/>
          <w:highlight w:val="yellow"/>
          <w:lang w:val="en-US"/>
        </w:rPr>
        <w:t>and should not report a first-degree relative with dementia. Similar to DESCRIBE and DANCER, exclusion criteria</w:t>
      </w:r>
      <w:r w:rsidR="000443E9" w:rsidRPr="006F092E">
        <w:rPr>
          <w:color w:val="000000" w:themeColor="text1"/>
          <w:highlight w:val="yellow"/>
          <w:lang w:val="en-US"/>
        </w:rPr>
        <w:t xml:space="preserve"> included</w:t>
      </w:r>
      <w:r w:rsidR="00593A03" w:rsidRPr="006F092E">
        <w:rPr>
          <w:color w:val="000000" w:themeColor="text1"/>
          <w:highlight w:val="yellow"/>
          <w:lang w:val="en-US"/>
        </w:rPr>
        <w:t xml:space="preserve"> </w:t>
      </w:r>
      <w:r w:rsidR="000443E9" w:rsidRPr="006F092E">
        <w:rPr>
          <w:highlight w:val="yellow"/>
          <w:lang w:val="en-US"/>
        </w:rPr>
        <w:t>instable or severe medical conditions, previous or current psychological, psychiatric and physical illnesses which precluded study participation, and neurodegenerative diseases other than Alzheimer’s Disease.</w:t>
      </w:r>
      <w:r w:rsidR="004617C9" w:rsidRPr="006F092E">
        <w:rPr>
          <w:color w:val="000000" w:themeColor="text1"/>
          <w:highlight w:val="yellow"/>
          <w:lang w:val="en-US"/>
        </w:rPr>
        <w:t xml:space="preserve"> Detailed inclusion and exclusion criteria are provided elsewhere</w:t>
      </w:r>
      <w:r w:rsidR="00403875" w:rsidRPr="006F092E">
        <w:rPr>
          <w:color w:val="000000" w:themeColor="text1"/>
          <w:highlight w:val="yellow"/>
          <w:lang w:val="en-US"/>
        </w:rPr>
        <w:t xml:space="preserve"> </w:t>
      </w:r>
      <w:r w:rsidR="00DC3459" w:rsidRPr="006F092E">
        <w:rPr>
          <w:color w:val="000000" w:themeColor="text1"/>
          <w:highlight w:val="yellow"/>
          <w:lang w:val="en-US"/>
        </w:rPr>
        <w:fldChar w:fldCharType="begin"/>
      </w:r>
      <w:r w:rsidR="00DC3459" w:rsidRPr="006F092E">
        <w:rPr>
          <w:color w:val="000000" w:themeColor="text1"/>
          <w:highlight w:val="yellow"/>
          <w:lang w:val="en-US"/>
        </w:rPr>
        <w:instrText xml:space="preserve"> ADDIN ZOTERO_ITEM CSL_CITATION {"citationID":"jOCm5IGJ","properties":{"formattedCitation":"(Jessen et al., 2018)","plainCitation":"(Jessen et al., 2018)","noteIndex":0},"citationItems":[{"id":5334,"uris":["http://zotero.org/users/1784178/items/IMWXXZCB"],"itemData":{"id":5334,"type":"article-journal","abstract":"BACKGROUND: Deep phenotyping and longitudinal assessment of predementia at-risk states of Alzheimer's disease (AD) are required to define populations and outcomes for dementia prevention trials. Subjective cognitive decline (SCD) is a pre-mild cognitive impairment (pre-MCI) at-risk state of dementia, which emerges as a highly promising target for AD prevention.\nMETHODS: The German Center for Neurodegenerative Diseases (DZNE) is conducting the multicenter DZNE-Longitudinal Cognitive Impairment and Dementia Study (DELCODE), which focuses on the characterization of SCD in patients recruited from memory clinics. In addition, individuals with amnestic MCI, mild Alzheimer's dementia patients, first-degree relatives of patients with Alzheimer's dementia, and cognitively unimpaired control subjects are studied. The total number of subjects to be enrolled is 1000. Participants receive extensive clinical and neuropsychological assessments, magnetic resonance imaging, positron emission tomography, and biomaterial collection is perfomed. In this publication, we report cognitive and clinical data as well as apolipoprotein E (APOE) genotype and cerebrospinal fluid (CSF) biomarker results of the first 394 baseline data sets.\nRESULTS: In comparison with the control group, patients with SCD showed slightly poorer performance on cognitive and functional measures (Alzheimer's Disease Assessment Scale-cognitive part, Clinical Dementia Rating, Functional Activities Questionnaire), with all mean scores in a range which would be considered unimpaired. APOE4 genotype was enriched in the SCD group in comparison to what would be expected in the population and the frequency was significantly higher in comparison to the control group. CSF Aβ42 was lower in the SCD group in comparison to the control group at a statistical trend with age as a covariate. There were no group differences in Tau or pTau concentrations between the SCD and the control groups. The differences in all measures between the MCI group and the AD group were as expected.\nCONCLUSIONS: The initial baseline data for DELCODE support the approach of using SCD in patients recruited through memory clinics as an enrichment strategy for late-stage preclinical AD. This is indicated by slightly lower performance in a range of measures in SCD in comparison to the control subjects as well as by enriched APOE4 frequency and lower CSF Aβ42 concentration.\nTRIAL REGISTRATION: German Clinical Trials Register DRKS00007966 . Registered 4 May 2015.","container-title":"Alzheimer's Research &amp; Therapy","DOI":"10.1186/s13195-017-0314-2","ISSN":"1758-9193","issue":"1","journalAbbreviation":"Alzheimers Res Ther","language":"eng","note":"PMID: 29415768\nPMCID: PMC5802096","page":"15","source":"PubMed","title":"Design and first baseline data of the DZNE multicenter observational study on predementia Alzheimer's disease (DELCODE)","volume":"10","author":[{"family":"Jessen","given":"Frank"},{"family":"Spottke","given":"Annika"},{"family":"Boecker","given":"Henning"},{"family":"Brosseron","given":"Frederic"},{"family":"Buerger","given":"Katharina"},{"family":"Catak","given":"Cihan"},{"family":"Fliessbach","given":"Klaus"},{"family":"Franke","given":"Christiana"},{"family":"Fuentes","given":"Manuel"},{"family":"Heneka","given":"Michael T."},{"family":"Janowitz","given":"Daniel"},{"family":"Kilimann","given":"Ingo"},{"family":"Laske","given":"Christoph"},{"family":"Menne","given":"Felix"},{"family":"Nestor","given":"Peter"},{"family":"Peters","given":"Oliver"},{"family":"Priller","given":"Josef"},{"family":"Pross","given":"Verena"},{"family":"Ramirez","given":"Alfredo"},{"family":"Schneider","given":"Anja"},{"family":"Speck","given":"Oliver"},{"family":"Spruth","given":"Eike Jakob"},{"family":"Teipel","given":"Stefan"},{"family":"Vukovich","given":"Ruth"},{"family":"Westerteicher","given":"Christine"},{"family":"Wiltfang","given":"Jens"},{"family":"Wolfsgruber","given":"Steffen"},{"family":"Wagner","given":"Michael"},{"family":"Düzel","given":"Emrah"}],"issued":{"date-parts":[["2018",2,7]]}}}],"schema":"https://github.com/citation-style-language/schema/raw/master/csl-citation.json"} </w:instrText>
      </w:r>
      <w:r w:rsidR="00DC3459" w:rsidRPr="006F092E">
        <w:rPr>
          <w:color w:val="000000" w:themeColor="text1"/>
          <w:highlight w:val="yellow"/>
          <w:lang w:val="en-US"/>
        </w:rPr>
        <w:fldChar w:fldCharType="separate"/>
      </w:r>
      <w:r w:rsidR="00DC3459" w:rsidRPr="006F092E">
        <w:rPr>
          <w:noProof/>
          <w:color w:val="000000" w:themeColor="text1"/>
          <w:highlight w:val="yellow"/>
          <w:lang w:val="en-US"/>
        </w:rPr>
        <w:t>(Jessen et al., 2018)</w:t>
      </w:r>
      <w:r w:rsidR="00DC3459" w:rsidRPr="006F092E">
        <w:rPr>
          <w:color w:val="000000" w:themeColor="text1"/>
          <w:highlight w:val="yellow"/>
          <w:lang w:val="en-US"/>
        </w:rPr>
        <w:fldChar w:fldCharType="end"/>
      </w:r>
      <w:r w:rsidRPr="006F092E">
        <w:rPr>
          <w:color w:val="000000" w:themeColor="text1"/>
          <w:highlight w:val="yellow"/>
          <w:lang w:val="en-US"/>
        </w:rPr>
        <w:t>.</w:t>
      </w:r>
      <w:r w:rsidR="00541586" w:rsidRPr="006F092E">
        <w:rPr>
          <w:color w:val="000000" w:themeColor="text1"/>
          <w:highlight w:val="yellow"/>
          <w:lang w:val="en-US"/>
        </w:rPr>
        <w:t xml:space="preserve"> </w:t>
      </w:r>
    </w:p>
    <w:p w14:paraId="077146F6" w14:textId="1A00B510" w:rsidR="00A541E8" w:rsidRPr="00E46BEB" w:rsidRDefault="000443E9" w:rsidP="00E46BEB">
      <w:pPr>
        <w:spacing w:before="120" w:line="360" w:lineRule="auto"/>
        <w:jc w:val="both"/>
        <w:rPr>
          <w:color w:val="000000" w:themeColor="text1"/>
          <w:lang w:val="en-US"/>
        </w:rPr>
      </w:pPr>
      <w:r w:rsidRPr="006F092E">
        <w:rPr>
          <w:color w:val="000000" w:themeColor="text1"/>
          <w:highlight w:val="yellow"/>
          <w:lang w:val="en-US"/>
        </w:rPr>
        <w:t>Again,</w:t>
      </w:r>
      <w:r w:rsidR="001D1E6E" w:rsidRPr="006F092E">
        <w:rPr>
          <w:color w:val="000000" w:themeColor="text1"/>
          <w:highlight w:val="yellow"/>
          <w:lang w:val="en-US"/>
        </w:rPr>
        <w:t xml:space="preserve"> genetic </w:t>
      </w:r>
      <w:r w:rsidRPr="006F092E">
        <w:rPr>
          <w:color w:val="000000" w:themeColor="text1"/>
          <w:highlight w:val="yellow"/>
          <w:lang w:val="en-US"/>
        </w:rPr>
        <w:t xml:space="preserve">characterization of </w:t>
      </w:r>
      <w:r w:rsidR="00A541E8" w:rsidRPr="006F092E">
        <w:rPr>
          <w:color w:val="000000" w:themeColor="text1"/>
          <w:highlight w:val="yellow"/>
          <w:lang w:val="en-US"/>
        </w:rPr>
        <w:t xml:space="preserve">FTD-related mutations was not available for these participants. Moreover, the clinical and neuropsychological assessment batteries for DELCODE were overlapping, but not identical with DESCRIBE and DANCER, meaning that some </w:t>
      </w:r>
      <w:proofErr w:type="spellStart"/>
      <w:r w:rsidR="00A541E8" w:rsidRPr="006F092E">
        <w:rPr>
          <w:color w:val="000000" w:themeColor="text1"/>
          <w:highlight w:val="yellow"/>
          <w:lang w:val="en-US"/>
        </w:rPr>
        <w:t>behavioural</w:t>
      </w:r>
      <w:proofErr w:type="spellEnd"/>
      <w:r w:rsidR="00A541E8" w:rsidRPr="006F092E">
        <w:rPr>
          <w:color w:val="000000" w:themeColor="text1"/>
          <w:highlight w:val="yellow"/>
          <w:lang w:val="en-US"/>
        </w:rPr>
        <w:t xml:space="preserve"> measures were not available for these control participants.</w:t>
      </w:r>
    </w:p>
    <w:p w14:paraId="6CBF779C" w14:textId="517EE3DC" w:rsidR="0044208C" w:rsidRDefault="00053104" w:rsidP="00E46BEB">
      <w:pPr>
        <w:spacing w:before="120" w:line="360" w:lineRule="auto"/>
        <w:jc w:val="both"/>
        <w:rPr>
          <w:lang w:val="en-US"/>
        </w:rPr>
      </w:pPr>
      <w:r>
        <w:rPr>
          <w:lang w:val="en-US"/>
        </w:rPr>
        <w:t xml:space="preserve">Individuals were informed about the study protocol and signed the consent. The study was approved </w:t>
      </w:r>
      <w:r w:rsidRPr="00C31677">
        <w:rPr>
          <w:lang w:val="en-US"/>
        </w:rPr>
        <w:t>by the local ethics committee</w:t>
      </w:r>
      <w:r>
        <w:rPr>
          <w:lang w:val="en-US"/>
        </w:rPr>
        <w:t>s of the participating sites under coordination</w:t>
      </w:r>
      <w:r w:rsidRPr="00C31677">
        <w:rPr>
          <w:lang w:val="en-US"/>
        </w:rPr>
        <w:t xml:space="preserve"> of </w:t>
      </w:r>
      <w:r>
        <w:rPr>
          <w:lang w:val="en-US"/>
        </w:rPr>
        <w:t xml:space="preserve">the </w:t>
      </w:r>
      <w:r w:rsidRPr="00C31677">
        <w:rPr>
          <w:lang w:val="en-US"/>
        </w:rPr>
        <w:t>University Hospital Bonn (Medical Faculty of Rheinische Friedrich-</w:t>
      </w:r>
      <w:proofErr w:type="spellStart"/>
      <w:r w:rsidRPr="00C31677">
        <w:rPr>
          <w:lang w:val="en-US"/>
        </w:rPr>
        <w:t>Wilhelms</w:t>
      </w:r>
      <w:proofErr w:type="spellEnd"/>
      <w:r w:rsidRPr="00C31677">
        <w:rPr>
          <w:lang w:val="en-US"/>
        </w:rPr>
        <w:t xml:space="preserve">-Universität Bonn: </w:t>
      </w:r>
      <w:proofErr w:type="spellStart"/>
      <w:r w:rsidRPr="00604ED8">
        <w:rPr>
          <w:lang w:val="en-US"/>
        </w:rPr>
        <w:t>Lfd</w:t>
      </w:r>
      <w:proofErr w:type="spellEnd"/>
      <w:r w:rsidRPr="00604ED8">
        <w:rPr>
          <w:lang w:val="en-US"/>
        </w:rPr>
        <w:t>. Nr. 311/14</w:t>
      </w:r>
      <w:r w:rsidR="00236C0F">
        <w:rPr>
          <w:lang w:val="en-US"/>
        </w:rPr>
        <w:t xml:space="preserve"> </w:t>
      </w:r>
      <w:r w:rsidR="00236C0F" w:rsidRPr="009C44CC">
        <w:rPr>
          <w:highlight w:val="yellow"/>
          <w:lang w:val="en-US"/>
        </w:rPr>
        <w:t xml:space="preserve">(DESCRIBE), 117/13 (DELCODE), </w:t>
      </w:r>
      <w:r w:rsidR="00CF1529" w:rsidRPr="009C44CC">
        <w:rPr>
          <w:highlight w:val="yellow"/>
          <w:lang w:val="en-US"/>
        </w:rPr>
        <w:t>312</w:t>
      </w:r>
      <w:r w:rsidR="00BD3065" w:rsidRPr="009C44CC">
        <w:rPr>
          <w:highlight w:val="yellow"/>
          <w:lang w:val="en-US"/>
        </w:rPr>
        <w:t>/</w:t>
      </w:r>
      <w:r w:rsidR="00CF1529" w:rsidRPr="009C44CC">
        <w:rPr>
          <w:highlight w:val="yellow"/>
          <w:lang w:val="en-US"/>
        </w:rPr>
        <w:t>14</w:t>
      </w:r>
      <w:r w:rsidR="00BD3065" w:rsidRPr="009C44CC">
        <w:rPr>
          <w:highlight w:val="yellow"/>
          <w:lang w:val="en-US"/>
        </w:rPr>
        <w:t xml:space="preserve"> (DANCER)</w:t>
      </w:r>
      <w:r w:rsidRPr="009C44CC">
        <w:rPr>
          <w:highlight w:val="yellow"/>
          <w:lang w:val="en-US"/>
        </w:rPr>
        <w:t>),</w:t>
      </w:r>
      <w:r>
        <w:rPr>
          <w:lang w:val="en-US"/>
        </w:rPr>
        <w:t xml:space="preserve"> and in </w:t>
      </w:r>
      <w:r w:rsidRPr="00C31677">
        <w:rPr>
          <w:lang w:val="en-US"/>
        </w:rPr>
        <w:t>accord</w:t>
      </w:r>
      <w:r>
        <w:rPr>
          <w:lang w:val="en-US"/>
        </w:rPr>
        <w:t>ance</w:t>
      </w:r>
      <w:r w:rsidRPr="00C31677">
        <w:rPr>
          <w:lang w:val="en-US"/>
        </w:rPr>
        <w:t xml:space="preserve"> </w:t>
      </w:r>
      <w:r>
        <w:rPr>
          <w:lang w:val="en-US"/>
        </w:rPr>
        <w:t>with</w:t>
      </w:r>
      <w:r w:rsidRPr="00C31677">
        <w:rPr>
          <w:lang w:val="en-US"/>
        </w:rPr>
        <w:t xml:space="preserve"> national legislation and the Declaration of Helsinki.</w:t>
      </w:r>
      <w:r>
        <w:rPr>
          <w:lang w:val="en-US"/>
        </w:rPr>
        <w:t xml:space="preserve"> </w:t>
      </w:r>
    </w:p>
    <w:p w14:paraId="17C00FFA" w14:textId="78AB808D" w:rsidR="00C11E1A" w:rsidRDefault="00C11E1A" w:rsidP="00E46BEB">
      <w:pPr>
        <w:spacing w:before="120" w:line="360" w:lineRule="auto"/>
        <w:jc w:val="both"/>
        <w:rPr>
          <w:lang w:val="en-US"/>
        </w:rPr>
      </w:pPr>
      <w:r>
        <w:rPr>
          <w:lang w:val="en-US"/>
        </w:rPr>
        <w:t>Neuropsychological measures</w:t>
      </w:r>
    </w:p>
    <w:p w14:paraId="6829BF41" w14:textId="7FB3124B" w:rsidR="000549CF" w:rsidRDefault="00C11E1A" w:rsidP="00E46BEB">
      <w:pPr>
        <w:spacing w:before="120" w:line="360" w:lineRule="auto"/>
        <w:jc w:val="both"/>
        <w:rPr>
          <w:lang w:val="en-US"/>
        </w:rPr>
      </w:pPr>
      <w:r w:rsidRPr="00020081">
        <w:rPr>
          <w:lang w:val="en-US"/>
        </w:rPr>
        <w:t xml:space="preserve">A German adaptation of the Hayling Sentence Completion Test </w:t>
      </w:r>
      <w:r w:rsidRPr="00020081">
        <w:rPr>
          <w:lang w:val="en-US"/>
        </w:rPr>
        <w:fldChar w:fldCharType="begin"/>
      </w:r>
      <w:r w:rsidR="003C6758" w:rsidRPr="00020081">
        <w:rPr>
          <w:lang w:val="en-US"/>
        </w:rPr>
        <w:instrText xml:space="preserve"> ADDIN ZOTERO_ITEM CSL_CITATION {"citationID":"TQtcpyDo","properties":{"formattedCitation":"({\\i{}Burgess, P. &amp; Shallice, T. (1997) The Hayling and Brixton Tests. Test Manual. Bury St Edmunds, UK: Thames Valley Test Company.}, n.d.)","plainCitation":"(Burgess, P. &amp; Shallice, T. (1997) The Hayling and Brixton Tests. Test Manual. Bury St Edmunds, UK: Thames Valley Test Company., n.d.)","dontUpdate":true,"noteIndex":0},"citationItems":[{"id":4055,"uris":["http://zotero.org/users/1784178/items/R9JR8RZY"],"itemData":{"id":4055,"type":"document","title":"Burgess, P. &amp; Shallice, T. (1997) The Hayling and Brixton Tests. Test manual. Bury St Edmunds, UK: Thames Valley Test Company."}}],"schema":"https://github.com/citation-style-language/schema/raw/master/csl-citation.json"} </w:instrText>
      </w:r>
      <w:r w:rsidRPr="00020081">
        <w:rPr>
          <w:lang w:val="en-US"/>
        </w:rPr>
        <w:fldChar w:fldCharType="separate"/>
      </w:r>
      <w:r w:rsidRPr="00020081">
        <w:rPr>
          <w:lang w:val="en-GB"/>
        </w:rPr>
        <w:t>(</w:t>
      </w:r>
      <w:r w:rsidRPr="00020081">
        <w:rPr>
          <w:i/>
          <w:iCs/>
          <w:lang w:val="en-GB"/>
        </w:rPr>
        <w:t>Burgess, P. &amp; Shallice, T. (1997)</w:t>
      </w:r>
      <w:r w:rsidRPr="00020081">
        <w:rPr>
          <w:lang w:val="en-US"/>
        </w:rPr>
        <w:fldChar w:fldCharType="end"/>
      </w:r>
      <w:r w:rsidRPr="00020081">
        <w:rPr>
          <w:lang w:val="en-US"/>
        </w:rPr>
        <w:t xml:space="preserve"> was used to measure </w:t>
      </w:r>
      <w:r w:rsidRPr="009C44CC">
        <w:rPr>
          <w:highlight w:val="yellow"/>
          <w:lang w:val="en-US"/>
        </w:rPr>
        <w:t xml:space="preserve">cognitive inhibition </w:t>
      </w:r>
      <w:r w:rsidR="0092284E" w:rsidRPr="009C44CC">
        <w:rPr>
          <w:highlight w:val="yellow"/>
          <w:lang w:val="en-US"/>
        </w:rPr>
        <w:fldChar w:fldCharType="begin"/>
      </w:r>
      <w:r w:rsidR="0092284E" w:rsidRPr="009C44CC">
        <w:rPr>
          <w:highlight w:val="yellow"/>
          <w:lang w:val="en-US"/>
        </w:rPr>
        <w:instrText xml:space="preserve"> ADDIN ZOTERO_ITEM CSL_CITATION {"citationID":"QeqllcNA","properties":{"formattedCitation":"(Montembeault et al., 2020)","plainCitation":"(Montembeault et al., 2020)","noteIndex":0},"citationItems":[{"id":5337,"uris":["http://zotero.org/users/1784178/items/X7HPE3NP"],"itemData":{"id":5337,"type":"article-journal","abstract":"OBJECTIVE: To investigate cognitive inhibition in presymptomatic C9orf72 mutation carriers (C9+) and its associated neuroanatomical correlates.\nMETHODS: Thirty-eight presymptomatic C9orf72 mutation carriers (C9+, mean age 38.2±8.0 years) and 22 C9- controls from the PREV-DEMALS cohort were included in this study. They underwent a cognitive inhibition assessment with the Hayling Sentence Completion Test (HSCT; time to completion (part B-part A); error score in part B) as well as a 3D MRI.\nRESULTS: C9+ individuals younger than 40 years had higher error scores (part B) but equivalent HSCT time to completion (part B-part A) compared to C9- individuals. C9+ individuals older than 40 years had both higher error scores and longer time to completion. HSCT time to completion significantly predicted the proximity to estimated clinical conversion from presymptomatic to symptomatic phase in C9+ individuals (based on the average age at onset of affected relatives in the family). Anatomically, we found that HSCT time to completion was associated with the integrity of the cerebellum.\nCONCLUSION: The HSCT represents a good marker of cognitive inhibition impairments in C9+ and of proximity to clinical conversion. This study also highlights the key role of the cerebellum in cognitive inhibition.","container-title":"Journal of Neurology, Neurosurgery, and Psychiatry","DOI":"10.1136/jnnp-2019-322242","ISSN":"1468-330X","issue":"4","journalAbbreviation":"J Neurol Neurosurg Psychiatry","language":"eng","note":"PMID: 32054668","page":"366-372","source":"PubMed","title":"Cognitive inhibition impairments in presymptomatic C9orf72 carriers","volume":"91","author":[{"family":"Montembeault","given":"Maxime"},{"family":"Sayah","given":"Sabrina"},{"family":"Rinaldi","given":"Daisy"},{"family":"Le Toullec","given":"Benjamin"},{"family":"Bertrand","given":"Anne"},{"family":"Funkiewiez","given":"Aurélie"},{"family":"Saracino","given":"Dario"},{"family":"Camuzat","given":"Agnès"},{"family":"Couratier","given":"Philippe"},{"family":"Chouly","given":"Marianne"},{"family":"Hannequin","given":"Didier"},{"family":"Aubier-Girard","given":"Carole"},{"family":"Pasquier","given":"Florence"},{"family":"Delbeuck","given":"Xavier"},{"family":"Colliot","given":"Olivier"},{"family":"Batrancourt","given":"Bénédicte"},{"family":"Azuar","given":"Carole"},{"family":"Lévy","given":"Richard"},{"family":"Dubois","given":"Bruno"},{"family":"Le Ber","given":"Isabelle"},{"family":"Migliaccio","given":"Raffaella"},{"literal":"PrevDemAls study group"}],"issued":{"date-parts":[["2020",4]]}}}],"schema":"https://github.com/citation-style-language/schema/raw/master/csl-citation.json"} </w:instrText>
      </w:r>
      <w:r w:rsidR="0092284E" w:rsidRPr="009C44CC">
        <w:rPr>
          <w:highlight w:val="yellow"/>
          <w:lang w:val="en-US"/>
        </w:rPr>
        <w:fldChar w:fldCharType="separate"/>
      </w:r>
      <w:r w:rsidR="0092284E" w:rsidRPr="009C44CC">
        <w:rPr>
          <w:noProof/>
          <w:highlight w:val="yellow"/>
          <w:lang w:val="en-US"/>
        </w:rPr>
        <w:t>(Montembeault et al., 2020)</w:t>
      </w:r>
      <w:r w:rsidR="0092284E" w:rsidRPr="009C44CC">
        <w:rPr>
          <w:highlight w:val="yellow"/>
          <w:lang w:val="en-US"/>
        </w:rPr>
        <w:fldChar w:fldCharType="end"/>
      </w:r>
      <w:r w:rsidRPr="009C44CC">
        <w:rPr>
          <w:highlight w:val="yellow"/>
          <w:lang w:val="en-US"/>
        </w:rPr>
        <w:t xml:space="preserve">. </w:t>
      </w:r>
      <w:r w:rsidR="000549CF" w:rsidRPr="009C44CC">
        <w:rPr>
          <w:highlight w:val="yellow"/>
          <w:lang w:val="en-US"/>
        </w:rPr>
        <w:t>It consists of two sentence completion tasks:</w:t>
      </w:r>
      <w:r w:rsidR="00CF1529" w:rsidRPr="009C44CC">
        <w:rPr>
          <w:highlight w:val="yellow"/>
          <w:lang w:val="en-US"/>
        </w:rPr>
        <w:t xml:space="preserve"> </w:t>
      </w:r>
      <w:r w:rsidR="000549CF" w:rsidRPr="009C44CC">
        <w:rPr>
          <w:highlight w:val="yellow"/>
          <w:lang w:val="en-US"/>
        </w:rPr>
        <w:t xml:space="preserve">1) using appropriate word (automatic condition, section A), and 2) using completely unconnected word (inhibition condition, section B). In each condition, participants listen to 15 sentences, in which the last word is missing. In the first condition (section A) individuals had to complete sentences as fast as possible with a semantically correct word clearly suggested by the context; in the second condition (section B) individuals </w:t>
      </w:r>
      <w:r w:rsidR="000549CF" w:rsidRPr="009C44CC">
        <w:rPr>
          <w:highlight w:val="yellow"/>
          <w:lang w:val="en-US"/>
        </w:rPr>
        <w:lastRenderedPageBreak/>
        <w:t>had to complete the sentences with a non-sense word, which requires them to suppress their automatic, semantically correct response. There are different outcomes of this test: latency, number of correct responses in each trial as well as the Hayling Time B-A (total time to complete sentences in section A subtracted from the total time to complete sentences in section B) and the Hayling error scores (reflecting category A and category B errors in section B). For section B, responses that might have reasonably finished the statement were classified as category A errors. Responses that were indirectly related to the statement but did not directly complete it fell under category B errors. Correct replies included sentence completions that had nothing to do with the original text.</w:t>
      </w:r>
    </w:p>
    <w:p w14:paraId="1ED41F4B" w14:textId="52F4332A" w:rsidR="00725CA3" w:rsidRDefault="00DC3459" w:rsidP="00E46BEB">
      <w:pPr>
        <w:spacing w:before="120" w:line="360" w:lineRule="auto"/>
        <w:jc w:val="both"/>
        <w:rPr>
          <w:lang w:val="en-US"/>
        </w:rPr>
      </w:pPr>
      <w:r w:rsidRPr="00020081">
        <w:rPr>
          <w:lang w:val="en-US"/>
        </w:rPr>
        <w:t>T</w:t>
      </w:r>
      <w:r w:rsidR="00C11E1A" w:rsidRPr="00020081">
        <w:rPr>
          <w:lang w:val="en-US"/>
        </w:rPr>
        <w:t xml:space="preserve">he German version of the digit span (DS) </w:t>
      </w:r>
      <w:r w:rsidR="00E2652E" w:rsidRPr="00020081">
        <w:rPr>
          <w:lang w:val="en-US"/>
        </w:rPr>
        <w:t xml:space="preserve">subtest </w:t>
      </w:r>
      <w:r w:rsidR="00C11E1A" w:rsidRPr="00020081">
        <w:rPr>
          <w:lang w:val="en-US"/>
        </w:rPr>
        <w:t>in the Wechsler Memory Scale-Revised</w:t>
      </w:r>
      <w:r w:rsidR="00F07168" w:rsidRPr="00020081">
        <w:rPr>
          <w:lang w:val="en-US"/>
        </w:rPr>
        <w:t xml:space="preserve"> </w:t>
      </w:r>
      <w:r w:rsidR="00F07168" w:rsidRPr="00020081">
        <w:rPr>
          <w:lang w:val="en-US"/>
        </w:rPr>
        <w:fldChar w:fldCharType="begin"/>
      </w:r>
      <w:r w:rsidR="00F07168" w:rsidRPr="00020081">
        <w:rPr>
          <w:lang w:val="en-US"/>
        </w:rPr>
        <w:instrText xml:space="preserve"> ADDIN ZOTERO_ITEM CSL_CITATION {"citationID":"NwftiIyw","properties":{"formattedCitation":"(H\\uc0\\u228{}rting &amp; Wechsler, 2000)","plainCitation":"(Härting &amp; Wechsler, 2000)","noteIndex":0},"citationItems":[{"id":4141,"uris":["http://zotero.org/users/1784178/items/Q33SVJDD"],"itemData":{"id":4141,"type":"book","ISBN":"978-3-456-83226-5","language":"German","note":"OCLC: 833526915","source":"Open WorldCat","title":"Wechsler-Gedächtnistest - revidierte Fassung WMS-R ; Manual ; deutsche Adaptation der revidierten Fassung der Wechsler Memory scale","author":[{"family":"Härting","given":"Charlotte"},{"family":"Wechsler","given":"David"}],"issued":{"date-parts":[["2000"]]}}}],"schema":"https://github.com/citation-style-language/schema/raw/master/csl-citation.json"} </w:instrText>
      </w:r>
      <w:r w:rsidR="00F07168" w:rsidRPr="00020081">
        <w:rPr>
          <w:lang w:val="en-US"/>
        </w:rPr>
        <w:fldChar w:fldCharType="separate"/>
      </w:r>
      <w:r w:rsidR="00F07168" w:rsidRPr="00020081">
        <w:rPr>
          <w:rFonts w:ascii="Calibri" w:cs="Calibri"/>
          <w:lang w:val="en-GB"/>
        </w:rPr>
        <w:t>(Härting &amp; Wechsler, 2000)</w:t>
      </w:r>
      <w:r w:rsidR="00F07168" w:rsidRPr="00020081">
        <w:rPr>
          <w:lang w:val="en-US"/>
        </w:rPr>
        <w:fldChar w:fldCharType="end"/>
      </w:r>
      <w:r w:rsidR="00725CA3" w:rsidRPr="00020081">
        <w:rPr>
          <w:lang w:val="en-US"/>
        </w:rPr>
        <w:t xml:space="preserve"> was performed.</w:t>
      </w:r>
      <w:r w:rsidR="00C11E1A" w:rsidRPr="00020081">
        <w:rPr>
          <w:lang w:val="en-US"/>
        </w:rPr>
        <w:t xml:space="preserve"> </w:t>
      </w:r>
      <w:r w:rsidR="00725CA3" w:rsidRPr="009C44CC">
        <w:rPr>
          <w:highlight w:val="yellow"/>
          <w:lang w:val="en-US"/>
        </w:rPr>
        <w:t xml:space="preserve">This test includes two scales DS forward as a measure of </w:t>
      </w:r>
      <w:r w:rsidR="006366ED" w:rsidRPr="009C44CC">
        <w:rPr>
          <w:highlight w:val="yellow"/>
          <w:lang w:val="en-US"/>
        </w:rPr>
        <w:t>short-term memory span</w:t>
      </w:r>
      <w:r w:rsidR="00725CA3" w:rsidRPr="009C44CC">
        <w:rPr>
          <w:highlight w:val="yellow"/>
          <w:lang w:val="en-US"/>
        </w:rPr>
        <w:t xml:space="preserve"> while DS backwards </w:t>
      </w:r>
      <w:r w:rsidR="006366ED" w:rsidRPr="009C44CC">
        <w:rPr>
          <w:highlight w:val="yellow"/>
          <w:lang w:val="en-US"/>
        </w:rPr>
        <w:t xml:space="preserve">served </w:t>
      </w:r>
      <w:r w:rsidR="00725CA3" w:rsidRPr="009C44CC">
        <w:rPr>
          <w:highlight w:val="yellow"/>
          <w:lang w:val="en-US"/>
        </w:rPr>
        <w:t xml:space="preserve">as a measure of </w:t>
      </w:r>
      <w:r w:rsidR="006366ED" w:rsidRPr="009C44CC">
        <w:rPr>
          <w:highlight w:val="yellow"/>
          <w:lang w:val="en-US"/>
        </w:rPr>
        <w:t xml:space="preserve">working memory, another prototypical </w:t>
      </w:r>
      <w:r w:rsidR="0044669D" w:rsidRPr="009C44CC">
        <w:rPr>
          <w:highlight w:val="yellow"/>
          <w:lang w:val="en-US"/>
        </w:rPr>
        <w:t>aspect</w:t>
      </w:r>
      <w:r w:rsidR="006366ED" w:rsidRPr="009C44CC">
        <w:rPr>
          <w:highlight w:val="yellow"/>
          <w:lang w:val="en-US"/>
        </w:rPr>
        <w:t xml:space="preserve"> of </w:t>
      </w:r>
      <w:r w:rsidR="00725CA3" w:rsidRPr="009C44CC">
        <w:rPr>
          <w:highlight w:val="yellow"/>
          <w:lang w:val="en-US"/>
        </w:rPr>
        <w:t>executive function</w:t>
      </w:r>
      <w:r w:rsidR="00F80CC4" w:rsidRPr="009C44CC">
        <w:rPr>
          <w:highlight w:val="yellow"/>
          <w:lang w:val="en-US"/>
        </w:rPr>
        <w:t xml:space="preserve"> </w:t>
      </w:r>
      <w:r w:rsidRPr="009C44CC">
        <w:rPr>
          <w:highlight w:val="yellow"/>
          <w:lang w:val="en-US"/>
        </w:rPr>
        <w:fldChar w:fldCharType="begin"/>
      </w:r>
      <w:r w:rsidRPr="009C44CC">
        <w:rPr>
          <w:highlight w:val="yellow"/>
          <w:lang w:val="en-US"/>
        </w:rPr>
        <w:instrText xml:space="preserve"> ADDIN ZOTERO_ITEM CSL_CITATION {"citationID":"g8rAS8nn","properties":{"formattedCitation":"(Miyake et al., 2000)","plainCitation":"(Miyake et al., 2000)","noteIndex":0},"citationItems":[{"id":5348,"uris":["http://zotero.org/users/1784178/items/399VQQZV"],"itemData":{"id":5348,"type":"article-journal","abstract":"This individual differences study examined the separability of three often postulated executive functions-mental set shifting (\"Shifting\"), information updating and monitoring (\"Updating\"), and inhibition of prepotent responses (\"Inhibition\")-and their roles in complex \"frontal lobe\" or \"executive\" tasks. One hundred thirty-seven college students performed a set of relatively simple experimental tasks that are considered to predominantly tap each target executive function as well as a set of frequently used executive tasks: the Wisconsin Card Sorting Test (WCST), Tower of Hanoi (TOH), random number generation (RNG), operation span, and dual tasking. Confirmatory factor analysis indicated that the three target executive functions are moderately correlated with one another, but are clearly separable. Moreover, structural equation modeling suggested that the three functions contribute differentially to performance on complex executive tasks. Specifically, WCST performance was related most strongly to Shifting, TOH to Inhibition, RNG to Inhibition and Updating, and operation span to Updating. Dual task performance was not related to any of the three target functions. These results suggest that it is important to recognize both the unity and diversity of executive functions and that latent variable analysis is a useful approach to studying the organization and roles of executive functions.","container-title":"Cognitive Psychology","DOI":"10.1006/cogp.1999.0734","ISSN":"0010-0285","issue":"1","journalAbbreviation":"Cogn Psychol","language":"eng","note":"PMID: 10945922","page":"49-100","source":"PubMed","title":"The unity and diversity of executive functions and their contributions to complex \"Frontal Lobe\" tasks: a latent variable analysis","title-short":"The unity and diversity of executive functions and their contributions to complex \"Frontal Lobe\" tasks","volume":"41","author":[{"family":"Miyake","given":"A."},{"family":"Friedman","given":"N. P."},{"family":"Emerson","given":"M. J."},{"family":"Witzki","given":"A. H."},{"family":"Howerter","given":"A."},{"family":"Wager","given":"T. D."}],"issued":{"date-parts":[["2000",8]]}}}],"schema":"https://github.com/citation-style-language/schema/raw/master/csl-citation.json"} </w:instrText>
      </w:r>
      <w:r w:rsidRPr="009C44CC">
        <w:rPr>
          <w:highlight w:val="yellow"/>
          <w:lang w:val="en-US"/>
        </w:rPr>
        <w:fldChar w:fldCharType="separate"/>
      </w:r>
      <w:r w:rsidRPr="009C44CC">
        <w:rPr>
          <w:noProof/>
          <w:highlight w:val="yellow"/>
          <w:lang w:val="en-US"/>
        </w:rPr>
        <w:t>(Miyake et al., 2000)</w:t>
      </w:r>
      <w:r w:rsidRPr="009C44CC">
        <w:rPr>
          <w:highlight w:val="yellow"/>
          <w:lang w:val="en-US"/>
        </w:rPr>
        <w:fldChar w:fldCharType="end"/>
      </w:r>
      <w:r w:rsidR="00725CA3" w:rsidRPr="009C44CC">
        <w:rPr>
          <w:highlight w:val="yellow"/>
          <w:lang w:val="en-US"/>
        </w:rPr>
        <w:t>. In each condition, maximum number of correct responses was twelve.</w:t>
      </w:r>
    </w:p>
    <w:p w14:paraId="3D8342DD" w14:textId="77777777" w:rsidR="009A0319" w:rsidRDefault="009A0319" w:rsidP="00E46BEB">
      <w:pPr>
        <w:spacing w:before="120" w:line="360" w:lineRule="auto"/>
        <w:rPr>
          <w:lang w:val="en-US"/>
        </w:rPr>
      </w:pPr>
      <w:r>
        <w:rPr>
          <w:lang w:val="en-US"/>
        </w:rPr>
        <w:t>MRI acquisition</w:t>
      </w:r>
    </w:p>
    <w:p w14:paraId="6FA8F053" w14:textId="77777777" w:rsidR="009A0319" w:rsidRDefault="009A0319" w:rsidP="00E46BEB">
      <w:pPr>
        <w:spacing w:before="120" w:line="360" w:lineRule="auto"/>
        <w:jc w:val="both"/>
        <w:rPr>
          <w:lang w:val="en-US"/>
        </w:rPr>
      </w:pPr>
      <w:r>
        <w:rPr>
          <w:lang w:val="en-US"/>
        </w:rPr>
        <w:t>D</w:t>
      </w:r>
      <w:r w:rsidRPr="00373BEF">
        <w:rPr>
          <w:lang w:val="en-US"/>
        </w:rPr>
        <w:t xml:space="preserve">ata </w:t>
      </w:r>
      <w:r>
        <w:rPr>
          <w:lang w:val="en-US"/>
        </w:rPr>
        <w:t>was</w:t>
      </w:r>
      <w:r w:rsidRPr="006906EB">
        <w:rPr>
          <w:lang w:val="en-US"/>
        </w:rPr>
        <w:t xml:space="preserve"> a</w:t>
      </w:r>
      <w:r>
        <w:rPr>
          <w:lang w:val="en-US"/>
        </w:rPr>
        <w:t>cquired using</w:t>
      </w:r>
      <w:r w:rsidRPr="00373BEF">
        <w:rPr>
          <w:lang w:val="en-US"/>
        </w:rPr>
        <w:t xml:space="preserve"> 3 Tesla Siemens scanners at </w:t>
      </w:r>
      <w:r w:rsidRPr="006906EB">
        <w:rPr>
          <w:lang w:val="en-US"/>
        </w:rPr>
        <w:t>mu</w:t>
      </w:r>
      <w:r>
        <w:rPr>
          <w:lang w:val="en-US"/>
        </w:rPr>
        <w:t>ltiple</w:t>
      </w:r>
      <w:r w:rsidRPr="00373BEF">
        <w:rPr>
          <w:lang w:val="en-US"/>
        </w:rPr>
        <w:t xml:space="preserve"> study sites (two </w:t>
      </w:r>
      <w:proofErr w:type="spellStart"/>
      <w:r w:rsidRPr="00373BEF">
        <w:rPr>
          <w:lang w:val="en-US"/>
        </w:rPr>
        <w:t>TrioTim</w:t>
      </w:r>
      <w:proofErr w:type="spellEnd"/>
      <w:r w:rsidRPr="00373BEF">
        <w:rPr>
          <w:lang w:val="en-US"/>
        </w:rPr>
        <w:t xml:space="preserve">, three </w:t>
      </w:r>
      <w:proofErr w:type="spellStart"/>
      <w:r w:rsidRPr="00373BEF">
        <w:rPr>
          <w:lang w:val="en-US"/>
        </w:rPr>
        <w:t>Verio</w:t>
      </w:r>
      <w:proofErr w:type="spellEnd"/>
      <w:r w:rsidRPr="00373BEF">
        <w:rPr>
          <w:lang w:val="en-US"/>
        </w:rPr>
        <w:t xml:space="preserve">, two </w:t>
      </w:r>
      <w:proofErr w:type="spellStart"/>
      <w:r w:rsidRPr="00373BEF">
        <w:rPr>
          <w:lang w:val="en-US"/>
        </w:rPr>
        <w:t>Skyra</w:t>
      </w:r>
      <w:proofErr w:type="spellEnd"/>
      <w:r w:rsidRPr="00373BEF">
        <w:rPr>
          <w:lang w:val="en-US"/>
        </w:rPr>
        <w:t>, and one Prisma)</w:t>
      </w:r>
      <w:r w:rsidRPr="006906EB">
        <w:rPr>
          <w:lang w:val="en-US"/>
        </w:rPr>
        <w:t xml:space="preserve">. </w:t>
      </w:r>
      <w:r>
        <w:rPr>
          <w:lang w:val="en-US"/>
        </w:rPr>
        <w:t>Most of the scanners used</w:t>
      </w:r>
      <w:r w:rsidRPr="00373BEF">
        <w:rPr>
          <w:lang w:val="en-US"/>
        </w:rPr>
        <w:t xml:space="preserve"> 32-</w:t>
      </w:r>
      <w:r w:rsidRPr="006906EB">
        <w:rPr>
          <w:lang w:val="en-US"/>
        </w:rPr>
        <w:t>c</w:t>
      </w:r>
      <w:r>
        <w:rPr>
          <w:lang w:val="en-US"/>
        </w:rPr>
        <w:t xml:space="preserve">hannel head coil while only </w:t>
      </w:r>
      <w:r w:rsidRPr="00373BEF">
        <w:rPr>
          <w:lang w:val="en-US"/>
        </w:rPr>
        <w:t xml:space="preserve">two </w:t>
      </w:r>
      <w:r w:rsidRPr="006906EB">
        <w:rPr>
          <w:lang w:val="en-US"/>
        </w:rPr>
        <w:t>used 20 chann</w:t>
      </w:r>
      <w:r>
        <w:rPr>
          <w:lang w:val="en-US"/>
        </w:rPr>
        <w:t>els</w:t>
      </w:r>
      <w:r w:rsidRPr="00373BEF">
        <w:rPr>
          <w:lang w:val="en-US"/>
        </w:rPr>
        <w:t xml:space="preserve">, with harmonized sequence parameters. </w:t>
      </w:r>
      <w:r w:rsidRPr="006906EB">
        <w:rPr>
          <w:lang w:val="en-US"/>
        </w:rPr>
        <w:t>We acquired</w:t>
      </w:r>
      <w:r w:rsidRPr="00373BEF">
        <w:rPr>
          <w:lang w:val="en-US"/>
        </w:rPr>
        <w:t xml:space="preserve"> </w:t>
      </w:r>
      <w:r>
        <w:rPr>
          <w:lang w:val="en-US"/>
        </w:rPr>
        <w:t xml:space="preserve">a </w:t>
      </w:r>
      <w:r w:rsidRPr="00373BEF">
        <w:rPr>
          <w:lang w:val="en-US"/>
        </w:rPr>
        <w:t xml:space="preserve">T1- weighted magnetization-prepared rapid gradient echo </w:t>
      </w:r>
      <w:r w:rsidRPr="006906EB">
        <w:rPr>
          <w:lang w:val="en-US"/>
        </w:rPr>
        <w:t>with followi</w:t>
      </w:r>
      <w:r>
        <w:rPr>
          <w:lang w:val="en-US"/>
        </w:rPr>
        <w:t xml:space="preserve">ng sequence parameters: </w:t>
      </w:r>
      <w:r w:rsidRPr="00373BEF">
        <w:rPr>
          <w:lang w:val="en-US"/>
        </w:rPr>
        <w:t>TR: 2500ms, TE: 4.37ms, TI: 1100ms, flip angle: 7°, GRAPPA = 2</w:t>
      </w:r>
      <w:r w:rsidRPr="006906EB">
        <w:rPr>
          <w:lang w:val="en-US"/>
        </w:rPr>
        <w:t xml:space="preserve">, </w:t>
      </w:r>
      <w:r w:rsidRPr="00373BEF">
        <w:rPr>
          <w:lang w:val="en-US"/>
        </w:rPr>
        <w:t xml:space="preserve">FOV: 256 x 256 mm2, slice thickness: 1mm, 192 sagittal sections, </w:t>
      </w:r>
      <w:r>
        <w:rPr>
          <w:lang w:val="en-US"/>
        </w:rPr>
        <w:t>no</w:t>
      </w:r>
      <w:r w:rsidRPr="00373BEF">
        <w:rPr>
          <w:lang w:val="en-US"/>
        </w:rPr>
        <w:t xml:space="preserve"> gap</w:t>
      </w:r>
      <w:r>
        <w:rPr>
          <w:lang w:val="en-US"/>
        </w:rPr>
        <w:t xml:space="preserve">. Moreover, </w:t>
      </w:r>
      <w:proofErr w:type="spellStart"/>
      <w:r>
        <w:rPr>
          <w:lang w:val="en-US"/>
        </w:rPr>
        <w:t>r</w:t>
      </w:r>
      <w:r w:rsidRPr="00373BEF">
        <w:rPr>
          <w:lang w:val="en-US"/>
        </w:rPr>
        <w:t>s</w:t>
      </w:r>
      <w:r>
        <w:rPr>
          <w:lang w:val="en-US"/>
        </w:rPr>
        <w:t>f</w:t>
      </w:r>
      <w:r w:rsidRPr="00373BEF">
        <w:rPr>
          <w:lang w:val="en-US"/>
        </w:rPr>
        <w:t>MRI</w:t>
      </w:r>
      <w:proofErr w:type="spellEnd"/>
      <w:r w:rsidRPr="00373BEF">
        <w:rPr>
          <w:lang w:val="en-US"/>
        </w:rPr>
        <w:t xml:space="preserve"> data were acquired </w:t>
      </w:r>
      <w:r>
        <w:rPr>
          <w:lang w:val="en-US"/>
        </w:rPr>
        <w:t xml:space="preserve">with </w:t>
      </w:r>
      <w:r w:rsidRPr="00373BEF">
        <w:rPr>
          <w:lang w:val="en-US"/>
        </w:rPr>
        <w:t>axial</w:t>
      </w:r>
      <w:r>
        <w:rPr>
          <w:lang w:val="en-US"/>
        </w:rPr>
        <w:t xml:space="preserve"> orientation</w:t>
      </w:r>
      <w:r w:rsidRPr="006906EB">
        <w:rPr>
          <w:lang w:val="en-US"/>
        </w:rPr>
        <w:t xml:space="preserve"> </w:t>
      </w:r>
      <w:r w:rsidRPr="00373BEF">
        <w:rPr>
          <w:lang w:val="en-US"/>
        </w:rPr>
        <w:t xml:space="preserve">using an echo-planar imaging </w:t>
      </w:r>
      <w:r w:rsidRPr="006906EB">
        <w:rPr>
          <w:lang w:val="en-US"/>
        </w:rPr>
        <w:t>with followi</w:t>
      </w:r>
      <w:r>
        <w:rPr>
          <w:lang w:val="en-US"/>
        </w:rPr>
        <w:t>ng sequence parameters</w:t>
      </w:r>
      <w:r w:rsidRPr="00373BEF">
        <w:rPr>
          <w:lang w:val="en-US"/>
        </w:rPr>
        <w:t xml:space="preserve">: TR/TE = 2580/ 30 </w:t>
      </w:r>
      <w:proofErr w:type="spellStart"/>
      <w:r w:rsidRPr="00373BEF">
        <w:rPr>
          <w:lang w:val="en-US"/>
        </w:rPr>
        <w:t>ms</w:t>
      </w:r>
      <w:proofErr w:type="spellEnd"/>
      <w:r w:rsidRPr="00373BEF">
        <w:rPr>
          <w:lang w:val="en-US"/>
        </w:rPr>
        <w:t xml:space="preserve">, </w:t>
      </w:r>
      <w:r w:rsidRPr="006906EB">
        <w:rPr>
          <w:lang w:val="en-US"/>
        </w:rPr>
        <w:t>FO</w:t>
      </w:r>
      <w:r>
        <w:rPr>
          <w:lang w:val="en-US"/>
        </w:rPr>
        <w:t>V</w:t>
      </w:r>
      <w:r w:rsidRPr="00373BEF">
        <w:rPr>
          <w:lang w:val="en-US"/>
        </w:rPr>
        <w:t xml:space="preserve"> = 224 × 224 mm2, flip angle: 80°, </w:t>
      </w:r>
      <w:r w:rsidRPr="006906EB">
        <w:rPr>
          <w:lang w:val="en-US"/>
        </w:rPr>
        <w:t>ma</w:t>
      </w:r>
      <w:r>
        <w:rPr>
          <w:lang w:val="en-US"/>
        </w:rPr>
        <w:t>trix size</w:t>
      </w:r>
      <w:r w:rsidRPr="00373BEF">
        <w:rPr>
          <w:lang w:val="en-US"/>
        </w:rPr>
        <w:t>= 64 × 64, number of slices = 47, slice thickness = 3.5 mm, total of 180 volumes</w:t>
      </w:r>
      <w:r w:rsidRPr="00D71D5A">
        <w:rPr>
          <w:lang w:val="en-US"/>
        </w:rPr>
        <w:t xml:space="preserve"> </w:t>
      </w:r>
      <w:r>
        <w:rPr>
          <w:lang w:val="en-US"/>
        </w:rPr>
        <w:t xml:space="preserve">in </w:t>
      </w:r>
      <w:r w:rsidRPr="00373BEF">
        <w:rPr>
          <w:lang w:val="en-US"/>
        </w:rPr>
        <w:t>8 min</w:t>
      </w:r>
      <w:r w:rsidRPr="00D71D5A">
        <w:rPr>
          <w:lang w:val="en-US"/>
        </w:rPr>
        <w:t xml:space="preserve"> </w:t>
      </w:r>
      <w:r>
        <w:rPr>
          <w:lang w:val="en-US"/>
        </w:rPr>
        <w:t>duration</w:t>
      </w:r>
      <w:r w:rsidRPr="00373BEF">
        <w:rPr>
          <w:lang w:val="en-US"/>
        </w:rPr>
        <w:t xml:space="preserve">. During </w:t>
      </w:r>
      <w:proofErr w:type="spellStart"/>
      <w:r w:rsidRPr="00D71D5A">
        <w:rPr>
          <w:lang w:val="en-US"/>
        </w:rPr>
        <w:t>rs</w:t>
      </w:r>
      <w:r>
        <w:rPr>
          <w:lang w:val="en-US"/>
        </w:rPr>
        <w:t>fMRI</w:t>
      </w:r>
      <w:proofErr w:type="spellEnd"/>
      <w:r w:rsidRPr="00373BEF">
        <w:rPr>
          <w:lang w:val="en-US"/>
        </w:rPr>
        <w:t>, subjects were instructed to keep their eyes closed, not to fall asleep</w:t>
      </w:r>
      <w:r w:rsidRPr="00D71D5A">
        <w:rPr>
          <w:lang w:val="en-US"/>
        </w:rPr>
        <w:t>,</w:t>
      </w:r>
      <w:r w:rsidRPr="00373BEF">
        <w:rPr>
          <w:lang w:val="en-US"/>
        </w:rPr>
        <w:t xml:space="preserve"> hold still, and </w:t>
      </w:r>
      <w:r>
        <w:rPr>
          <w:lang w:val="en-US"/>
        </w:rPr>
        <w:t>avoid focusing on specific thoughts</w:t>
      </w:r>
      <w:r w:rsidRPr="00373BEF">
        <w:rPr>
          <w:lang w:val="en-US"/>
        </w:rPr>
        <w:t>.</w:t>
      </w:r>
    </w:p>
    <w:p w14:paraId="2B825AC6" w14:textId="2E177C2A" w:rsidR="009A0319" w:rsidRDefault="009A0319" w:rsidP="00E46BEB">
      <w:pPr>
        <w:spacing w:before="120" w:line="360" w:lineRule="auto"/>
        <w:jc w:val="both"/>
        <w:rPr>
          <w:lang w:val="en-US"/>
        </w:rPr>
      </w:pPr>
      <w:r>
        <w:rPr>
          <w:lang w:val="en-US"/>
        </w:rPr>
        <w:t>Data analysis</w:t>
      </w:r>
    </w:p>
    <w:p w14:paraId="42E1311A" w14:textId="77777777" w:rsidR="009A0319" w:rsidRDefault="009A0319" w:rsidP="00E46BEB">
      <w:pPr>
        <w:spacing w:before="120" w:line="360" w:lineRule="auto"/>
        <w:jc w:val="both"/>
        <w:rPr>
          <w:lang w:val="en-US"/>
        </w:rPr>
      </w:pPr>
      <w:r>
        <w:rPr>
          <w:lang w:val="en-US"/>
        </w:rPr>
        <w:t>Structural MRI</w:t>
      </w:r>
    </w:p>
    <w:p w14:paraId="661F15B4" w14:textId="34656729" w:rsidR="009A0319" w:rsidRPr="006215C8" w:rsidRDefault="009A0319" w:rsidP="00E46BEB">
      <w:pPr>
        <w:spacing w:before="120" w:line="360" w:lineRule="auto"/>
        <w:jc w:val="both"/>
        <w:rPr>
          <w:color w:val="2E2E2E"/>
          <w:lang w:val="en-US"/>
        </w:rPr>
      </w:pPr>
      <w:r>
        <w:rPr>
          <w:lang w:val="en-US"/>
        </w:rPr>
        <w:t xml:space="preserve">T1-weighted images were analyzed using the surface-based stream in </w:t>
      </w:r>
      <w:proofErr w:type="spellStart"/>
      <w:r w:rsidRPr="00373BEF">
        <w:rPr>
          <w:color w:val="2E2E2E"/>
          <w:lang w:val="en-US"/>
        </w:rPr>
        <w:t>FreeSurfer</w:t>
      </w:r>
      <w:proofErr w:type="spellEnd"/>
      <w:r>
        <w:rPr>
          <w:color w:val="2E2E2E"/>
          <w:lang w:val="en-US"/>
        </w:rPr>
        <w:t xml:space="preserve"> (</w:t>
      </w:r>
      <w:r w:rsidRPr="001D02A3">
        <w:rPr>
          <w:color w:val="2E2E2E"/>
          <w:lang w:val="en-US"/>
        </w:rPr>
        <w:t>https://surfer.nmr.mgh.harvard.edu/fswiki</w:t>
      </w:r>
      <w:r>
        <w:rPr>
          <w:color w:val="2E2E2E"/>
          <w:lang w:val="en-US"/>
        </w:rPr>
        <w:t>)</w:t>
      </w:r>
      <w:r>
        <w:rPr>
          <w:lang w:val="en-US"/>
        </w:rPr>
        <w:t xml:space="preserve"> to obtain </w:t>
      </w:r>
      <w:proofErr w:type="spellStart"/>
      <w:r>
        <w:rPr>
          <w:lang w:val="en-US"/>
        </w:rPr>
        <w:t>CTh</w:t>
      </w:r>
      <w:proofErr w:type="spellEnd"/>
      <w:r>
        <w:rPr>
          <w:lang w:val="en-US"/>
        </w:rPr>
        <w:t xml:space="preserve"> and </w:t>
      </w:r>
      <w:r w:rsidRPr="00373BEF">
        <w:rPr>
          <w:color w:val="2E2E2E"/>
          <w:lang w:val="en-US"/>
        </w:rPr>
        <w:t>subcortical volumes</w:t>
      </w:r>
      <w:r w:rsidR="00D9428F">
        <w:rPr>
          <w:color w:val="2E2E2E"/>
          <w:lang w:val="en-US"/>
        </w:rPr>
        <w:t>.</w:t>
      </w:r>
      <w:r w:rsidRPr="00373BEF">
        <w:rPr>
          <w:color w:val="2E2E2E"/>
          <w:lang w:val="en-US"/>
        </w:rPr>
        <w:t xml:space="preserve"> </w:t>
      </w:r>
      <w:r>
        <w:rPr>
          <w:color w:val="2E2E2E"/>
          <w:lang w:val="en-US"/>
        </w:rPr>
        <w:t>It</w:t>
      </w:r>
      <w:r w:rsidRPr="00373BEF">
        <w:rPr>
          <w:color w:val="2E2E2E"/>
          <w:lang w:val="en-US"/>
        </w:rPr>
        <w:t xml:space="preserve"> </w:t>
      </w:r>
      <w:r w:rsidRPr="00373BEF">
        <w:rPr>
          <w:color w:val="2E2E2E"/>
          <w:lang w:val="en-US"/>
        </w:rPr>
        <w:lastRenderedPageBreak/>
        <w:t>include</w:t>
      </w:r>
      <w:r>
        <w:rPr>
          <w:color w:val="2E2E2E"/>
          <w:lang w:val="en-US"/>
        </w:rPr>
        <w:t>d</w:t>
      </w:r>
      <w:r w:rsidRPr="00373BEF">
        <w:rPr>
          <w:color w:val="2E2E2E"/>
          <w:lang w:val="en-US"/>
        </w:rPr>
        <w:t xml:space="preserve"> motion correction, </w:t>
      </w:r>
      <w:proofErr w:type="spellStart"/>
      <w:r w:rsidRPr="00373BEF">
        <w:rPr>
          <w:color w:val="2E2E2E"/>
          <w:lang w:val="en-US"/>
        </w:rPr>
        <w:t>Talairach</w:t>
      </w:r>
      <w:proofErr w:type="spellEnd"/>
      <w:r w:rsidRPr="00373BEF">
        <w:rPr>
          <w:color w:val="2E2E2E"/>
          <w:lang w:val="en-US"/>
        </w:rPr>
        <w:t xml:space="preserve"> transformation, removal of nonbrain tissues, and automated segmentation of data into </w:t>
      </w:r>
      <w:r>
        <w:rPr>
          <w:color w:val="2E2E2E"/>
          <w:lang w:val="en-US"/>
        </w:rPr>
        <w:t xml:space="preserve">gray and white matter </w:t>
      </w:r>
      <w:r>
        <w:rPr>
          <w:color w:val="2E2E2E"/>
          <w:lang w:val="en-US"/>
        </w:rPr>
        <w:fldChar w:fldCharType="begin"/>
      </w:r>
      <w:r w:rsidR="003C6758">
        <w:rPr>
          <w:color w:val="2E2E2E"/>
          <w:lang w:val="en-US"/>
        </w:rPr>
        <w:instrText xml:space="preserve"> ADDIN ZOTERO_ITEM CSL_CITATION {"citationID":"z1JRhVeJ","properties":{"formattedCitation":"(Dale et al., 1999)","plainCitation":"(Dale et al., 1999)","noteIndex":0},"citationItems":[{"id":114,"uris":["http://zotero.org/users/1784178/items/C9GHZEUM"],"itemData":{"id":114,"type":"article-journal","abstract":"Several properties of the cerebral cortex, including its columnar and laminar organization, as well as the topographic organization of cortical areas, can only be properly understood in the context of the intrinsic two-dimensional structure of the cortical surface. In order to study such cortical properties in humans, it is necessary to obtain an accurate and explicit representation of the cortical surface in individual subjects. Here we describe a set of automated procedures for obtaining accurate reconstructions of the cortical surface, which have been applied to data from more than 100 subjects, requiring little or no manual intervention. Automated routines for unfolding and flattening the cortical surface are described in a companion paper. These procedures allow for the routine use of cortical surface-based analysis and visualization methods in functional brain imaging.","container-title":"NeuroImage","DOI":"10.1006/nimg.1998.0395","ISSN":"1053-8119","issue":"2","journalAbbreviation":"Neuroimage","language":"eng","note":"PMID: 9931268","page":"179-194","source":"PubMed","title":"Cortical surface-based analysis. I. Segmentation and surface reconstruction","volume":"9","author":[{"family":"Dale","given":"A. M."},{"family":"Fischl","given":"B."},{"family":"Sereno","given":"M. I."}],"issued":{"date-parts":[["1999",2]]}}}],"schema":"https://github.com/citation-style-language/schema/raw/master/csl-citation.json"} </w:instrText>
      </w:r>
      <w:r>
        <w:rPr>
          <w:color w:val="2E2E2E"/>
          <w:lang w:val="en-US"/>
        </w:rPr>
        <w:fldChar w:fldCharType="separate"/>
      </w:r>
      <w:r w:rsidR="003C6758">
        <w:rPr>
          <w:color w:val="000000"/>
          <w:lang w:val="en-GB"/>
        </w:rPr>
        <w:t>(Dale et al., 1999)</w:t>
      </w:r>
      <w:r>
        <w:rPr>
          <w:color w:val="2E2E2E"/>
          <w:lang w:val="en-US"/>
        </w:rPr>
        <w:fldChar w:fldCharType="end"/>
      </w:r>
      <w:r w:rsidRPr="00CE3CBE">
        <w:rPr>
          <w:color w:val="2E2E2E"/>
          <w:lang w:val="en-US"/>
        </w:rPr>
        <w:t xml:space="preserve">. </w:t>
      </w:r>
      <w:r>
        <w:rPr>
          <w:color w:val="2E2E2E"/>
          <w:lang w:val="en-US"/>
        </w:rPr>
        <w:t>Subsequently</w:t>
      </w:r>
      <w:r w:rsidRPr="00AA1846">
        <w:rPr>
          <w:color w:val="2E2E2E"/>
          <w:lang w:val="en-US"/>
        </w:rPr>
        <w:t>,</w:t>
      </w:r>
      <w:r w:rsidRPr="00373BEF">
        <w:rPr>
          <w:color w:val="2E2E2E"/>
          <w:lang w:val="en-US"/>
        </w:rPr>
        <w:t xml:space="preserve"> cortical inflation, registration to a spherical atlas, and parcellation of cerebral cortex into </w:t>
      </w:r>
      <w:proofErr w:type="spellStart"/>
      <w:r w:rsidRPr="00373BEF">
        <w:rPr>
          <w:color w:val="2E2E2E"/>
          <w:lang w:val="en-US"/>
        </w:rPr>
        <w:t>gyral</w:t>
      </w:r>
      <w:proofErr w:type="spellEnd"/>
      <w:r w:rsidRPr="00373BEF">
        <w:rPr>
          <w:color w:val="2E2E2E"/>
          <w:lang w:val="en-US"/>
        </w:rPr>
        <w:t xml:space="preserve"> and sulcal units were performed </w:t>
      </w:r>
      <w:r>
        <w:rPr>
          <w:color w:val="2E2E2E"/>
          <w:lang w:val="en-US"/>
        </w:rPr>
        <w:fldChar w:fldCharType="begin"/>
      </w:r>
      <w:r w:rsidR="003C6758">
        <w:rPr>
          <w:color w:val="2E2E2E"/>
          <w:lang w:val="en-US"/>
        </w:rPr>
        <w:instrText xml:space="preserve"> ADDIN ZOTERO_ITEM CSL_CITATION {"citationID":"UbMOgxeW","properties":{"formattedCitation":"(Desikan et al., 2006)","plainCitation":"(Desikan et al., 2006)","noteIndex":0},"citationItems":[{"id":113,"uris":["http://zotero.org/users/1784178/items/WIZFWA25"],"itemData":{"id":113,"type":"article-journal","abstract":"In this study, we have assessed the validity and reliability of an automated labeling system that we have developed for subdividing the human cerebral cortex on magnetic resonance images into gyral based regions of interest (ROIs). Using a dataset of 40 MRI scans we manually identified 34 cortical ROIs in each of the individual hemispheres. This information was then encoded in the form of an atlas that was utilized to automatically label ROIs. To examine the validity, as well as the intra- and inter-rater reliability of the automated system, we used both intraclass correlation coefficients (ICC), and a new method known as mean distance maps, to assess the degree of mismatch between the manual and the automated sets of ROIs. When compared with the manual ROIs, the automated ROIs were highly accurate, with an average ICC of 0.835 across all of the ROIs, and a mean distance error of less than 1 mm. Intra- and inter-rater comparisons yielded little to no difference between the sets of ROIs. These findings suggest that the automated method we have developed for subdividing the human cerebral cortex into standard gyral-based neuroanatomical regions is both anatomically valid and reliable. This method may be useful for both morphometric and functional studies of the cerebral cortex as well as for clinical investigations aimed at tracking the evolution of disease-induced changes over time, including clinical trials in which MRI-based measures are used to examine response to treatment.","container-title":"NeuroImage","DOI":"10.1016/j.neuroimage.2006.01.021","ISSN":"1053-8119","issue":"3","journalAbbreviation":"Neuroimage","language":"eng","note":"PMID: 16530430","page":"968-980","source":"PubMed","title":"An automated labeling system for subdividing the human cerebral cortex on MRI scans into gyral based regions of interest","volume":"31","author":[{"family":"Desikan","given":"Rahul S."},{"family":"Ségonne","given":"Florent"},{"family":"Fischl","given":"Bruce"},{"family":"Quinn","given":"Brian T."},{"family":"Dickerson","given":"Bradford C."},{"family":"Blacker","given":"Deborah"},{"family":"Buckner","given":"Randy L."},{"family":"Dale","given":"Anders M."},{"family":"Maguire","given":"R. Paul"},{"family":"Hyman","given":"Bradley T."},{"family":"Albert","given":"Marilyn S."},{"family":"Killiany","given":"Ronald J."}],"issued":{"date-parts":[["2006",7,1]]}}}],"schema":"https://github.com/citation-style-language/schema/raw/master/csl-citation.json"} </w:instrText>
      </w:r>
      <w:r>
        <w:rPr>
          <w:color w:val="2E2E2E"/>
          <w:lang w:val="en-US"/>
        </w:rPr>
        <w:fldChar w:fldCharType="separate"/>
      </w:r>
      <w:r w:rsidR="003C6758">
        <w:rPr>
          <w:color w:val="000000"/>
          <w:lang w:val="en-GB"/>
        </w:rPr>
        <w:t>(Desikan et al., 2006)</w:t>
      </w:r>
      <w:r>
        <w:rPr>
          <w:color w:val="2E2E2E"/>
          <w:lang w:val="en-US"/>
        </w:rPr>
        <w:fldChar w:fldCharType="end"/>
      </w:r>
      <w:r>
        <w:rPr>
          <w:color w:val="2E2E2E"/>
          <w:lang w:val="en-US"/>
        </w:rPr>
        <w:t xml:space="preserve">. </w:t>
      </w:r>
      <w:r w:rsidRPr="00AA1846">
        <w:rPr>
          <w:color w:val="2E2E2E"/>
          <w:lang w:val="en-US"/>
        </w:rPr>
        <w:t>Labeling of</w:t>
      </w:r>
      <w:r>
        <w:rPr>
          <w:color w:val="2E2E2E"/>
          <w:lang w:val="en-US"/>
        </w:rPr>
        <w:t xml:space="preserve"> </w:t>
      </w:r>
      <w:r w:rsidRPr="00AA1846">
        <w:rPr>
          <w:color w:val="2E2E2E"/>
          <w:lang w:val="en-US"/>
        </w:rPr>
        <w:t>co</w:t>
      </w:r>
      <w:r>
        <w:rPr>
          <w:color w:val="2E2E2E"/>
          <w:lang w:val="en-US"/>
        </w:rPr>
        <w:t>rtical regions</w:t>
      </w:r>
      <w:r w:rsidRPr="00373BEF">
        <w:rPr>
          <w:color w:val="2E2E2E"/>
          <w:lang w:val="en-US"/>
        </w:rPr>
        <w:t xml:space="preserve"> w</w:t>
      </w:r>
      <w:r>
        <w:rPr>
          <w:color w:val="2E2E2E"/>
          <w:lang w:val="en-US"/>
        </w:rPr>
        <w:t>as</w:t>
      </w:r>
      <w:r w:rsidRPr="00373BEF">
        <w:rPr>
          <w:color w:val="2E2E2E"/>
          <w:lang w:val="en-US"/>
        </w:rPr>
        <w:t xml:space="preserve"> </w:t>
      </w:r>
      <w:r w:rsidRPr="00AA1846">
        <w:rPr>
          <w:color w:val="2E2E2E"/>
          <w:lang w:val="en-US"/>
        </w:rPr>
        <w:t>perfor</w:t>
      </w:r>
      <w:r>
        <w:rPr>
          <w:color w:val="2E2E2E"/>
          <w:lang w:val="en-US"/>
        </w:rPr>
        <w:t xml:space="preserve">med </w:t>
      </w:r>
      <w:r w:rsidRPr="00373BEF">
        <w:rPr>
          <w:color w:val="2E2E2E"/>
          <w:lang w:val="en-US"/>
        </w:rPr>
        <w:t xml:space="preserve">on the basis of the </w:t>
      </w:r>
      <w:proofErr w:type="spellStart"/>
      <w:r w:rsidRPr="00373BEF">
        <w:rPr>
          <w:color w:val="2E2E2E"/>
          <w:lang w:val="en-US"/>
        </w:rPr>
        <w:t>Desikan</w:t>
      </w:r>
      <w:proofErr w:type="spellEnd"/>
      <w:r w:rsidRPr="00373BEF">
        <w:rPr>
          <w:color w:val="2E2E2E"/>
          <w:lang w:val="en-US"/>
        </w:rPr>
        <w:t>/</w:t>
      </w:r>
      <w:proofErr w:type="spellStart"/>
      <w:r w:rsidRPr="00373BEF">
        <w:rPr>
          <w:color w:val="2E2E2E"/>
          <w:lang w:val="en-US"/>
        </w:rPr>
        <w:t>Killiany</w:t>
      </w:r>
      <w:proofErr w:type="spellEnd"/>
      <w:r w:rsidRPr="00373BEF">
        <w:rPr>
          <w:color w:val="2E2E2E"/>
          <w:lang w:val="en-US"/>
        </w:rPr>
        <w:t xml:space="preserve"> atlas</w:t>
      </w:r>
      <w:r>
        <w:rPr>
          <w:color w:val="2E2E2E"/>
          <w:lang w:val="en-US"/>
        </w:rPr>
        <w:t xml:space="preserve"> </w:t>
      </w:r>
      <w:r>
        <w:rPr>
          <w:color w:val="2E2E2E"/>
          <w:lang w:val="en-US"/>
        </w:rPr>
        <w:fldChar w:fldCharType="begin"/>
      </w:r>
      <w:r w:rsidR="003C6758">
        <w:rPr>
          <w:color w:val="2E2E2E"/>
          <w:lang w:val="en-US"/>
        </w:rPr>
        <w:instrText xml:space="preserve"> ADDIN ZOTERO_ITEM CSL_CITATION {"citationID":"Wvlt0Ql2","properties":{"formattedCitation":"(Destrieux et al., 2010)","plainCitation":"(Destrieux et al., 2010)","noteIndex":0},"citationItems":[{"id":112,"uris":["http://zotero.org/users/1784178/items/49RBQC2A"],"itemData":{"id":112,"type":"article-journal","abstract":"Precise localization of sulco-gyral structures of the human cerebral cortex is important for the interpretation of morpho-functional data, but requires anatomical expertise and is time consuming because of the brain's geometric complexity. Software developed to automatically identify sulco-gyral structures has improved substantially as a result of techniques providing topologically correct reconstructions permitting inflated views of the human brain. Here we describe a complete parcellation of the cortical surface using standard internationally accepted nomenclature and criteria. This parcellation is available in the FreeSurfer package. First, a computer-assisted hand parcellation classified each vertex as sulcal or gyral, and these were then subparcellated into 74 labels per hemisphere. Twelve datasets were used to develop rules and algorithms (reported here) that produced labels consistent with anatomical rules as well as automated computational parcellation. The final parcellation was used to build an atlas for automatically labeling the whole cerebral cortex. This atlas was used to label an additional 12 datasets, which were found to have good concordance with manual labels. This paper presents a precisely defined method for automatically labeling the cortical surface in standard terminology.","container-title":"NeuroImage","DOI":"10.1016/j.neuroimage.2010.06.010","ISSN":"1095-9572","issue":"1","journalAbbreviation":"Neuroimage","language":"eng","note":"PMID: 20547229\nPMCID: PMC2937159","page":"1-15","source":"PubMed","title":"Automatic parcellation of human cortical gyri and sulci using standard anatomical nomenclature","volume":"53","author":[{"family":"Destrieux","given":"Christophe"},{"family":"Fischl","given":"Bruce"},{"family":"Dale","given":"Anders"},{"family":"Halgren","given":"Eric"}],"issued":{"date-parts":[["2010",10,15]]}}}],"schema":"https://github.com/citation-style-language/schema/raw/master/csl-citation.json"} </w:instrText>
      </w:r>
      <w:r>
        <w:rPr>
          <w:color w:val="2E2E2E"/>
          <w:lang w:val="en-US"/>
        </w:rPr>
        <w:fldChar w:fldCharType="separate"/>
      </w:r>
      <w:r w:rsidR="003C6758">
        <w:rPr>
          <w:color w:val="000000"/>
          <w:lang w:val="en-GB"/>
        </w:rPr>
        <w:t>(Destrieux et al., 2010)</w:t>
      </w:r>
      <w:r>
        <w:rPr>
          <w:color w:val="2E2E2E"/>
          <w:lang w:val="en-US"/>
        </w:rPr>
        <w:fldChar w:fldCharType="end"/>
      </w:r>
      <w:r w:rsidRPr="00373BEF">
        <w:rPr>
          <w:color w:val="2E2E2E"/>
          <w:lang w:val="en-US"/>
        </w:rPr>
        <w:t xml:space="preserve">. </w:t>
      </w:r>
      <w:proofErr w:type="spellStart"/>
      <w:r w:rsidRPr="00AA1846">
        <w:rPr>
          <w:color w:val="2E2E2E"/>
          <w:lang w:val="en-US"/>
        </w:rPr>
        <w:t>C</w:t>
      </w:r>
      <w:r>
        <w:rPr>
          <w:color w:val="2E2E2E"/>
          <w:lang w:val="en-US"/>
        </w:rPr>
        <w:t>Th</w:t>
      </w:r>
      <w:proofErr w:type="spellEnd"/>
      <w:r>
        <w:rPr>
          <w:color w:val="2E2E2E"/>
          <w:lang w:val="en-US"/>
        </w:rPr>
        <w:t xml:space="preserve"> </w:t>
      </w:r>
      <w:r w:rsidRPr="00373BEF">
        <w:rPr>
          <w:color w:val="2E2E2E"/>
          <w:lang w:val="en-US"/>
        </w:rPr>
        <w:t xml:space="preserve">was calculated </w:t>
      </w:r>
      <w:r w:rsidRPr="00AA1846">
        <w:rPr>
          <w:color w:val="2E2E2E"/>
          <w:lang w:val="en-US"/>
        </w:rPr>
        <w:t xml:space="preserve">by measuring </w:t>
      </w:r>
      <w:r>
        <w:rPr>
          <w:color w:val="2E2E2E"/>
          <w:lang w:val="en-US"/>
        </w:rPr>
        <w:t xml:space="preserve">the </w:t>
      </w:r>
      <w:r w:rsidRPr="00373BEF">
        <w:rPr>
          <w:color w:val="2E2E2E"/>
          <w:lang w:val="en-US"/>
        </w:rPr>
        <w:t xml:space="preserve">closest distance from pial to </w:t>
      </w:r>
      <w:r>
        <w:rPr>
          <w:color w:val="2E2E2E"/>
          <w:lang w:val="en-US"/>
        </w:rPr>
        <w:t>white matter</w:t>
      </w:r>
      <w:r w:rsidRPr="00373BEF">
        <w:rPr>
          <w:color w:val="2E2E2E"/>
          <w:lang w:val="en-US"/>
        </w:rPr>
        <w:t xml:space="preserve"> boundary at each vertex </w:t>
      </w:r>
      <w:r>
        <w:rPr>
          <w:color w:val="2E2E2E"/>
          <w:lang w:val="en-US"/>
        </w:rPr>
        <w:fldChar w:fldCharType="begin"/>
      </w:r>
      <w:r w:rsidR="003C6758">
        <w:rPr>
          <w:color w:val="2E2E2E"/>
          <w:lang w:val="en-US"/>
        </w:rPr>
        <w:instrText xml:space="preserve"> ADDIN ZOTERO_ITEM CSL_CITATION {"citationID":"75FaVoBV","properties":{"formattedCitation":"(Fischl &amp; Dale, 2000)","plainCitation":"(Fischl &amp; Dale, 2000)","noteIndex":0},"citationItems":[{"id":111,"uris":["http://zotero.org/users/1784178/items/3I3W6SSI"],"itemData":{"id":111,"type":"article-journal","abstract":"Accurate and automated methods for measuring the thickness of human cerebral cortex could provide powerful tools for diagnosing and studying a variety of neurodegenerative and psychiatric disorders. Manual methods for estimating cortical thickness from neuroimaging data are labor intensive, requiring several days of effort by a trained anatomist. Furthermore, the highly folded nature of the cortex is problematic for manual techniques, frequently resulting in measurement errors in regions in which the cortical surface is not perpendicular to any of the cardinal axes. As a consequence, it has been impractical to obtain accurate thickness estimates for the entire cortex in individual subjects, or group statistics for patient or control populations. Here, we present an automated method for accurately measuring the thickness of the cerebral cortex across the entire brain and for generating cross-subject statistics in a coordinate system based on cortical anatomy. The intersubject standard deviation of the thickness measures is shown to be less than 0.5 mm, implying the ability to detect focal atrophy in small populations or even individual subjects. The reliability and accuracy of this new method are assessed by within-subject test-retest studies, as well as by comparison of cross-subject regional thickness measures with published values.","container-title":"Proceedings of the National Academy of Sciences of the United States of America","DOI":"10.1073/pnas.200033797","ISSN":"0027-8424","issue":"20","journalAbbreviation":"Proc. Natl. Acad. Sci. U.S.A.","language":"eng","note":"PMID: 10984517\nPMCID: PMC27146","page":"11050-11055","source":"PubMed","title":"Measuring the thickness of the human cerebral cortex from magnetic resonance images","volume":"97","author":[{"family":"Fischl","given":"B."},{"family":"Dale","given":"A. M."}],"issued":{"date-parts":[["2000",9,26]]}}}],"schema":"https://github.com/citation-style-language/schema/raw/master/csl-citation.json"} </w:instrText>
      </w:r>
      <w:r>
        <w:rPr>
          <w:color w:val="2E2E2E"/>
          <w:lang w:val="en-US"/>
        </w:rPr>
        <w:fldChar w:fldCharType="separate"/>
      </w:r>
      <w:r w:rsidR="003C6758">
        <w:rPr>
          <w:color w:val="000000"/>
          <w:lang w:val="en-GB"/>
        </w:rPr>
        <w:t>(Fischl &amp; Dale, 2000)</w:t>
      </w:r>
      <w:r>
        <w:rPr>
          <w:color w:val="2E2E2E"/>
          <w:lang w:val="en-US"/>
        </w:rPr>
        <w:fldChar w:fldCharType="end"/>
      </w:r>
      <w:r w:rsidRPr="00373BEF">
        <w:rPr>
          <w:color w:val="2E2E2E"/>
          <w:lang w:val="en-US"/>
        </w:rPr>
        <w:t xml:space="preserve">. </w:t>
      </w:r>
    </w:p>
    <w:p w14:paraId="3D55F748" w14:textId="6656DF16" w:rsidR="009A0319" w:rsidRDefault="009A0319" w:rsidP="00E46BEB">
      <w:pPr>
        <w:spacing w:before="120" w:line="360" w:lineRule="auto"/>
        <w:jc w:val="both"/>
        <w:rPr>
          <w:color w:val="2E2E2E"/>
          <w:lang w:val="en-US"/>
        </w:rPr>
      </w:pPr>
      <w:r w:rsidRPr="00373BEF">
        <w:rPr>
          <w:color w:val="2E2E2E"/>
          <w:lang w:val="en-US"/>
        </w:rPr>
        <w:t xml:space="preserve">Additionally, automated volumetric processing based on a probabilistic atlas in </w:t>
      </w:r>
      <w:proofErr w:type="spellStart"/>
      <w:r w:rsidRPr="00373BEF">
        <w:rPr>
          <w:color w:val="2E2E2E"/>
          <w:lang w:val="en-US"/>
        </w:rPr>
        <w:t>FreeSurfer</w:t>
      </w:r>
      <w:proofErr w:type="spellEnd"/>
      <w:r w:rsidRPr="00373BEF">
        <w:rPr>
          <w:color w:val="2E2E2E"/>
          <w:lang w:val="en-US"/>
        </w:rPr>
        <w:t xml:space="preserve"> generated subcortical labels </w:t>
      </w:r>
      <w:r>
        <w:rPr>
          <w:color w:val="2E2E2E"/>
          <w:lang w:val="en-US"/>
        </w:rPr>
        <w:fldChar w:fldCharType="begin"/>
      </w:r>
      <w:r w:rsidR="003C6758">
        <w:rPr>
          <w:color w:val="2E2E2E"/>
          <w:lang w:val="en-US"/>
        </w:rPr>
        <w:instrText xml:space="preserve"> ADDIN ZOTERO_ITEM CSL_CITATION {"citationID":"0hpSybE7","properties":{"formattedCitation":"(Fischl et al., 2002)","plainCitation":"(Fischl et al., 2002)","noteIndex":0},"citationItems":[{"id":110,"uris":["http://zotero.org/users/1784178/items/UA2ACIBV"],"itemData":{"id":110,"type":"article-journal","abstract":"We present a technique for automatically assigning a neuroanatomical label to each voxel in an MRI volume based on probabilistic information automatically estimated from a manually labeled training set. In contrast to existing segmentation procedures that only label a small number of tissue classes, the current method assigns one of 37 labels to each voxel, including left and right caudate, putamen, pallidum, thalamus, lateral ventricles, hippocampus, and amygdala. The classification technique employs a registration procedure that is robust to anatomical variability, including the ventricular enlargement typically associated with neurological diseases and aging. The technique is shown to be comparable in accuracy to manual labeling, and of sufficient sensitivity to robustly detect changes in the volume of noncortical structures that presage the onset of probable Alzheimer's disease.","container-title":"Neuron","ISSN":"0896-6273","issue":"3","journalAbbreviation":"Neuron","language":"eng","note":"PMID: 11832223","page":"341-355","source":"PubMed","title":"Whole brain segmentation: automated labeling of neuroanatomical structures in the human brain","title-short":"Whole brain segmentation","volume":"33","author":[{"family":"Fischl","given":"Bruce"},{"family":"Salat","given":"David H."},{"family":"Busa","given":"Evelina"},{"family":"Albert","given":"Marilyn"},{"family":"Dieterich","given":"Megan"},{"family":"Haselgrove","given":"Christian"},{"family":"Kouwe","given":"Andre","non-dropping-particle":"van der"},{"family":"Killiany","given":"Ron"},{"family":"Kennedy","given":"David"},{"family":"Klaveness","given":"Shuna"},{"family":"Montillo","given":"Albert"},{"family":"Makris","given":"Nikos"},{"family":"Rosen","given":"Bruce"},{"family":"Dale","given":"Anders M."}],"issued":{"date-parts":[["2002",1,31]]}}}],"schema":"https://github.com/citation-style-language/schema/raw/master/csl-citation.json"} </w:instrText>
      </w:r>
      <w:r>
        <w:rPr>
          <w:color w:val="2E2E2E"/>
          <w:lang w:val="en-US"/>
        </w:rPr>
        <w:fldChar w:fldCharType="separate"/>
      </w:r>
      <w:r w:rsidR="003C6758">
        <w:rPr>
          <w:color w:val="000000"/>
          <w:lang w:val="en-GB"/>
        </w:rPr>
        <w:t>(Fischl et al., 2002)</w:t>
      </w:r>
      <w:r>
        <w:rPr>
          <w:color w:val="2E2E2E"/>
          <w:lang w:val="en-US"/>
        </w:rPr>
        <w:fldChar w:fldCharType="end"/>
      </w:r>
      <w:r w:rsidRPr="00373BEF">
        <w:rPr>
          <w:color w:val="2E2E2E"/>
          <w:lang w:val="en-US"/>
        </w:rPr>
        <w:t>. From</w:t>
      </w:r>
      <w:r>
        <w:rPr>
          <w:color w:val="2E2E2E"/>
          <w:lang w:val="en-US"/>
        </w:rPr>
        <w:t xml:space="preserve"> these labels, volumetric measures of seven</w:t>
      </w:r>
      <w:r w:rsidRPr="00373BEF">
        <w:rPr>
          <w:color w:val="2E2E2E"/>
          <w:lang w:val="en-US"/>
        </w:rPr>
        <w:t xml:space="preserve"> subcortical </w:t>
      </w:r>
      <w:r>
        <w:rPr>
          <w:color w:val="2E2E2E"/>
          <w:lang w:val="en-US"/>
        </w:rPr>
        <w:t>gray matter</w:t>
      </w:r>
      <w:r w:rsidRPr="00373BEF">
        <w:rPr>
          <w:color w:val="2E2E2E"/>
          <w:lang w:val="en-US"/>
        </w:rPr>
        <w:t xml:space="preserve"> structures (thalamus, caudate</w:t>
      </w:r>
      <w:r>
        <w:rPr>
          <w:color w:val="2E2E2E"/>
          <w:lang w:val="en-US"/>
        </w:rPr>
        <w:t xml:space="preserve"> nucleus</w:t>
      </w:r>
      <w:r w:rsidRPr="00373BEF">
        <w:rPr>
          <w:color w:val="2E2E2E"/>
          <w:lang w:val="en-US"/>
        </w:rPr>
        <w:t xml:space="preserve">, nucleus </w:t>
      </w:r>
      <w:proofErr w:type="spellStart"/>
      <w:r w:rsidRPr="00373BEF">
        <w:rPr>
          <w:color w:val="2E2E2E"/>
          <w:lang w:val="en-US"/>
        </w:rPr>
        <w:t>accumbens</w:t>
      </w:r>
      <w:proofErr w:type="spellEnd"/>
      <w:r w:rsidRPr="00373BEF">
        <w:rPr>
          <w:color w:val="2E2E2E"/>
          <w:lang w:val="en-US"/>
        </w:rPr>
        <w:t>, pallidum, putamen, hippocampus, and amygdala) were extracted in each hemisphere</w:t>
      </w:r>
      <w:r w:rsidRPr="00760F40">
        <w:rPr>
          <w:color w:val="2E2E2E"/>
          <w:lang w:val="en-US"/>
        </w:rPr>
        <w:t>.</w:t>
      </w:r>
      <w:r w:rsidRPr="00AA1846">
        <w:rPr>
          <w:color w:val="2E2E2E"/>
          <w:lang w:val="en-US"/>
        </w:rPr>
        <w:t xml:space="preserve"> </w:t>
      </w:r>
    </w:p>
    <w:p w14:paraId="23041E56" w14:textId="7D711216" w:rsidR="00877FA0" w:rsidRPr="000145B7" w:rsidRDefault="00877FA0" w:rsidP="00E46BEB">
      <w:pPr>
        <w:spacing w:before="120" w:line="360" w:lineRule="auto"/>
        <w:jc w:val="both"/>
        <w:rPr>
          <w:lang w:val="en-US"/>
        </w:rPr>
      </w:pPr>
      <w:r>
        <w:rPr>
          <w:color w:val="2E2E2E"/>
          <w:lang w:val="en-US"/>
        </w:rPr>
        <w:t>Resting state fMRI:</w:t>
      </w:r>
    </w:p>
    <w:p w14:paraId="5D530DB6" w14:textId="49A99F7B" w:rsidR="000C1438" w:rsidRDefault="009A0319" w:rsidP="00E46BEB">
      <w:pPr>
        <w:spacing w:before="120" w:line="360" w:lineRule="auto"/>
        <w:jc w:val="both"/>
        <w:rPr>
          <w:lang w:val="en-US"/>
        </w:rPr>
      </w:pPr>
      <w:r>
        <w:rPr>
          <w:lang w:val="en-US"/>
        </w:rPr>
        <w:t xml:space="preserve">A subgroup of 22 patients had complementary </w:t>
      </w:r>
      <w:proofErr w:type="spellStart"/>
      <w:r>
        <w:rPr>
          <w:lang w:val="en-US"/>
        </w:rPr>
        <w:t>rsfMRI</w:t>
      </w:r>
      <w:proofErr w:type="spellEnd"/>
      <w:r>
        <w:rPr>
          <w:lang w:val="en-US"/>
        </w:rPr>
        <w:t xml:space="preserve"> data, hence, 22 matched healthy controls were included in the FC analysis. Preprocessing of </w:t>
      </w:r>
      <w:proofErr w:type="spellStart"/>
      <w:r>
        <w:rPr>
          <w:lang w:val="en-US"/>
        </w:rPr>
        <w:t>rsfMRI</w:t>
      </w:r>
      <w:proofErr w:type="spellEnd"/>
      <w:r>
        <w:rPr>
          <w:lang w:val="en-US"/>
        </w:rPr>
        <w:t xml:space="preserve"> data was performed using the FSL toolbox pipeline (</w:t>
      </w:r>
      <w:r w:rsidRPr="001D02A3">
        <w:rPr>
          <w:lang w:val="en-US"/>
        </w:rPr>
        <w:t>https://fsl.fmrib.ox.ac.uk/fsl/fslwiki/FEAT</w:t>
      </w:r>
      <w:r>
        <w:rPr>
          <w:lang w:val="en-US"/>
        </w:rPr>
        <w:t>).</w:t>
      </w:r>
      <w:r w:rsidDel="00CB082C">
        <w:rPr>
          <w:lang w:val="en-US"/>
        </w:rPr>
        <w:t xml:space="preserve"> </w:t>
      </w:r>
      <w:r>
        <w:rPr>
          <w:lang w:val="en-US"/>
        </w:rPr>
        <w:t xml:space="preserve">A seed-based whole brain FC analysis was performed using filtered clean </w:t>
      </w:r>
      <w:proofErr w:type="spellStart"/>
      <w:r>
        <w:rPr>
          <w:lang w:val="en-US"/>
        </w:rPr>
        <w:t>rsfMRI</w:t>
      </w:r>
      <w:proofErr w:type="spellEnd"/>
      <w:r>
        <w:rPr>
          <w:lang w:val="en-US"/>
        </w:rPr>
        <w:t xml:space="preserve"> data in standard space using FSL </w:t>
      </w:r>
      <w:proofErr w:type="spellStart"/>
      <w:proofErr w:type="gramStart"/>
      <w:r>
        <w:rPr>
          <w:lang w:val="en-US"/>
        </w:rPr>
        <w:t>toolbox.</w:t>
      </w:r>
      <w:r w:rsidR="000C1438">
        <w:rPr>
          <w:lang w:val="en-US"/>
        </w:rPr>
        <w:t>It</w:t>
      </w:r>
      <w:proofErr w:type="spellEnd"/>
      <w:proofErr w:type="gramEnd"/>
      <w:r w:rsidR="000C1438">
        <w:rPr>
          <w:lang w:val="en-US"/>
        </w:rPr>
        <w:t xml:space="preserve"> include</w:t>
      </w:r>
      <w:r w:rsidR="00877FA0">
        <w:rPr>
          <w:lang w:val="en-US"/>
        </w:rPr>
        <w:t>d</w:t>
      </w:r>
      <w:r w:rsidR="000C1438">
        <w:rPr>
          <w:lang w:val="en-US"/>
        </w:rPr>
        <w:t xml:space="preserve"> individual motion and distortion correction using </w:t>
      </w:r>
      <w:proofErr w:type="spellStart"/>
      <w:r w:rsidR="000C1438">
        <w:rPr>
          <w:lang w:val="en-US"/>
        </w:rPr>
        <w:t>Mcflirt</w:t>
      </w:r>
      <w:proofErr w:type="spellEnd"/>
      <w:r w:rsidR="000C1438">
        <w:rPr>
          <w:lang w:val="en-US"/>
        </w:rPr>
        <w:t xml:space="preserve"> and </w:t>
      </w:r>
      <w:proofErr w:type="spellStart"/>
      <w:r w:rsidR="000C1438">
        <w:rPr>
          <w:lang w:val="en-US"/>
        </w:rPr>
        <w:t>fieldmaps</w:t>
      </w:r>
      <w:proofErr w:type="spellEnd"/>
      <w:r w:rsidR="000C1438">
        <w:rPr>
          <w:lang w:val="en-US"/>
        </w:rPr>
        <w:t xml:space="preserve">, respectively. Individual functional data were non-linearly registered to corresponding T1-weighted images. Data were spatially smoothed (5mm) and high-pass filtered (&gt;0.01Hz). Independent components were extracted at the individual level for further denoising. Denoising was performed using the ICA-FIX method in order to reduce multisite differences </w:t>
      </w:r>
      <w:r w:rsidR="000C1438">
        <w:rPr>
          <w:lang w:val="en-US"/>
        </w:rPr>
        <w:fldChar w:fldCharType="begin"/>
      </w:r>
      <w:r w:rsidR="003C6758">
        <w:rPr>
          <w:lang w:val="en-US"/>
        </w:rPr>
        <w:instrText xml:space="preserve"> ADDIN ZOTERO_ITEM CSL_CITATION {"citationID":"g0TjzJLB","properties":{"formattedCitation":"(Feis et al., 2015)","plainCitation":"(Feis et al., 2015)","noteIndex":0},"citationItems":[{"id":4056,"uris":["http://zotero.org/users/1784178/items/H8S53A5W"],"itemData":{"id":4056,"type":"article-journal","abstract":"Resting-state fMRI (R-fMRI) has shown considerable promise in providing potential biomarkers for diagnosis, prognosis and drug response across a range of diseases. Incorporating R-fMRI into multi-center studies is becoming increasingly popular, imposing technical challenges on data acquisition and analysis, as fMRI data is particularly sensitive to structured noise resulting from hardware, software, and environmental differences. Here, we investigated whether a novel clean up tool for structured noise was capable of reducing center-related R-fMRI differences between healthy subjects. We analyzed three Tesla R-fMRI data from 72 subjects, half of whom were scanned with eyes closed in a Philips Achieva system in The Netherlands, and half of whom were scanned with eyes open in a Siemens Trio system in the UK. After pre-statistical processing and individual Independent Component Analysis (ICA), FMRIB's ICA-based X-noiseifier (FIX) was used to remove noise components from the data. GICA and dual regression were run and non-parametric statistics were used to compare spatial maps between groups before and after applying FIX. Large significant differences were found in all resting-state networks between study sites before using FIX, most of which were reduced to non-significant after applying FIX. The between-center difference in the medial/primary visual network, presumably reflecting a between-center difference in protocol, remained statistically significant. FIX helps facilitate multi-center R-fMRI research by diminishing structured noise from R-fMRI data. In doing so, it improves combination of existing data from different centers in new settings and comparison of rare diseases and risk genes for which adequate sample size remains a challenge.","container-title":"Frontiers in Neuroscience","DOI":"10.3389/fnins.2015.00395","ISSN":"1662-4548","journalAbbreviation":"Front Neurosci","language":"eng","note":"PMID: 26578859\nPMCID: PMC4621866","page":"395","source":"PubMed","title":"ICA-based artifact removal diminishes scan site differences in multi-center resting-state fMRI","volume":"9","author":[{"family":"Feis","given":"Rogier A."},{"family":"Smith","given":"Stephen M."},{"family":"Filippini","given":"Nicola"},{"family":"Douaud","given":"Gwenaëlle"},{"family":"Dopper","given":"Elise G. P."},{"family":"Heise","given":"Verena"},{"family":"Trachtenberg","given":"Aaron J."},{"family":"Swieten","given":"John C.","non-dropping-particle":"van"},{"family":"Buchem","given":"Mark A.","non-dropping-particle":"van"},{"family":"Rombouts","given":"Serge A. R. B."},{"family":"Mackay","given":"Clare E."}],"issued":{"date-parts":[["2015"]]}}}],"schema":"https://github.com/citation-style-language/schema/raw/master/csl-citation.json"} </w:instrText>
      </w:r>
      <w:r w:rsidR="000C1438">
        <w:rPr>
          <w:lang w:val="en-US"/>
        </w:rPr>
        <w:fldChar w:fldCharType="separate"/>
      </w:r>
      <w:r w:rsidR="003C6758">
        <w:rPr>
          <w:lang w:val="en-GB"/>
        </w:rPr>
        <w:t>(Feis et al., 2015)</w:t>
      </w:r>
      <w:r w:rsidR="000C1438">
        <w:rPr>
          <w:lang w:val="en-US"/>
        </w:rPr>
        <w:fldChar w:fldCharType="end"/>
      </w:r>
      <w:r w:rsidR="000C1438">
        <w:rPr>
          <w:lang w:val="en-US"/>
        </w:rPr>
        <w:t>: first, we created signal and noise labels for individual ICA maps in 10 subjects. These labels were than used to train model and further applied to each individual ICA maps to create signal and noise labels. Finally, we regressed out the noise components and the motion parameters using regression filter available in FSL.</w:t>
      </w:r>
    </w:p>
    <w:p w14:paraId="7A821A59" w14:textId="2B0A7C6D" w:rsidR="000D721C" w:rsidRDefault="000C1438" w:rsidP="00E46BEB">
      <w:pPr>
        <w:spacing w:before="120" w:line="360" w:lineRule="auto"/>
        <w:jc w:val="both"/>
        <w:rPr>
          <w:lang w:val="en-US"/>
        </w:rPr>
      </w:pPr>
      <w:r w:rsidRPr="00907A29">
        <w:rPr>
          <w:highlight w:val="yellow"/>
          <w:lang w:val="en-US"/>
        </w:rPr>
        <w:t>A seed-based whole</w:t>
      </w:r>
      <w:r w:rsidR="002B10DD">
        <w:rPr>
          <w:highlight w:val="yellow"/>
          <w:lang w:val="en-US"/>
        </w:rPr>
        <w:t>-</w:t>
      </w:r>
      <w:r w:rsidRPr="00907A29">
        <w:rPr>
          <w:highlight w:val="yellow"/>
          <w:lang w:val="en-US"/>
        </w:rPr>
        <w:t>brain</w:t>
      </w:r>
      <w:r>
        <w:rPr>
          <w:lang w:val="en-US"/>
        </w:rPr>
        <w:t xml:space="preserve"> FC analysis was performed using filtered clean </w:t>
      </w:r>
      <w:proofErr w:type="spellStart"/>
      <w:r>
        <w:rPr>
          <w:lang w:val="en-US"/>
        </w:rPr>
        <w:t>rsfMRI</w:t>
      </w:r>
      <w:proofErr w:type="spellEnd"/>
      <w:r>
        <w:rPr>
          <w:lang w:val="en-US"/>
        </w:rPr>
        <w:t xml:space="preserve"> data in standard space using FSL toolbox. Seeds were created from the brain areas showed significant differences in </w:t>
      </w:r>
      <w:proofErr w:type="spellStart"/>
      <w:r>
        <w:rPr>
          <w:lang w:val="en-US"/>
        </w:rPr>
        <w:t>CTh</w:t>
      </w:r>
      <w:proofErr w:type="spellEnd"/>
      <w:r>
        <w:rPr>
          <w:lang w:val="en-US"/>
        </w:rPr>
        <w:t xml:space="preserve"> and subcortical volume between </w:t>
      </w:r>
      <w:proofErr w:type="spellStart"/>
      <w:r>
        <w:rPr>
          <w:lang w:val="en-US"/>
        </w:rPr>
        <w:t>bvFTD</w:t>
      </w:r>
      <w:proofErr w:type="spellEnd"/>
      <w:r>
        <w:rPr>
          <w:lang w:val="en-US"/>
        </w:rPr>
        <w:t xml:space="preserve"> and healthy controls. Dual regression was performed over the whole-brain using each seed mask in order to obtain respective FC maps. </w:t>
      </w:r>
    </w:p>
    <w:p w14:paraId="132EFCE3" w14:textId="76BAE222" w:rsidR="000C1438" w:rsidRDefault="000C1438" w:rsidP="00E46BEB">
      <w:pPr>
        <w:spacing w:before="120" w:line="360" w:lineRule="auto"/>
        <w:jc w:val="both"/>
        <w:rPr>
          <w:lang w:val="en-US"/>
        </w:rPr>
      </w:pPr>
      <w:r>
        <w:rPr>
          <w:lang w:val="en-US"/>
        </w:rPr>
        <w:lastRenderedPageBreak/>
        <w:t>Statistical analysis:</w:t>
      </w:r>
    </w:p>
    <w:p w14:paraId="0CA85447" w14:textId="74594F62" w:rsidR="000C1438" w:rsidRDefault="000C1438" w:rsidP="00E46BEB">
      <w:pPr>
        <w:spacing w:before="120" w:line="360" w:lineRule="auto"/>
        <w:jc w:val="both"/>
        <w:rPr>
          <w:lang w:val="en-US"/>
        </w:rPr>
      </w:pPr>
      <w:r>
        <w:rPr>
          <w:lang w:val="en-US"/>
        </w:rPr>
        <w:t>Demographic, clinical, behavioral and subcortical volume measures were analyzed using SPSS Version 25.0 (</w:t>
      </w:r>
      <w:r w:rsidRPr="007A0226">
        <w:rPr>
          <w:lang w:val="en-US"/>
        </w:rPr>
        <w:t>Armonk, NY: IBM Corp.</w:t>
      </w:r>
      <w:r>
        <w:rPr>
          <w:lang w:val="en-US"/>
        </w:rPr>
        <w:t xml:space="preserve">). Variables showing normal distributions were analyzed using a two-sample t-test </w:t>
      </w:r>
      <w:r w:rsidR="00C37819">
        <w:rPr>
          <w:lang w:val="en-US"/>
        </w:rPr>
        <w:t xml:space="preserve">while others with Mann-Whitney U test </w:t>
      </w:r>
      <w:r>
        <w:rPr>
          <w:lang w:val="en-US"/>
        </w:rPr>
        <w:t xml:space="preserve">for comparison between groups. Categorical variables (i.e., sex) were compared using a chi square test. </w:t>
      </w:r>
    </w:p>
    <w:p w14:paraId="30B5EA08" w14:textId="77777777" w:rsidR="000C1438" w:rsidRPr="00992F8D" w:rsidRDefault="000C1438" w:rsidP="00E46BEB">
      <w:pPr>
        <w:spacing w:before="120" w:line="360" w:lineRule="auto"/>
        <w:jc w:val="both"/>
        <w:rPr>
          <w:lang w:val="en-US"/>
        </w:rPr>
      </w:pPr>
      <w:proofErr w:type="spellStart"/>
      <w:r w:rsidRPr="00725CA3">
        <w:rPr>
          <w:lang w:val="en-US"/>
        </w:rPr>
        <w:t>CTh</w:t>
      </w:r>
      <w:proofErr w:type="spellEnd"/>
      <w:r w:rsidRPr="00725CA3">
        <w:rPr>
          <w:lang w:val="en-US"/>
        </w:rPr>
        <w:t xml:space="preserve"> maps were smoothed (10mm) and inserted into a general linear model to compare between groups including age, sex, education, total intracranial volume and acquisition sites as nuisance variables. </w:t>
      </w:r>
      <w:proofErr w:type="spellStart"/>
      <w:r w:rsidRPr="00725CA3">
        <w:rPr>
          <w:lang w:val="en-US"/>
        </w:rPr>
        <w:t>CTh</w:t>
      </w:r>
      <w:proofErr w:type="spellEnd"/>
      <w:r w:rsidRPr="00725CA3">
        <w:rPr>
          <w:lang w:val="en-US"/>
        </w:rPr>
        <w:t xml:space="preserve"> changes were obtained at p&lt;0.05, corrected for cluster-level familywise error using Monte-Carlo simulation.</w:t>
      </w:r>
    </w:p>
    <w:p w14:paraId="4DDFFE43" w14:textId="77777777" w:rsidR="000C1438" w:rsidRDefault="000C1438" w:rsidP="00E46BEB">
      <w:pPr>
        <w:spacing w:before="120" w:line="360" w:lineRule="auto"/>
        <w:jc w:val="both"/>
        <w:rPr>
          <w:lang w:val="en-US"/>
        </w:rPr>
      </w:pPr>
      <w:r>
        <w:rPr>
          <w:lang w:val="en-US"/>
        </w:rPr>
        <w:t>Subcortical volumes from seven regions were also compared between groups using general linear model including age, sex, education, total intracranial volume, and scanner site as covariates of no interest. Significant results were reported at p&lt;0.05, corrected for multiple comparisons using a Bonferroni approach.</w:t>
      </w:r>
    </w:p>
    <w:p w14:paraId="252A2383" w14:textId="77777777" w:rsidR="000C1438" w:rsidRDefault="000C1438" w:rsidP="00E46BEB">
      <w:pPr>
        <w:spacing w:before="120" w:line="360" w:lineRule="auto"/>
        <w:jc w:val="both"/>
        <w:rPr>
          <w:lang w:val="en-US"/>
        </w:rPr>
      </w:pPr>
      <w:r>
        <w:rPr>
          <w:lang w:val="en-US"/>
        </w:rPr>
        <w:t xml:space="preserve">Seed-to-whole brain FC maps were inserted into a general linear model included age, sex, education, and scanner site as covariates of no interests to assess group differences. A </w:t>
      </w:r>
      <w:proofErr w:type="spellStart"/>
      <w:r>
        <w:rPr>
          <w:lang w:val="en-US"/>
        </w:rPr>
        <w:t>randomise</w:t>
      </w:r>
      <w:proofErr w:type="spellEnd"/>
      <w:r>
        <w:rPr>
          <w:lang w:val="en-US"/>
        </w:rPr>
        <w:t xml:space="preserve"> approach reported</w:t>
      </w:r>
      <w:r w:rsidDel="00393072">
        <w:rPr>
          <w:lang w:val="en-US"/>
        </w:rPr>
        <w:t xml:space="preserve"> </w:t>
      </w:r>
      <w:r>
        <w:rPr>
          <w:lang w:val="en-US"/>
        </w:rPr>
        <w:t>significant clusters at p&lt;0.05, after correcting for multiple comparisons using threshold-free cluster enhancement.</w:t>
      </w:r>
    </w:p>
    <w:p w14:paraId="5CA123E4" w14:textId="5BDF50AA" w:rsidR="000C1438" w:rsidRPr="00DD10B5" w:rsidRDefault="000C1438" w:rsidP="00E46BEB">
      <w:pPr>
        <w:spacing w:before="120" w:line="360" w:lineRule="auto"/>
        <w:jc w:val="both"/>
        <w:rPr>
          <w:lang w:val="en-US"/>
        </w:rPr>
      </w:pPr>
      <w:r>
        <w:rPr>
          <w:lang w:val="en-US"/>
        </w:rPr>
        <w:t xml:space="preserve"> An exploratory Pearson correlation was performed between clinical, behavioral and Cortical thickness and subcortical volume measures obtained from </w:t>
      </w:r>
      <w:proofErr w:type="spellStart"/>
      <w:r>
        <w:rPr>
          <w:lang w:val="en-US"/>
        </w:rPr>
        <w:t>freesurfer</w:t>
      </w:r>
      <w:proofErr w:type="spellEnd"/>
      <w:r>
        <w:rPr>
          <w:lang w:val="en-US"/>
        </w:rPr>
        <w:t xml:space="preserve"> </w:t>
      </w:r>
      <w:proofErr w:type="spellStart"/>
      <w:r>
        <w:rPr>
          <w:lang w:val="en-US"/>
        </w:rPr>
        <w:t>analyisis</w:t>
      </w:r>
      <w:proofErr w:type="spellEnd"/>
      <w:r>
        <w:rPr>
          <w:lang w:val="en-US"/>
        </w:rPr>
        <w:t xml:space="preserve"> using SPSS. Significant correlations were reported at p&lt;0.05</w:t>
      </w:r>
      <w:r w:rsidRPr="006D68A6">
        <w:rPr>
          <w:lang w:val="en-US"/>
        </w:rPr>
        <w:t xml:space="preserve"> </w:t>
      </w:r>
      <w:r>
        <w:rPr>
          <w:lang w:val="en-US"/>
        </w:rPr>
        <w:t xml:space="preserve">for cortical regions and at p&lt;0.005 for subcortical regions (corrected for multiple comparisons using number of subcortical regions </w:t>
      </w:r>
      <w:r w:rsidRPr="00907A29">
        <w:rPr>
          <w:highlight w:val="yellow"/>
          <w:lang w:val="en-US"/>
        </w:rPr>
        <w:t>(0.05/10</w:t>
      </w:r>
      <w:r w:rsidR="00725CA3" w:rsidRPr="00907A29">
        <w:rPr>
          <w:highlight w:val="yellow"/>
          <w:lang w:val="en-US"/>
        </w:rPr>
        <w:t xml:space="preserve"> =0.005</w:t>
      </w:r>
      <w:r w:rsidRPr="00907A29">
        <w:rPr>
          <w:highlight w:val="yellow"/>
          <w:lang w:val="en-US"/>
        </w:rPr>
        <w:t>)).</w:t>
      </w:r>
      <w:r>
        <w:rPr>
          <w:lang w:val="en-US"/>
        </w:rPr>
        <w:t xml:space="preserve"> We also reported non-significant correlations (0.05&gt;p&gt;0.005) as trend. </w:t>
      </w:r>
      <w:r w:rsidRPr="00F67E61">
        <w:rPr>
          <w:lang w:val="en-US"/>
        </w:rPr>
        <w:t>We did not perform correlation analys</w:t>
      </w:r>
      <w:r>
        <w:rPr>
          <w:lang w:val="en-US"/>
        </w:rPr>
        <w:t>i</w:t>
      </w:r>
      <w:r w:rsidRPr="00F67E61">
        <w:rPr>
          <w:lang w:val="en-US"/>
        </w:rPr>
        <w:t xml:space="preserve">s </w:t>
      </w:r>
      <w:r>
        <w:rPr>
          <w:lang w:val="en-US"/>
        </w:rPr>
        <w:t xml:space="preserve">between clinical, behavioral and </w:t>
      </w:r>
      <w:r w:rsidRPr="00F67E61">
        <w:rPr>
          <w:lang w:val="en-US"/>
        </w:rPr>
        <w:t>FC changes, as there was a high proportion of missing values</w:t>
      </w:r>
      <w:r>
        <w:rPr>
          <w:lang w:val="en-US"/>
        </w:rPr>
        <w:t xml:space="preserve"> of clinical and behavioral </w:t>
      </w:r>
      <w:r w:rsidR="009A0319">
        <w:rPr>
          <w:lang w:val="en-US"/>
        </w:rPr>
        <w:t>measures leading</w:t>
      </w:r>
      <w:r>
        <w:rPr>
          <w:lang w:val="en-US"/>
        </w:rPr>
        <w:t xml:space="preserve"> </w:t>
      </w:r>
      <w:r w:rsidR="009A0319">
        <w:rPr>
          <w:lang w:val="en-US"/>
        </w:rPr>
        <w:t xml:space="preserve">to </w:t>
      </w:r>
      <w:r w:rsidRPr="00F67E61">
        <w:rPr>
          <w:lang w:val="en-US"/>
        </w:rPr>
        <w:t>a too small sample size.</w:t>
      </w:r>
    </w:p>
    <w:p w14:paraId="249BEE97" w14:textId="77777777" w:rsidR="00F8657E" w:rsidRDefault="00F8657E" w:rsidP="00E46BEB">
      <w:pPr>
        <w:spacing w:before="120" w:line="360" w:lineRule="auto"/>
        <w:jc w:val="both"/>
        <w:rPr>
          <w:lang w:val="en-US"/>
        </w:rPr>
      </w:pPr>
    </w:p>
    <w:p w14:paraId="2A1F9047" w14:textId="77777777" w:rsidR="00F8657E" w:rsidRDefault="00F8657E" w:rsidP="00E46BEB">
      <w:pPr>
        <w:spacing w:before="120" w:line="360" w:lineRule="auto"/>
        <w:jc w:val="both"/>
        <w:rPr>
          <w:lang w:val="en-US"/>
        </w:rPr>
      </w:pPr>
    </w:p>
    <w:p w14:paraId="52017E35" w14:textId="77777777" w:rsidR="00E7614F" w:rsidRDefault="00E7614F" w:rsidP="00E46BEB">
      <w:pPr>
        <w:spacing w:before="120" w:line="360" w:lineRule="auto"/>
        <w:rPr>
          <w:lang w:val="en-US"/>
        </w:rPr>
      </w:pPr>
      <w:r>
        <w:rPr>
          <w:lang w:val="en-US"/>
        </w:rPr>
        <w:br w:type="page"/>
      </w:r>
    </w:p>
    <w:p w14:paraId="34D15267" w14:textId="45AB26EF" w:rsidR="000C1438" w:rsidRDefault="00F8657E" w:rsidP="00E46BEB">
      <w:pPr>
        <w:spacing w:before="120" w:line="360" w:lineRule="auto"/>
        <w:jc w:val="both"/>
        <w:rPr>
          <w:lang w:val="en-US"/>
        </w:rPr>
      </w:pPr>
      <w:r>
        <w:rPr>
          <w:lang w:val="en-US"/>
        </w:rPr>
        <w:lastRenderedPageBreak/>
        <w:t xml:space="preserve">Results </w:t>
      </w:r>
    </w:p>
    <w:p w14:paraId="0020875D" w14:textId="070646E0" w:rsidR="00E7614F" w:rsidRPr="00907A29" w:rsidRDefault="008F1E1B" w:rsidP="00E46BEB">
      <w:pPr>
        <w:spacing w:before="120" w:line="360" w:lineRule="auto"/>
        <w:rPr>
          <w:highlight w:val="yellow"/>
          <w:lang w:val="en-US"/>
        </w:rPr>
      </w:pPr>
      <w:proofErr w:type="spellStart"/>
      <w:r w:rsidRPr="00E46BEB">
        <w:rPr>
          <w:b/>
          <w:bCs/>
          <w:highlight w:val="yellow"/>
          <w:lang w:val="de-DE"/>
        </w:rPr>
        <w:t>Supplementary</w:t>
      </w:r>
      <w:proofErr w:type="spellEnd"/>
      <w:r w:rsidRPr="00E46BEB">
        <w:rPr>
          <w:b/>
          <w:bCs/>
          <w:highlight w:val="yellow"/>
          <w:lang w:val="de-DE"/>
        </w:rPr>
        <w:t xml:space="preserve"> </w:t>
      </w:r>
      <w:r w:rsidR="00E7614F" w:rsidRPr="00E46BEB">
        <w:rPr>
          <w:b/>
          <w:bCs/>
          <w:highlight w:val="yellow"/>
        </w:rPr>
        <w:t>Table</w:t>
      </w:r>
      <w:r w:rsidR="00E7614F" w:rsidRPr="00E46BEB">
        <w:rPr>
          <w:b/>
          <w:bCs/>
          <w:highlight w:val="yellow"/>
          <w:lang w:val="en-US"/>
        </w:rPr>
        <w:t>1</w:t>
      </w:r>
      <w:r w:rsidR="00E7614F" w:rsidRPr="00E46BEB">
        <w:rPr>
          <w:b/>
          <w:bCs/>
          <w:highlight w:val="yellow"/>
        </w:rPr>
        <w:t>.</w:t>
      </w:r>
      <w:r w:rsidR="00E7614F" w:rsidRPr="00907A29">
        <w:rPr>
          <w:highlight w:val="yellow"/>
        </w:rPr>
        <w:t xml:space="preserve"> Represent the demographic, clinical and behavioral measures of 22 bvFTD patients and matched controls</w:t>
      </w:r>
      <w:r w:rsidR="00E7614F" w:rsidRPr="00907A29">
        <w:rPr>
          <w:highlight w:val="yellow"/>
          <w:lang w:val="en-US"/>
        </w:rPr>
        <w:t xml:space="preserve"> for whom complementary resting fMRI data was available in the original cohort mentioned in Table1</w:t>
      </w:r>
      <w:r w:rsidR="00E7614F" w:rsidRPr="00907A29">
        <w:rPr>
          <w:highlight w:val="yellow"/>
        </w:rPr>
        <w:t>.</w:t>
      </w:r>
      <w:r w:rsidR="003F3E9B" w:rsidRPr="008F1E1B">
        <w:rPr>
          <w:highlight w:val="yellow"/>
          <w:lang w:val="en-US"/>
        </w:rPr>
        <w:t xml:space="preserve"> </w:t>
      </w:r>
      <w:r w:rsidR="004B4ABF" w:rsidRPr="00907A29">
        <w:rPr>
          <w:highlight w:val="yellow"/>
          <w:lang w:val="en-US"/>
        </w:rPr>
        <w:t>It also shows significant differences after implementing the Mann-Whitney U test.</w:t>
      </w:r>
    </w:p>
    <w:tbl>
      <w:tblPr>
        <w:tblStyle w:val="TableGrid"/>
        <w:tblpPr w:leftFromText="180" w:rightFromText="180" w:vertAnchor="page" w:horzAnchor="margin" w:tblpY="366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9"/>
        <w:gridCol w:w="1700"/>
        <w:gridCol w:w="2090"/>
        <w:gridCol w:w="2257"/>
      </w:tblGrid>
      <w:tr w:rsidR="00E7614F" w:rsidRPr="00907A29" w14:paraId="1AD3DAF5" w14:textId="77777777" w:rsidTr="00BE0F0C">
        <w:trPr>
          <w:trHeight w:val="552"/>
        </w:trPr>
        <w:tc>
          <w:tcPr>
            <w:tcW w:w="1650" w:type="pct"/>
            <w:tcBorders>
              <w:top w:val="single" w:sz="4" w:space="0" w:color="auto"/>
              <w:bottom w:val="single" w:sz="4" w:space="0" w:color="auto"/>
            </w:tcBorders>
          </w:tcPr>
          <w:p w14:paraId="05508181" w14:textId="77777777" w:rsidR="00E7614F" w:rsidRPr="00907A29" w:rsidRDefault="00E7614F" w:rsidP="00E46BEB">
            <w:pPr>
              <w:spacing w:before="120" w:line="360" w:lineRule="auto"/>
              <w:rPr>
                <w:highlight w:val="yellow"/>
              </w:rPr>
            </w:pPr>
          </w:p>
          <w:p w14:paraId="7C84F7B1" w14:textId="77777777" w:rsidR="00E7614F" w:rsidRPr="00907A29" w:rsidRDefault="00E7614F" w:rsidP="00E46BEB">
            <w:pPr>
              <w:spacing w:before="120" w:line="360" w:lineRule="auto"/>
              <w:rPr>
                <w:highlight w:val="yellow"/>
              </w:rPr>
            </w:pPr>
          </w:p>
        </w:tc>
        <w:tc>
          <w:tcPr>
            <w:tcW w:w="942" w:type="pct"/>
            <w:tcBorders>
              <w:top w:val="single" w:sz="4" w:space="0" w:color="auto"/>
              <w:bottom w:val="single" w:sz="4" w:space="0" w:color="auto"/>
            </w:tcBorders>
          </w:tcPr>
          <w:p w14:paraId="141F4C98" w14:textId="77777777" w:rsidR="00E7614F" w:rsidRPr="00907A29" w:rsidRDefault="00E7614F" w:rsidP="00E46BEB">
            <w:pPr>
              <w:spacing w:before="120" w:line="360" w:lineRule="auto"/>
              <w:jc w:val="center"/>
              <w:rPr>
                <w:highlight w:val="yellow"/>
              </w:rPr>
            </w:pPr>
            <w:r w:rsidRPr="00907A29">
              <w:rPr>
                <w:highlight w:val="yellow"/>
              </w:rPr>
              <w:t>CONTROL</w:t>
            </w:r>
          </w:p>
          <w:p w14:paraId="0FCA3079" w14:textId="77777777" w:rsidR="00E7614F" w:rsidRPr="00907A29" w:rsidRDefault="00E7614F" w:rsidP="00E46BEB">
            <w:pPr>
              <w:spacing w:before="120" w:line="360" w:lineRule="auto"/>
              <w:jc w:val="center"/>
              <w:rPr>
                <w:highlight w:val="yellow"/>
              </w:rPr>
            </w:pPr>
            <w:r w:rsidRPr="00907A29">
              <w:rPr>
                <w:highlight w:val="yellow"/>
              </w:rPr>
              <w:t>(</w:t>
            </w:r>
            <w:proofErr w:type="spellStart"/>
            <w:r w:rsidRPr="00907A29">
              <w:rPr>
                <w:highlight w:val="yellow"/>
              </w:rPr>
              <w:t>Mean±SD</w:t>
            </w:r>
            <w:proofErr w:type="spellEnd"/>
            <w:r w:rsidRPr="00907A29">
              <w:rPr>
                <w:highlight w:val="yellow"/>
              </w:rPr>
              <w:t>)</w:t>
            </w:r>
          </w:p>
        </w:tc>
        <w:tc>
          <w:tcPr>
            <w:tcW w:w="1158" w:type="pct"/>
            <w:tcBorders>
              <w:top w:val="single" w:sz="4" w:space="0" w:color="auto"/>
              <w:bottom w:val="single" w:sz="4" w:space="0" w:color="auto"/>
            </w:tcBorders>
          </w:tcPr>
          <w:p w14:paraId="5AB24FD9" w14:textId="77777777" w:rsidR="00E7614F" w:rsidRPr="00907A29" w:rsidRDefault="00E7614F" w:rsidP="00E46BEB">
            <w:pPr>
              <w:spacing w:before="120" w:line="360" w:lineRule="auto"/>
              <w:jc w:val="center"/>
              <w:rPr>
                <w:highlight w:val="yellow"/>
              </w:rPr>
            </w:pPr>
            <w:proofErr w:type="spellStart"/>
            <w:r w:rsidRPr="00907A29">
              <w:rPr>
                <w:highlight w:val="yellow"/>
              </w:rPr>
              <w:t>bvFTD</w:t>
            </w:r>
            <w:proofErr w:type="spellEnd"/>
          </w:p>
          <w:p w14:paraId="05AE1306" w14:textId="77777777" w:rsidR="00E7614F" w:rsidRPr="00907A29" w:rsidRDefault="00E7614F" w:rsidP="00E46BEB">
            <w:pPr>
              <w:spacing w:before="120" w:line="360" w:lineRule="auto"/>
              <w:jc w:val="center"/>
              <w:rPr>
                <w:highlight w:val="yellow"/>
              </w:rPr>
            </w:pPr>
            <w:r w:rsidRPr="00907A29">
              <w:rPr>
                <w:highlight w:val="yellow"/>
              </w:rPr>
              <w:t>(</w:t>
            </w:r>
            <w:proofErr w:type="spellStart"/>
            <w:r w:rsidRPr="00907A29">
              <w:rPr>
                <w:highlight w:val="yellow"/>
              </w:rPr>
              <w:t>Mean±SD</w:t>
            </w:r>
            <w:proofErr w:type="spellEnd"/>
            <w:r w:rsidRPr="00907A29">
              <w:rPr>
                <w:highlight w:val="yellow"/>
              </w:rPr>
              <w:t>)</w:t>
            </w:r>
          </w:p>
        </w:tc>
        <w:tc>
          <w:tcPr>
            <w:tcW w:w="1250" w:type="pct"/>
            <w:tcBorders>
              <w:top w:val="single" w:sz="4" w:space="0" w:color="auto"/>
              <w:bottom w:val="single" w:sz="4" w:space="0" w:color="auto"/>
            </w:tcBorders>
          </w:tcPr>
          <w:p w14:paraId="021C82D5" w14:textId="77777777" w:rsidR="00E7614F" w:rsidRPr="00907A29" w:rsidRDefault="00E7614F" w:rsidP="00E46BEB">
            <w:pPr>
              <w:spacing w:before="120" w:line="360" w:lineRule="auto"/>
              <w:jc w:val="center"/>
              <w:rPr>
                <w:highlight w:val="yellow"/>
              </w:rPr>
            </w:pPr>
            <w:proofErr w:type="spellStart"/>
            <w:r w:rsidRPr="00907A29">
              <w:rPr>
                <w:highlight w:val="yellow"/>
              </w:rPr>
              <w:t>pvalue</w:t>
            </w:r>
            <w:proofErr w:type="spellEnd"/>
          </w:p>
        </w:tc>
      </w:tr>
      <w:tr w:rsidR="00E7614F" w:rsidRPr="00907A29" w14:paraId="264CEB41" w14:textId="77777777" w:rsidTr="00BE0F0C">
        <w:trPr>
          <w:trHeight w:val="552"/>
        </w:trPr>
        <w:tc>
          <w:tcPr>
            <w:tcW w:w="1650" w:type="pct"/>
            <w:tcBorders>
              <w:top w:val="single" w:sz="4" w:space="0" w:color="auto"/>
            </w:tcBorders>
          </w:tcPr>
          <w:p w14:paraId="4C83979C" w14:textId="77777777" w:rsidR="00E7614F" w:rsidRPr="00907A29" w:rsidRDefault="00E7614F" w:rsidP="00E46BEB">
            <w:pPr>
              <w:spacing w:before="120" w:line="360" w:lineRule="auto"/>
              <w:rPr>
                <w:highlight w:val="yellow"/>
              </w:rPr>
            </w:pPr>
            <w:r w:rsidRPr="00907A29">
              <w:rPr>
                <w:highlight w:val="yellow"/>
              </w:rPr>
              <w:t>Age</w:t>
            </w:r>
          </w:p>
        </w:tc>
        <w:tc>
          <w:tcPr>
            <w:tcW w:w="942" w:type="pct"/>
            <w:tcBorders>
              <w:top w:val="single" w:sz="4" w:space="0" w:color="auto"/>
            </w:tcBorders>
          </w:tcPr>
          <w:p w14:paraId="6F5C2BC3" w14:textId="0DEFD705" w:rsidR="00E7614F" w:rsidRPr="00907A29" w:rsidRDefault="00E7614F" w:rsidP="00E46BEB">
            <w:pPr>
              <w:spacing w:before="120" w:line="360" w:lineRule="auto"/>
              <w:jc w:val="center"/>
              <w:rPr>
                <w:highlight w:val="yellow"/>
              </w:rPr>
            </w:pPr>
            <w:r w:rsidRPr="00907A29">
              <w:rPr>
                <w:highlight w:val="yellow"/>
              </w:rPr>
              <w:t>6</w:t>
            </w:r>
            <w:r w:rsidR="00E33D59" w:rsidRPr="00907A29">
              <w:rPr>
                <w:highlight w:val="yellow"/>
              </w:rPr>
              <w:t>3.4</w:t>
            </w:r>
            <w:r w:rsidR="001519AE" w:rsidRPr="00907A29">
              <w:rPr>
                <w:highlight w:val="yellow"/>
              </w:rPr>
              <w:t>1</w:t>
            </w:r>
            <w:r w:rsidRPr="00907A29">
              <w:rPr>
                <w:highlight w:val="yellow"/>
              </w:rPr>
              <w:t>±11.</w:t>
            </w:r>
            <w:r w:rsidR="001519AE" w:rsidRPr="00907A29">
              <w:rPr>
                <w:highlight w:val="yellow"/>
              </w:rPr>
              <w:t>33</w:t>
            </w:r>
          </w:p>
        </w:tc>
        <w:tc>
          <w:tcPr>
            <w:tcW w:w="1158" w:type="pct"/>
            <w:tcBorders>
              <w:top w:val="single" w:sz="4" w:space="0" w:color="auto"/>
            </w:tcBorders>
          </w:tcPr>
          <w:p w14:paraId="3E07CDDA" w14:textId="61239EEE" w:rsidR="00E7614F" w:rsidRPr="00907A29" w:rsidRDefault="001519AE" w:rsidP="00E46BEB">
            <w:pPr>
              <w:spacing w:before="120" w:line="360" w:lineRule="auto"/>
              <w:jc w:val="center"/>
              <w:rPr>
                <w:highlight w:val="yellow"/>
              </w:rPr>
            </w:pPr>
            <w:r w:rsidRPr="00907A29">
              <w:rPr>
                <w:highlight w:val="yellow"/>
              </w:rPr>
              <w:t>62.45</w:t>
            </w:r>
            <w:r w:rsidR="00E7614F" w:rsidRPr="00907A29">
              <w:rPr>
                <w:highlight w:val="yellow"/>
              </w:rPr>
              <w:t>±</w:t>
            </w:r>
            <w:r w:rsidRPr="00907A29">
              <w:rPr>
                <w:highlight w:val="yellow"/>
              </w:rPr>
              <w:t>11.0</w:t>
            </w:r>
          </w:p>
        </w:tc>
        <w:tc>
          <w:tcPr>
            <w:tcW w:w="1250" w:type="pct"/>
            <w:tcBorders>
              <w:top w:val="single" w:sz="4" w:space="0" w:color="auto"/>
            </w:tcBorders>
          </w:tcPr>
          <w:p w14:paraId="4C710155" w14:textId="77777777" w:rsidR="00E7614F" w:rsidRPr="00907A29" w:rsidRDefault="00E7614F" w:rsidP="00E46BEB">
            <w:pPr>
              <w:spacing w:before="120" w:line="360" w:lineRule="auto"/>
              <w:jc w:val="center"/>
              <w:rPr>
                <w:highlight w:val="yellow"/>
              </w:rPr>
            </w:pPr>
            <w:r w:rsidRPr="00907A29">
              <w:rPr>
                <w:highlight w:val="yellow"/>
              </w:rPr>
              <w:t>0.197</w:t>
            </w:r>
          </w:p>
        </w:tc>
      </w:tr>
      <w:tr w:rsidR="00E7614F" w:rsidRPr="00907A29" w14:paraId="3F840DCB" w14:textId="77777777" w:rsidTr="00BE0F0C">
        <w:trPr>
          <w:trHeight w:val="552"/>
        </w:trPr>
        <w:tc>
          <w:tcPr>
            <w:tcW w:w="1650" w:type="pct"/>
          </w:tcPr>
          <w:p w14:paraId="6FE9DA20" w14:textId="3FA20507" w:rsidR="00E7614F" w:rsidRPr="00907A29" w:rsidRDefault="00085365" w:rsidP="00E46BEB">
            <w:pPr>
              <w:spacing w:before="120" w:line="360" w:lineRule="auto"/>
              <w:rPr>
                <w:highlight w:val="yellow"/>
              </w:rPr>
            </w:pPr>
            <w:r w:rsidRPr="00907A29">
              <w:rPr>
                <w:highlight w:val="yellow"/>
              </w:rPr>
              <w:t xml:space="preserve">Sex </w:t>
            </w:r>
            <w:r w:rsidR="00E7614F" w:rsidRPr="00907A29">
              <w:rPr>
                <w:highlight w:val="yellow"/>
              </w:rPr>
              <w:t>(M: F)</w:t>
            </w:r>
          </w:p>
        </w:tc>
        <w:tc>
          <w:tcPr>
            <w:tcW w:w="942" w:type="pct"/>
          </w:tcPr>
          <w:p w14:paraId="796202B2" w14:textId="4401155F" w:rsidR="00E7614F" w:rsidRPr="00907A29" w:rsidRDefault="00E7614F" w:rsidP="00E46BEB">
            <w:pPr>
              <w:spacing w:before="120" w:line="360" w:lineRule="auto"/>
              <w:jc w:val="center"/>
              <w:rPr>
                <w:highlight w:val="yellow"/>
              </w:rPr>
            </w:pPr>
            <w:r w:rsidRPr="00907A29">
              <w:rPr>
                <w:highlight w:val="yellow"/>
              </w:rPr>
              <w:t>1</w:t>
            </w:r>
            <w:r w:rsidR="00C37819" w:rsidRPr="00907A29">
              <w:rPr>
                <w:highlight w:val="yellow"/>
              </w:rPr>
              <w:t>3</w:t>
            </w:r>
            <w:r w:rsidRPr="00907A29">
              <w:rPr>
                <w:highlight w:val="yellow"/>
              </w:rPr>
              <w:t>:</w:t>
            </w:r>
            <w:r w:rsidR="00C37819" w:rsidRPr="00907A29">
              <w:rPr>
                <w:highlight w:val="yellow"/>
              </w:rPr>
              <w:t>9</w:t>
            </w:r>
          </w:p>
        </w:tc>
        <w:tc>
          <w:tcPr>
            <w:tcW w:w="1158" w:type="pct"/>
          </w:tcPr>
          <w:p w14:paraId="400E5748" w14:textId="77777777" w:rsidR="00E7614F" w:rsidRPr="00907A29" w:rsidRDefault="00E7614F" w:rsidP="00E46BEB">
            <w:pPr>
              <w:spacing w:before="120" w:line="360" w:lineRule="auto"/>
              <w:jc w:val="center"/>
              <w:rPr>
                <w:highlight w:val="yellow"/>
              </w:rPr>
            </w:pPr>
            <w:r w:rsidRPr="00907A29">
              <w:rPr>
                <w:highlight w:val="yellow"/>
              </w:rPr>
              <w:t>14:8</w:t>
            </w:r>
          </w:p>
        </w:tc>
        <w:tc>
          <w:tcPr>
            <w:tcW w:w="1250" w:type="pct"/>
          </w:tcPr>
          <w:p w14:paraId="01373F4D" w14:textId="77777777" w:rsidR="00E7614F" w:rsidRPr="00907A29" w:rsidRDefault="00E7614F" w:rsidP="00E46BEB">
            <w:pPr>
              <w:spacing w:before="120" w:line="360" w:lineRule="auto"/>
              <w:jc w:val="center"/>
              <w:rPr>
                <w:highlight w:val="yellow"/>
                <w:lang w:val="de-DE"/>
              </w:rPr>
            </w:pPr>
            <w:r w:rsidRPr="00907A29">
              <w:rPr>
                <w:highlight w:val="yellow"/>
                <w:lang w:val="de-DE"/>
              </w:rPr>
              <w:t>0.757</w:t>
            </w:r>
          </w:p>
        </w:tc>
      </w:tr>
      <w:tr w:rsidR="00E7614F" w:rsidRPr="00907A29" w14:paraId="00D14ECB" w14:textId="77777777" w:rsidTr="00BE0F0C">
        <w:trPr>
          <w:trHeight w:val="552"/>
        </w:trPr>
        <w:tc>
          <w:tcPr>
            <w:tcW w:w="1650" w:type="pct"/>
          </w:tcPr>
          <w:p w14:paraId="4811EDA7" w14:textId="558CF2A9" w:rsidR="00E7614F" w:rsidRPr="00907A29" w:rsidRDefault="00E7614F" w:rsidP="00E46BEB">
            <w:pPr>
              <w:spacing w:before="120" w:line="360" w:lineRule="auto"/>
              <w:rPr>
                <w:highlight w:val="yellow"/>
              </w:rPr>
            </w:pPr>
            <w:r w:rsidRPr="00907A29">
              <w:rPr>
                <w:highlight w:val="yellow"/>
              </w:rPr>
              <w:t>Education</w:t>
            </w:r>
          </w:p>
        </w:tc>
        <w:tc>
          <w:tcPr>
            <w:tcW w:w="942" w:type="pct"/>
          </w:tcPr>
          <w:p w14:paraId="72D6FADA" w14:textId="26DC18FD" w:rsidR="00E7614F" w:rsidRPr="00907A29" w:rsidRDefault="00E7614F" w:rsidP="00E46BEB">
            <w:pPr>
              <w:spacing w:before="120" w:line="360" w:lineRule="auto"/>
              <w:jc w:val="center"/>
              <w:rPr>
                <w:highlight w:val="yellow"/>
              </w:rPr>
            </w:pPr>
            <w:r w:rsidRPr="00907A29">
              <w:rPr>
                <w:highlight w:val="yellow"/>
              </w:rPr>
              <w:t>15.</w:t>
            </w:r>
            <w:r w:rsidR="001519AE" w:rsidRPr="00907A29">
              <w:rPr>
                <w:highlight w:val="yellow"/>
              </w:rPr>
              <w:t>14</w:t>
            </w:r>
            <w:r w:rsidRPr="00907A29">
              <w:rPr>
                <w:highlight w:val="yellow"/>
              </w:rPr>
              <w:t>±2.4</w:t>
            </w:r>
            <w:r w:rsidR="001519AE" w:rsidRPr="00907A29">
              <w:rPr>
                <w:highlight w:val="yellow"/>
              </w:rPr>
              <w:t>3</w:t>
            </w:r>
            <w:r w:rsidR="00740C86" w:rsidRPr="00907A29">
              <w:rPr>
                <w:highlight w:val="yellow"/>
              </w:rPr>
              <w:t xml:space="preserve"> </w:t>
            </w:r>
          </w:p>
        </w:tc>
        <w:tc>
          <w:tcPr>
            <w:tcW w:w="1158" w:type="pct"/>
          </w:tcPr>
          <w:p w14:paraId="3C627F92" w14:textId="47EDBE03" w:rsidR="00E7614F" w:rsidRPr="00907A29" w:rsidRDefault="00E7614F" w:rsidP="00E46BEB">
            <w:pPr>
              <w:spacing w:before="120" w:line="360" w:lineRule="auto"/>
              <w:jc w:val="center"/>
              <w:rPr>
                <w:highlight w:val="yellow"/>
              </w:rPr>
            </w:pPr>
            <w:r w:rsidRPr="00907A29">
              <w:rPr>
                <w:highlight w:val="yellow"/>
              </w:rPr>
              <w:t>13.5</w:t>
            </w:r>
            <w:r w:rsidR="001519AE" w:rsidRPr="00907A29">
              <w:rPr>
                <w:highlight w:val="yellow"/>
              </w:rPr>
              <w:t>4</w:t>
            </w:r>
            <w:r w:rsidRPr="00907A29">
              <w:rPr>
                <w:highlight w:val="yellow"/>
              </w:rPr>
              <w:t>±3.16</w:t>
            </w:r>
          </w:p>
        </w:tc>
        <w:tc>
          <w:tcPr>
            <w:tcW w:w="1250" w:type="pct"/>
          </w:tcPr>
          <w:p w14:paraId="29C4DFFA" w14:textId="77777777" w:rsidR="00E7614F" w:rsidRPr="00907A29" w:rsidRDefault="00E7614F" w:rsidP="00E46BEB">
            <w:pPr>
              <w:spacing w:before="120" w:line="360" w:lineRule="auto"/>
              <w:jc w:val="center"/>
              <w:rPr>
                <w:highlight w:val="yellow"/>
              </w:rPr>
            </w:pPr>
            <w:r w:rsidRPr="00907A29">
              <w:rPr>
                <w:highlight w:val="yellow"/>
              </w:rPr>
              <w:t>0.085</w:t>
            </w:r>
          </w:p>
        </w:tc>
      </w:tr>
      <w:tr w:rsidR="00E7614F" w:rsidRPr="00907A29" w14:paraId="12D93AB5" w14:textId="77777777" w:rsidTr="00BE0F0C">
        <w:trPr>
          <w:trHeight w:val="552"/>
        </w:trPr>
        <w:tc>
          <w:tcPr>
            <w:tcW w:w="1650" w:type="pct"/>
          </w:tcPr>
          <w:p w14:paraId="78C87478" w14:textId="77777777" w:rsidR="00E7614F" w:rsidRPr="00907A29" w:rsidRDefault="00E7614F" w:rsidP="00E46BEB">
            <w:pPr>
              <w:spacing w:before="120" w:line="360" w:lineRule="auto"/>
              <w:rPr>
                <w:highlight w:val="yellow"/>
              </w:rPr>
            </w:pPr>
            <w:r w:rsidRPr="00907A29">
              <w:rPr>
                <w:highlight w:val="yellow"/>
              </w:rPr>
              <w:t>MMSE</w:t>
            </w:r>
          </w:p>
        </w:tc>
        <w:tc>
          <w:tcPr>
            <w:tcW w:w="942" w:type="pct"/>
          </w:tcPr>
          <w:p w14:paraId="3D291EAC" w14:textId="313409A9" w:rsidR="00E7614F" w:rsidRPr="00907A29" w:rsidRDefault="00E7614F" w:rsidP="00E46BEB">
            <w:pPr>
              <w:spacing w:before="120" w:line="360" w:lineRule="auto"/>
              <w:jc w:val="center"/>
              <w:rPr>
                <w:highlight w:val="yellow"/>
              </w:rPr>
            </w:pPr>
            <w:r w:rsidRPr="00907A29">
              <w:rPr>
                <w:highlight w:val="yellow"/>
              </w:rPr>
              <w:t>29.</w:t>
            </w:r>
            <w:r w:rsidR="001519AE" w:rsidRPr="00907A29">
              <w:rPr>
                <w:highlight w:val="yellow"/>
              </w:rPr>
              <w:t>23</w:t>
            </w:r>
            <w:r w:rsidRPr="00907A29">
              <w:rPr>
                <w:highlight w:val="yellow"/>
              </w:rPr>
              <w:t>±1.</w:t>
            </w:r>
            <w:r w:rsidR="001519AE" w:rsidRPr="00907A29">
              <w:rPr>
                <w:highlight w:val="yellow"/>
              </w:rPr>
              <w:t>23</w:t>
            </w:r>
          </w:p>
        </w:tc>
        <w:tc>
          <w:tcPr>
            <w:tcW w:w="1158" w:type="pct"/>
          </w:tcPr>
          <w:p w14:paraId="6D8A9442" w14:textId="3ECABB5F" w:rsidR="00E7614F" w:rsidRPr="00907A29" w:rsidRDefault="00E7614F" w:rsidP="00E46BEB">
            <w:pPr>
              <w:spacing w:before="120" w:line="360" w:lineRule="auto"/>
              <w:jc w:val="center"/>
              <w:rPr>
                <w:highlight w:val="yellow"/>
              </w:rPr>
            </w:pPr>
            <w:r w:rsidRPr="00907A29">
              <w:rPr>
                <w:highlight w:val="yellow"/>
              </w:rPr>
              <w:t>22.</w:t>
            </w:r>
            <w:r w:rsidR="001519AE" w:rsidRPr="00907A29">
              <w:rPr>
                <w:highlight w:val="yellow"/>
              </w:rPr>
              <w:t>81</w:t>
            </w:r>
            <w:r w:rsidRPr="00907A29">
              <w:rPr>
                <w:highlight w:val="yellow"/>
              </w:rPr>
              <w:t>±6.4</w:t>
            </w:r>
            <w:r w:rsidR="001519AE" w:rsidRPr="00907A29">
              <w:rPr>
                <w:highlight w:val="yellow"/>
              </w:rPr>
              <w:t>4 (21)</w:t>
            </w:r>
          </w:p>
        </w:tc>
        <w:tc>
          <w:tcPr>
            <w:tcW w:w="1250" w:type="pct"/>
          </w:tcPr>
          <w:p w14:paraId="786697C4" w14:textId="77777777" w:rsidR="00E7614F" w:rsidRPr="00907A29" w:rsidRDefault="00E7614F" w:rsidP="00E46BEB">
            <w:pPr>
              <w:spacing w:before="120" w:line="360" w:lineRule="auto"/>
              <w:jc w:val="center"/>
              <w:rPr>
                <w:highlight w:val="yellow"/>
                <w:lang w:val="de-DE"/>
              </w:rPr>
            </w:pPr>
            <w:r w:rsidRPr="00907A29">
              <w:rPr>
                <w:highlight w:val="yellow"/>
              </w:rPr>
              <w:t>&lt;0.001</w:t>
            </w:r>
            <w:r w:rsidRPr="00907A29">
              <w:rPr>
                <w:highlight w:val="yellow"/>
                <w:lang w:val="de-DE"/>
              </w:rPr>
              <w:t>**</w:t>
            </w:r>
          </w:p>
        </w:tc>
      </w:tr>
      <w:tr w:rsidR="00E7614F" w:rsidRPr="00907A29" w14:paraId="1A454A49" w14:textId="77777777" w:rsidTr="00BE0F0C">
        <w:trPr>
          <w:trHeight w:val="552"/>
        </w:trPr>
        <w:tc>
          <w:tcPr>
            <w:tcW w:w="1650" w:type="pct"/>
          </w:tcPr>
          <w:p w14:paraId="32ADF903" w14:textId="1A9035A3" w:rsidR="00E7614F" w:rsidRPr="00907A29" w:rsidRDefault="00740C86" w:rsidP="00E46BEB">
            <w:pPr>
              <w:spacing w:before="120" w:line="360" w:lineRule="auto"/>
              <w:rPr>
                <w:highlight w:val="yellow"/>
              </w:rPr>
            </w:pPr>
            <w:r w:rsidRPr="00907A29">
              <w:rPr>
                <w:highlight w:val="yellow"/>
                <w:vertAlign w:val="superscript"/>
              </w:rPr>
              <w:t>§</w:t>
            </w:r>
            <w:r w:rsidR="00E7614F" w:rsidRPr="00907A29">
              <w:rPr>
                <w:highlight w:val="yellow"/>
              </w:rPr>
              <w:t>CDR-SOB</w:t>
            </w:r>
          </w:p>
        </w:tc>
        <w:tc>
          <w:tcPr>
            <w:tcW w:w="942" w:type="pct"/>
          </w:tcPr>
          <w:p w14:paraId="5736B7F6" w14:textId="3A868828" w:rsidR="00E7614F" w:rsidRPr="00907A29" w:rsidRDefault="001519AE" w:rsidP="00E46BEB">
            <w:pPr>
              <w:spacing w:before="120" w:line="360" w:lineRule="auto"/>
              <w:jc w:val="center"/>
              <w:rPr>
                <w:highlight w:val="yellow"/>
              </w:rPr>
            </w:pPr>
            <w:r w:rsidRPr="00907A29">
              <w:rPr>
                <w:highlight w:val="yellow"/>
              </w:rPr>
              <w:t>0.</w:t>
            </w:r>
            <w:r w:rsidR="008F1E26" w:rsidRPr="00907A29">
              <w:rPr>
                <w:highlight w:val="yellow"/>
              </w:rPr>
              <w:t>12</w:t>
            </w:r>
            <w:r w:rsidRPr="00907A29">
              <w:rPr>
                <w:highlight w:val="yellow"/>
              </w:rPr>
              <w:t>±0.2</w:t>
            </w:r>
            <w:r w:rsidR="008F1E26" w:rsidRPr="00907A29">
              <w:rPr>
                <w:highlight w:val="yellow"/>
              </w:rPr>
              <w:t>8</w:t>
            </w:r>
            <w:r w:rsidRPr="00907A29">
              <w:rPr>
                <w:highlight w:val="yellow"/>
              </w:rPr>
              <w:t xml:space="preserve"> (1</w:t>
            </w:r>
            <w:r w:rsidR="008F1E26" w:rsidRPr="00907A29">
              <w:rPr>
                <w:highlight w:val="yellow"/>
              </w:rPr>
              <w:t>7</w:t>
            </w:r>
            <w:r w:rsidRPr="00907A29">
              <w:rPr>
                <w:highlight w:val="yellow"/>
              </w:rPr>
              <w:t>)</w:t>
            </w:r>
          </w:p>
        </w:tc>
        <w:tc>
          <w:tcPr>
            <w:tcW w:w="1158" w:type="pct"/>
          </w:tcPr>
          <w:p w14:paraId="693C4A55" w14:textId="35A1931D" w:rsidR="00E7614F" w:rsidRPr="00907A29" w:rsidRDefault="008F1E26" w:rsidP="00E46BEB">
            <w:pPr>
              <w:spacing w:before="120" w:line="360" w:lineRule="auto"/>
              <w:jc w:val="center"/>
              <w:rPr>
                <w:highlight w:val="yellow"/>
              </w:rPr>
            </w:pPr>
            <w:r w:rsidRPr="00907A29">
              <w:rPr>
                <w:highlight w:val="yellow"/>
              </w:rPr>
              <w:t>6.29</w:t>
            </w:r>
            <w:r w:rsidR="00E7614F" w:rsidRPr="00907A29">
              <w:rPr>
                <w:highlight w:val="yellow"/>
              </w:rPr>
              <w:t>±</w:t>
            </w:r>
            <w:r w:rsidR="001519AE" w:rsidRPr="00907A29">
              <w:rPr>
                <w:highlight w:val="yellow"/>
              </w:rPr>
              <w:t>4.</w:t>
            </w:r>
            <w:r w:rsidRPr="00907A29">
              <w:rPr>
                <w:highlight w:val="yellow"/>
              </w:rPr>
              <w:t>18</w:t>
            </w:r>
            <w:r w:rsidR="001519AE" w:rsidRPr="00907A29">
              <w:rPr>
                <w:highlight w:val="yellow"/>
              </w:rPr>
              <w:t xml:space="preserve"> (</w:t>
            </w:r>
            <w:r w:rsidRPr="00907A29">
              <w:rPr>
                <w:highlight w:val="yellow"/>
              </w:rPr>
              <w:t>2</w:t>
            </w:r>
            <w:r w:rsidR="001519AE" w:rsidRPr="00907A29">
              <w:rPr>
                <w:highlight w:val="yellow"/>
              </w:rPr>
              <w:t>1)</w:t>
            </w:r>
          </w:p>
        </w:tc>
        <w:tc>
          <w:tcPr>
            <w:tcW w:w="1250" w:type="pct"/>
          </w:tcPr>
          <w:p w14:paraId="48FC8348" w14:textId="7C27D1AD" w:rsidR="00E7614F" w:rsidRPr="00907A29" w:rsidRDefault="000F0F89" w:rsidP="00E46BEB">
            <w:pPr>
              <w:spacing w:before="120" w:line="360" w:lineRule="auto"/>
              <w:jc w:val="center"/>
              <w:rPr>
                <w:highlight w:val="yellow"/>
                <w:lang w:val="de-DE"/>
              </w:rPr>
            </w:pPr>
            <w:r w:rsidRPr="00907A29">
              <w:rPr>
                <w:highlight w:val="yellow"/>
                <w:lang w:val="de-DE"/>
              </w:rPr>
              <w:t>&lt;0.001**</w:t>
            </w:r>
          </w:p>
        </w:tc>
      </w:tr>
      <w:tr w:rsidR="00E7614F" w:rsidRPr="00907A29" w14:paraId="7EDF71C0" w14:textId="77777777" w:rsidTr="00BE0F0C">
        <w:trPr>
          <w:trHeight w:val="552"/>
        </w:trPr>
        <w:tc>
          <w:tcPr>
            <w:tcW w:w="1650" w:type="pct"/>
          </w:tcPr>
          <w:p w14:paraId="6F3F7FEC" w14:textId="29666956" w:rsidR="00E7614F" w:rsidRPr="00907A29" w:rsidRDefault="00740C86" w:rsidP="00E46BEB">
            <w:pPr>
              <w:spacing w:before="120" w:line="360" w:lineRule="auto"/>
              <w:rPr>
                <w:highlight w:val="yellow"/>
              </w:rPr>
            </w:pPr>
            <w:r w:rsidRPr="00907A29">
              <w:rPr>
                <w:highlight w:val="yellow"/>
                <w:vertAlign w:val="superscript"/>
              </w:rPr>
              <w:t>§</w:t>
            </w:r>
            <w:r w:rsidR="00E7614F" w:rsidRPr="00907A29">
              <w:rPr>
                <w:highlight w:val="yellow"/>
              </w:rPr>
              <w:t xml:space="preserve">NPI total </w:t>
            </w:r>
          </w:p>
        </w:tc>
        <w:tc>
          <w:tcPr>
            <w:tcW w:w="942" w:type="pct"/>
          </w:tcPr>
          <w:p w14:paraId="721B83C8" w14:textId="6288929E" w:rsidR="00E7614F" w:rsidRPr="00907A29" w:rsidRDefault="008F1E26" w:rsidP="00E46BEB">
            <w:pPr>
              <w:spacing w:before="120" w:line="360" w:lineRule="auto"/>
              <w:jc w:val="center"/>
              <w:rPr>
                <w:highlight w:val="yellow"/>
              </w:rPr>
            </w:pPr>
            <w:r w:rsidRPr="00907A29">
              <w:rPr>
                <w:highlight w:val="yellow"/>
              </w:rPr>
              <w:t>1.36±2.47 (14)</w:t>
            </w:r>
          </w:p>
        </w:tc>
        <w:tc>
          <w:tcPr>
            <w:tcW w:w="1158" w:type="pct"/>
          </w:tcPr>
          <w:p w14:paraId="249B8406" w14:textId="18993E1C" w:rsidR="00E7614F" w:rsidRPr="00907A29" w:rsidRDefault="008F1E26" w:rsidP="00E46BEB">
            <w:pPr>
              <w:spacing w:before="120" w:line="360" w:lineRule="auto"/>
              <w:jc w:val="center"/>
              <w:rPr>
                <w:highlight w:val="yellow"/>
              </w:rPr>
            </w:pPr>
            <w:r w:rsidRPr="00907A29">
              <w:rPr>
                <w:highlight w:val="yellow"/>
              </w:rPr>
              <w:t>9.71</w:t>
            </w:r>
            <w:r w:rsidR="00E7614F" w:rsidRPr="00907A29">
              <w:rPr>
                <w:highlight w:val="yellow"/>
              </w:rPr>
              <w:t>±6.8</w:t>
            </w:r>
            <w:r w:rsidRPr="00907A29">
              <w:rPr>
                <w:highlight w:val="yellow"/>
              </w:rPr>
              <w:t>9 (21)</w:t>
            </w:r>
          </w:p>
        </w:tc>
        <w:tc>
          <w:tcPr>
            <w:tcW w:w="1250" w:type="pct"/>
          </w:tcPr>
          <w:p w14:paraId="7D249119" w14:textId="2ECADC8C" w:rsidR="00E7614F" w:rsidRPr="00907A29" w:rsidRDefault="000F0F89" w:rsidP="00E46BEB">
            <w:pPr>
              <w:spacing w:before="120" w:line="360" w:lineRule="auto"/>
              <w:jc w:val="center"/>
              <w:rPr>
                <w:highlight w:val="yellow"/>
                <w:lang w:val="de-DE"/>
              </w:rPr>
            </w:pPr>
            <w:r w:rsidRPr="00907A29">
              <w:rPr>
                <w:highlight w:val="yellow"/>
                <w:lang w:val="de-DE"/>
              </w:rPr>
              <w:t>&lt;0.001*</w:t>
            </w:r>
          </w:p>
        </w:tc>
      </w:tr>
      <w:tr w:rsidR="00E7614F" w:rsidRPr="00907A29" w14:paraId="30CC3509" w14:textId="77777777" w:rsidTr="00BE0F0C">
        <w:trPr>
          <w:trHeight w:val="552"/>
        </w:trPr>
        <w:tc>
          <w:tcPr>
            <w:tcW w:w="1650" w:type="pct"/>
          </w:tcPr>
          <w:p w14:paraId="5D1BD4C0" w14:textId="1381FD37" w:rsidR="00E7614F" w:rsidRPr="00907A29" w:rsidRDefault="00E2652E" w:rsidP="00E46BEB">
            <w:pPr>
              <w:spacing w:before="120" w:line="360" w:lineRule="auto"/>
              <w:rPr>
                <w:highlight w:val="yellow"/>
              </w:rPr>
            </w:pPr>
            <w:r w:rsidRPr="00907A29">
              <w:rPr>
                <w:highlight w:val="yellow"/>
                <w:vertAlign w:val="superscript"/>
              </w:rPr>
              <w:t>§</w:t>
            </w:r>
            <w:proofErr w:type="spellStart"/>
            <w:r w:rsidR="00E7614F" w:rsidRPr="00907A29">
              <w:rPr>
                <w:highlight w:val="yellow"/>
              </w:rPr>
              <w:t>NPI_Apathy</w:t>
            </w:r>
            <w:proofErr w:type="spellEnd"/>
            <w:r w:rsidR="00E7614F" w:rsidRPr="00907A29">
              <w:rPr>
                <w:highlight w:val="yellow"/>
              </w:rPr>
              <w:t xml:space="preserve"> </w:t>
            </w:r>
          </w:p>
        </w:tc>
        <w:tc>
          <w:tcPr>
            <w:tcW w:w="942" w:type="pct"/>
          </w:tcPr>
          <w:p w14:paraId="0FBDA949" w14:textId="08B143C8" w:rsidR="00E7614F" w:rsidRPr="00907A29" w:rsidRDefault="008F1E1B" w:rsidP="00E46BEB">
            <w:pPr>
              <w:spacing w:before="120" w:line="360" w:lineRule="auto"/>
              <w:jc w:val="center"/>
              <w:rPr>
                <w:highlight w:val="yellow"/>
              </w:rPr>
            </w:pPr>
            <w:r>
              <w:rPr>
                <w:highlight w:val="yellow"/>
              </w:rPr>
              <w:t>-</w:t>
            </w:r>
          </w:p>
        </w:tc>
        <w:tc>
          <w:tcPr>
            <w:tcW w:w="1158" w:type="pct"/>
          </w:tcPr>
          <w:p w14:paraId="7A141FB2" w14:textId="25F254CD" w:rsidR="00E7614F" w:rsidRPr="00907A29" w:rsidRDefault="00BE0F0C" w:rsidP="00E46BEB">
            <w:pPr>
              <w:spacing w:before="120" w:line="360" w:lineRule="auto"/>
              <w:jc w:val="center"/>
              <w:rPr>
                <w:highlight w:val="yellow"/>
                <w:lang w:val="de-DE"/>
              </w:rPr>
            </w:pPr>
            <w:r w:rsidRPr="00907A29">
              <w:rPr>
                <w:highlight w:val="yellow"/>
              </w:rPr>
              <w:t>2.08</w:t>
            </w:r>
            <w:r w:rsidR="00E7614F" w:rsidRPr="00907A29">
              <w:rPr>
                <w:highlight w:val="yellow"/>
              </w:rPr>
              <w:t>±0</w:t>
            </w:r>
            <w:r w:rsidRPr="00907A29">
              <w:rPr>
                <w:highlight w:val="yellow"/>
              </w:rPr>
              <w:t>.64</w:t>
            </w:r>
            <w:r w:rsidR="00E7614F" w:rsidRPr="00907A29">
              <w:rPr>
                <w:highlight w:val="yellow"/>
                <w:lang w:val="de-DE"/>
              </w:rPr>
              <w:t xml:space="preserve"> (1</w:t>
            </w:r>
            <w:r w:rsidRPr="00907A29">
              <w:rPr>
                <w:highlight w:val="yellow"/>
                <w:lang w:val="de-DE"/>
              </w:rPr>
              <w:t>3</w:t>
            </w:r>
            <w:r w:rsidR="00E7614F" w:rsidRPr="00907A29">
              <w:rPr>
                <w:highlight w:val="yellow"/>
                <w:lang w:val="de-DE"/>
              </w:rPr>
              <w:t>)</w:t>
            </w:r>
          </w:p>
        </w:tc>
        <w:tc>
          <w:tcPr>
            <w:tcW w:w="1250" w:type="pct"/>
          </w:tcPr>
          <w:p w14:paraId="7110E91F" w14:textId="68A7CEB1" w:rsidR="00E7614F" w:rsidRPr="00907A29" w:rsidRDefault="00E7614F" w:rsidP="00E46BEB">
            <w:pPr>
              <w:spacing w:before="120" w:line="360" w:lineRule="auto"/>
              <w:jc w:val="center"/>
              <w:rPr>
                <w:highlight w:val="yellow"/>
                <w:lang w:val="de-DE"/>
              </w:rPr>
            </w:pPr>
          </w:p>
        </w:tc>
      </w:tr>
      <w:tr w:rsidR="00E7614F" w:rsidRPr="00907A29" w14:paraId="0970614E" w14:textId="77777777" w:rsidTr="00BE0F0C">
        <w:trPr>
          <w:trHeight w:val="552"/>
        </w:trPr>
        <w:tc>
          <w:tcPr>
            <w:tcW w:w="1650" w:type="pct"/>
          </w:tcPr>
          <w:p w14:paraId="251B6DF7" w14:textId="64F36648" w:rsidR="00E7614F" w:rsidRPr="00907A29" w:rsidRDefault="00E2652E" w:rsidP="00E46BEB">
            <w:pPr>
              <w:spacing w:before="120" w:line="360" w:lineRule="auto"/>
              <w:rPr>
                <w:highlight w:val="yellow"/>
              </w:rPr>
            </w:pPr>
            <w:r w:rsidRPr="00907A29">
              <w:rPr>
                <w:highlight w:val="yellow"/>
                <w:vertAlign w:val="superscript"/>
              </w:rPr>
              <w:t>§</w:t>
            </w:r>
            <w:proofErr w:type="spellStart"/>
            <w:r w:rsidR="00E7614F" w:rsidRPr="00907A29">
              <w:rPr>
                <w:highlight w:val="yellow"/>
              </w:rPr>
              <w:t>NPI_Disinhibition</w:t>
            </w:r>
            <w:proofErr w:type="spellEnd"/>
            <w:r w:rsidR="00E7614F" w:rsidRPr="00907A29">
              <w:rPr>
                <w:highlight w:val="yellow"/>
              </w:rPr>
              <w:t xml:space="preserve"> </w:t>
            </w:r>
          </w:p>
        </w:tc>
        <w:tc>
          <w:tcPr>
            <w:tcW w:w="942" w:type="pct"/>
          </w:tcPr>
          <w:p w14:paraId="28567273" w14:textId="67CE006E" w:rsidR="00E7614F" w:rsidRPr="00907A29" w:rsidRDefault="008F1E1B" w:rsidP="00E46BEB">
            <w:pPr>
              <w:spacing w:before="120" w:line="360" w:lineRule="auto"/>
              <w:jc w:val="center"/>
              <w:rPr>
                <w:highlight w:val="yellow"/>
              </w:rPr>
            </w:pPr>
            <w:r>
              <w:rPr>
                <w:highlight w:val="yellow"/>
              </w:rPr>
              <w:t>-</w:t>
            </w:r>
          </w:p>
        </w:tc>
        <w:tc>
          <w:tcPr>
            <w:tcW w:w="1158" w:type="pct"/>
          </w:tcPr>
          <w:p w14:paraId="177177D4" w14:textId="705E67F6" w:rsidR="00E7614F" w:rsidRPr="00907A29" w:rsidRDefault="00E7614F" w:rsidP="00E46BEB">
            <w:pPr>
              <w:spacing w:before="120" w:line="360" w:lineRule="auto"/>
              <w:jc w:val="center"/>
              <w:rPr>
                <w:highlight w:val="yellow"/>
                <w:lang w:val="de-DE"/>
              </w:rPr>
            </w:pPr>
            <w:r w:rsidRPr="00907A29">
              <w:rPr>
                <w:highlight w:val="yellow"/>
              </w:rPr>
              <w:t>2.</w:t>
            </w:r>
            <w:r w:rsidR="00BE0F0C" w:rsidRPr="00907A29">
              <w:rPr>
                <w:highlight w:val="yellow"/>
              </w:rPr>
              <w:t>27</w:t>
            </w:r>
            <w:r w:rsidRPr="00907A29">
              <w:rPr>
                <w:highlight w:val="yellow"/>
              </w:rPr>
              <w:t>±0.6</w:t>
            </w:r>
            <w:r w:rsidR="00BE0F0C" w:rsidRPr="00907A29">
              <w:rPr>
                <w:highlight w:val="yellow"/>
              </w:rPr>
              <w:t>5</w:t>
            </w:r>
            <w:r w:rsidRPr="00907A29">
              <w:rPr>
                <w:highlight w:val="yellow"/>
                <w:lang w:val="de-DE"/>
              </w:rPr>
              <w:t xml:space="preserve"> (1</w:t>
            </w:r>
            <w:r w:rsidR="00BE0F0C" w:rsidRPr="00907A29">
              <w:rPr>
                <w:highlight w:val="yellow"/>
                <w:lang w:val="de-DE"/>
              </w:rPr>
              <w:t>1</w:t>
            </w:r>
            <w:r w:rsidRPr="00907A29">
              <w:rPr>
                <w:highlight w:val="yellow"/>
                <w:lang w:val="de-DE"/>
              </w:rPr>
              <w:t>)</w:t>
            </w:r>
          </w:p>
        </w:tc>
        <w:tc>
          <w:tcPr>
            <w:tcW w:w="1250" w:type="pct"/>
          </w:tcPr>
          <w:p w14:paraId="770EAF84" w14:textId="43C7ECA3" w:rsidR="00E7614F" w:rsidRPr="00907A29" w:rsidRDefault="00E7614F" w:rsidP="00E46BEB">
            <w:pPr>
              <w:spacing w:before="120" w:line="360" w:lineRule="auto"/>
              <w:jc w:val="center"/>
              <w:rPr>
                <w:highlight w:val="yellow"/>
                <w:lang w:val="de-DE"/>
              </w:rPr>
            </w:pPr>
          </w:p>
        </w:tc>
      </w:tr>
      <w:tr w:rsidR="00E7614F" w:rsidRPr="00907A29" w14:paraId="71E3FEBB" w14:textId="77777777" w:rsidTr="00BE0F0C">
        <w:trPr>
          <w:trHeight w:val="552"/>
        </w:trPr>
        <w:tc>
          <w:tcPr>
            <w:tcW w:w="1650" w:type="pct"/>
          </w:tcPr>
          <w:p w14:paraId="375194AD" w14:textId="58E3C7C8" w:rsidR="00E7614F" w:rsidRPr="00907A29" w:rsidRDefault="00740C86" w:rsidP="00E46BEB">
            <w:pPr>
              <w:spacing w:before="120" w:line="360" w:lineRule="auto"/>
              <w:rPr>
                <w:highlight w:val="yellow"/>
              </w:rPr>
            </w:pPr>
            <w:r w:rsidRPr="00907A29">
              <w:rPr>
                <w:highlight w:val="yellow"/>
                <w:vertAlign w:val="superscript"/>
              </w:rPr>
              <w:t>§</w:t>
            </w:r>
            <w:r w:rsidR="00E7614F" w:rsidRPr="00907A29">
              <w:rPr>
                <w:highlight w:val="yellow"/>
              </w:rPr>
              <w:t>GDS</w:t>
            </w:r>
          </w:p>
        </w:tc>
        <w:tc>
          <w:tcPr>
            <w:tcW w:w="942" w:type="pct"/>
          </w:tcPr>
          <w:p w14:paraId="4FC1722F" w14:textId="0DE21310" w:rsidR="00E7614F" w:rsidRPr="00907A29" w:rsidRDefault="008F1E26" w:rsidP="00E46BEB">
            <w:pPr>
              <w:spacing w:before="120" w:line="360" w:lineRule="auto"/>
              <w:jc w:val="center"/>
              <w:rPr>
                <w:highlight w:val="yellow"/>
              </w:rPr>
            </w:pPr>
            <w:r w:rsidRPr="00907A29">
              <w:rPr>
                <w:highlight w:val="yellow"/>
              </w:rPr>
              <w:t>1.12±1.83 (17)</w:t>
            </w:r>
          </w:p>
        </w:tc>
        <w:tc>
          <w:tcPr>
            <w:tcW w:w="1158" w:type="pct"/>
          </w:tcPr>
          <w:p w14:paraId="4B465DE6" w14:textId="400CDF58" w:rsidR="00E7614F" w:rsidRPr="00907A29" w:rsidRDefault="00E7614F" w:rsidP="00E46BEB">
            <w:pPr>
              <w:spacing w:before="120" w:line="360" w:lineRule="auto"/>
              <w:jc w:val="center"/>
              <w:rPr>
                <w:highlight w:val="yellow"/>
              </w:rPr>
            </w:pPr>
            <w:r w:rsidRPr="00907A29">
              <w:rPr>
                <w:highlight w:val="yellow"/>
              </w:rPr>
              <w:t>5.</w:t>
            </w:r>
            <w:r w:rsidR="008F1E26" w:rsidRPr="00907A29">
              <w:rPr>
                <w:highlight w:val="yellow"/>
              </w:rPr>
              <w:t>0</w:t>
            </w:r>
            <w:r w:rsidRPr="00907A29">
              <w:rPr>
                <w:highlight w:val="yellow"/>
              </w:rPr>
              <w:t>±4.</w:t>
            </w:r>
            <w:r w:rsidR="008F1E26" w:rsidRPr="00907A29">
              <w:rPr>
                <w:highlight w:val="yellow"/>
              </w:rPr>
              <w:t>44 (15)</w:t>
            </w:r>
          </w:p>
        </w:tc>
        <w:tc>
          <w:tcPr>
            <w:tcW w:w="1250" w:type="pct"/>
          </w:tcPr>
          <w:p w14:paraId="658D1ED0" w14:textId="467278D5" w:rsidR="00E7614F" w:rsidRPr="00907A29" w:rsidRDefault="000F0F89" w:rsidP="00E46BEB">
            <w:pPr>
              <w:spacing w:before="120" w:line="360" w:lineRule="auto"/>
              <w:jc w:val="center"/>
              <w:rPr>
                <w:highlight w:val="yellow"/>
                <w:lang w:val="de-DE"/>
              </w:rPr>
            </w:pPr>
            <w:r w:rsidRPr="00907A29">
              <w:rPr>
                <w:highlight w:val="yellow"/>
                <w:lang w:val="de-DE"/>
              </w:rPr>
              <w:t>0.005</w:t>
            </w:r>
          </w:p>
        </w:tc>
      </w:tr>
      <w:tr w:rsidR="00E7614F" w:rsidRPr="00907A29" w14:paraId="4C4DF539" w14:textId="77777777" w:rsidTr="00BE0F0C">
        <w:trPr>
          <w:trHeight w:val="552"/>
        </w:trPr>
        <w:tc>
          <w:tcPr>
            <w:tcW w:w="1650" w:type="pct"/>
          </w:tcPr>
          <w:p w14:paraId="52B03EB9" w14:textId="77777777" w:rsidR="00E7614F" w:rsidRPr="00907A29" w:rsidRDefault="00E7614F" w:rsidP="00E46BEB">
            <w:pPr>
              <w:spacing w:before="120" w:line="360" w:lineRule="auto"/>
              <w:rPr>
                <w:highlight w:val="yellow"/>
              </w:rPr>
            </w:pPr>
            <w:r w:rsidRPr="00907A29">
              <w:rPr>
                <w:highlight w:val="yellow"/>
                <w:vertAlign w:val="superscript"/>
              </w:rPr>
              <w:t>§</w:t>
            </w:r>
            <w:r w:rsidRPr="00907A29">
              <w:rPr>
                <w:highlight w:val="yellow"/>
              </w:rPr>
              <w:t>HSCT (A)</w:t>
            </w:r>
            <w:r w:rsidRPr="00907A29">
              <w:rPr>
                <w:highlight w:val="yellow"/>
                <w:vertAlign w:val="superscript"/>
              </w:rPr>
              <w:t xml:space="preserve"> </w:t>
            </w:r>
            <w:proofErr w:type="spellStart"/>
            <w:r w:rsidRPr="00907A29">
              <w:rPr>
                <w:highlight w:val="yellow"/>
                <w:vertAlign w:val="superscript"/>
              </w:rPr>
              <w:t>nc</w:t>
            </w:r>
            <w:proofErr w:type="spellEnd"/>
          </w:p>
        </w:tc>
        <w:tc>
          <w:tcPr>
            <w:tcW w:w="942" w:type="pct"/>
          </w:tcPr>
          <w:p w14:paraId="4E632389" w14:textId="77777777" w:rsidR="00E7614F" w:rsidRPr="00907A29" w:rsidRDefault="00E7614F" w:rsidP="00E46BEB">
            <w:pPr>
              <w:spacing w:before="120" w:line="360" w:lineRule="auto"/>
              <w:jc w:val="center"/>
              <w:rPr>
                <w:highlight w:val="yellow"/>
              </w:rPr>
            </w:pPr>
            <w:r w:rsidRPr="00907A29">
              <w:rPr>
                <w:highlight w:val="yellow"/>
              </w:rPr>
              <w:t>14.80±0.42 (10)</w:t>
            </w:r>
            <w:r w:rsidRPr="00907A29">
              <w:rPr>
                <w:highlight w:val="yellow"/>
                <w:vertAlign w:val="superscript"/>
              </w:rPr>
              <w:t xml:space="preserve"> </w:t>
            </w:r>
          </w:p>
        </w:tc>
        <w:tc>
          <w:tcPr>
            <w:tcW w:w="1158" w:type="pct"/>
          </w:tcPr>
          <w:p w14:paraId="4C5720ED" w14:textId="54954FFD" w:rsidR="00E7614F" w:rsidRPr="00907A29" w:rsidRDefault="00B1273B" w:rsidP="00E46BEB">
            <w:pPr>
              <w:spacing w:before="120" w:line="360" w:lineRule="auto"/>
              <w:jc w:val="center"/>
              <w:rPr>
                <w:highlight w:val="yellow"/>
              </w:rPr>
            </w:pPr>
            <w:r w:rsidRPr="00907A29">
              <w:rPr>
                <w:highlight w:val="yellow"/>
              </w:rPr>
              <w:t>13.29</w:t>
            </w:r>
            <w:r w:rsidR="00E7614F" w:rsidRPr="00907A29">
              <w:rPr>
                <w:highlight w:val="yellow"/>
              </w:rPr>
              <w:t>±</w:t>
            </w:r>
            <w:r w:rsidRPr="00907A29">
              <w:rPr>
                <w:highlight w:val="yellow"/>
              </w:rPr>
              <w:t>3.93</w:t>
            </w:r>
            <w:r w:rsidR="00E7614F" w:rsidRPr="00907A29">
              <w:rPr>
                <w:highlight w:val="yellow"/>
              </w:rPr>
              <w:t xml:space="preserve"> (1</w:t>
            </w:r>
            <w:r w:rsidRPr="00907A29">
              <w:rPr>
                <w:highlight w:val="yellow"/>
              </w:rPr>
              <w:t>4</w:t>
            </w:r>
            <w:r w:rsidR="00E7614F" w:rsidRPr="00907A29">
              <w:rPr>
                <w:highlight w:val="yellow"/>
              </w:rPr>
              <w:t>)</w:t>
            </w:r>
            <w:r w:rsidR="00E7614F" w:rsidRPr="00907A29">
              <w:rPr>
                <w:highlight w:val="yellow"/>
                <w:vertAlign w:val="superscript"/>
              </w:rPr>
              <w:t xml:space="preserve"> </w:t>
            </w:r>
          </w:p>
        </w:tc>
        <w:tc>
          <w:tcPr>
            <w:tcW w:w="1250" w:type="pct"/>
          </w:tcPr>
          <w:p w14:paraId="4596FBFD" w14:textId="405C6700" w:rsidR="00E7614F" w:rsidRPr="00907A29" w:rsidRDefault="00E7614F" w:rsidP="00E46BEB">
            <w:pPr>
              <w:spacing w:before="120" w:line="360" w:lineRule="auto"/>
              <w:jc w:val="center"/>
              <w:rPr>
                <w:highlight w:val="yellow"/>
                <w:lang w:val="de-DE"/>
              </w:rPr>
            </w:pPr>
            <w:r w:rsidRPr="00907A29">
              <w:rPr>
                <w:highlight w:val="yellow"/>
                <w:lang w:val="de-DE"/>
              </w:rPr>
              <w:t>0.1</w:t>
            </w:r>
            <w:r w:rsidR="007518B9" w:rsidRPr="00907A29">
              <w:rPr>
                <w:highlight w:val="yellow"/>
                <w:lang w:val="de-DE"/>
              </w:rPr>
              <w:t>10</w:t>
            </w:r>
          </w:p>
        </w:tc>
      </w:tr>
      <w:tr w:rsidR="00E7614F" w:rsidRPr="00907A29" w14:paraId="537950AB" w14:textId="77777777" w:rsidTr="00BE0F0C">
        <w:trPr>
          <w:trHeight w:val="552"/>
        </w:trPr>
        <w:tc>
          <w:tcPr>
            <w:tcW w:w="1650" w:type="pct"/>
          </w:tcPr>
          <w:p w14:paraId="65C55D27" w14:textId="77777777" w:rsidR="00E7614F" w:rsidRPr="00907A29" w:rsidRDefault="00E7614F" w:rsidP="00E46BEB">
            <w:pPr>
              <w:spacing w:before="120" w:line="360" w:lineRule="auto"/>
              <w:rPr>
                <w:highlight w:val="yellow"/>
              </w:rPr>
            </w:pPr>
            <w:r w:rsidRPr="00907A29">
              <w:rPr>
                <w:highlight w:val="yellow"/>
                <w:vertAlign w:val="superscript"/>
              </w:rPr>
              <w:t>§</w:t>
            </w:r>
            <w:r w:rsidRPr="00907A29">
              <w:rPr>
                <w:highlight w:val="yellow"/>
              </w:rPr>
              <w:t>HSCT (B)</w:t>
            </w:r>
            <w:r w:rsidRPr="00907A29">
              <w:rPr>
                <w:highlight w:val="yellow"/>
                <w:vertAlign w:val="superscript"/>
              </w:rPr>
              <w:t xml:space="preserve"> </w:t>
            </w:r>
            <w:proofErr w:type="spellStart"/>
            <w:r w:rsidRPr="00907A29">
              <w:rPr>
                <w:highlight w:val="yellow"/>
                <w:vertAlign w:val="superscript"/>
              </w:rPr>
              <w:t>nc</w:t>
            </w:r>
            <w:proofErr w:type="spellEnd"/>
          </w:p>
        </w:tc>
        <w:tc>
          <w:tcPr>
            <w:tcW w:w="942" w:type="pct"/>
          </w:tcPr>
          <w:p w14:paraId="5F938C04" w14:textId="77777777" w:rsidR="00E7614F" w:rsidRPr="00907A29" w:rsidRDefault="00E7614F" w:rsidP="00E46BEB">
            <w:pPr>
              <w:spacing w:before="120" w:line="360" w:lineRule="auto"/>
              <w:jc w:val="center"/>
              <w:rPr>
                <w:highlight w:val="yellow"/>
              </w:rPr>
            </w:pPr>
            <w:r w:rsidRPr="00907A29">
              <w:rPr>
                <w:highlight w:val="yellow"/>
              </w:rPr>
              <w:t>14.20±1.32 (10)</w:t>
            </w:r>
            <w:r w:rsidRPr="00907A29">
              <w:rPr>
                <w:highlight w:val="yellow"/>
                <w:vertAlign w:val="superscript"/>
              </w:rPr>
              <w:t xml:space="preserve"> </w:t>
            </w:r>
          </w:p>
        </w:tc>
        <w:tc>
          <w:tcPr>
            <w:tcW w:w="1158" w:type="pct"/>
          </w:tcPr>
          <w:p w14:paraId="3A6F500B" w14:textId="6886FE62" w:rsidR="00E7614F" w:rsidRPr="00907A29" w:rsidRDefault="00B1273B" w:rsidP="00E46BEB">
            <w:pPr>
              <w:spacing w:before="120" w:line="360" w:lineRule="auto"/>
              <w:jc w:val="center"/>
              <w:rPr>
                <w:highlight w:val="yellow"/>
              </w:rPr>
            </w:pPr>
            <w:r w:rsidRPr="00907A29">
              <w:rPr>
                <w:highlight w:val="yellow"/>
              </w:rPr>
              <w:t>6.93</w:t>
            </w:r>
            <w:r w:rsidR="00E7614F" w:rsidRPr="00907A29">
              <w:rPr>
                <w:highlight w:val="yellow"/>
              </w:rPr>
              <w:t>±5.</w:t>
            </w:r>
            <w:r w:rsidRPr="00907A29">
              <w:rPr>
                <w:highlight w:val="yellow"/>
              </w:rPr>
              <w:t>89</w:t>
            </w:r>
            <w:r w:rsidR="00E7614F" w:rsidRPr="00907A29">
              <w:rPr>
                <w:highlight w:val="yellow"/>
              </w:rPr>
              <w:t xml:space="preserve"> (1</w:t>
            </w:r>
            <w:r w:rsidRPr="00907A29">
              <w:rPr>
                <w:highlight w:val="yellow"/>
              </w:rPr>
              <w:t>4</w:t>
            </w:r>
            <w:r w:rsidR="00E7614F" w:rsidRPr="00907A29">
              <w:rPr>
                <w:highlight w:val="yellow"/>
              </w:rPr>
              <w:t>)</w:t>
            </w:r>
            <w:r w:rsidR="00E7614F" w:rsidRPr="00907A29">
              <w:rPr>
                <w:highlight w:val="yellow"/>
                <w:vertAlign w:val="superscript"/>
              </w:rPr>
              <w:t xml:space="preserve"> </w:t>
            </w:r>
          </w:p>
        </w:tc>
        <w:tc>
          <w:tcPr>
            <w:tcW w:w="1250" w:type="pct"/>
          </w:tcPr>
          <w:p w14:paraId="5B5E80A0" w14:textId="556DFCC9" w:rsidR="00E7614F" w:rsidRPr="00907A29" w:rsidRDefault="007518B9" w:rsidP="00E46BEB">
            <w:pPr>
              <w:spacing w:before="120" w:line="360" w:lineRule="auto"/>
              <w:jc w:val="center"/>
              <w:rPr>
                <w:highlight w:val="yellow"/>
                <w:lang w:val="de-DE"/>
              </w:rPr>
            </w:pPr>
            <w:r w:rsidRPr="00907A29">
              <w:rPr>
                <w:highlight w:val="yellow"/>
                <w:lang w:val="de-DE"/>
              </w:rPr>
              <w:t>&lt;0.001**</w:t>
            </w:r>
          </w:p>
        </w:tc>
      </w:tr>
      <w:tr w:rsidR="00BE0F0C" w:rsidRPr="00907A29" w14:paraId="5FF54E95" w14:textId="77777777" w:rsidTr="00BE0F0C">
        <w:trPr>
          <w:trHeight w:val="552"/>
        </w:trPr>
        <w:tc>
          <w:tcPr>
            <w:tcW w:w="1650" w:type="pct"/>
          </w:tcPr>
          <w:p w14:paraId="2CFB4CA9" w14:textId="7C478E34" w:rsidR="00BE0F0C" w:rsidRPr="00907A29" w:rsidRDefault="00BE0F0C" w:rsidP="00E46BEB">
            <w:pPr>
              <w:spacing w:before="120" w:line="360" w:lineRule="auto"/>
              <w:rPr>
                <w:highlight w:val="yellow"/>
                <w:vertAlign w:val="superscript"/>
              </w:rPr>
            </w:pPr>
            <w:r w:rsidRPr="00907A29">
              <w:rPr>
                <w:sz w:val="22"/>
                <w:highlight w:val="yellow"/>
                <w:vertAlign w:val="superscript"/>
              </w:rPr>
              <w:t>§</w:t>
            </w:r>
            <w:r w:rsidRPr="00907A29">
              <w:rPr>
                <w:sz w:val="22"/>
                <w:highlight w:val="yellow"/>
              </w:rPr>
              <w:t>HSCT (B-A) (sec.)</w:t>
            </w:r>
          </w:p>
        </w:tc>
        <w:tc>
          <w:tcPr>
            <w:tcW w:w="942" w:type="pct"/>
          </w:tcPr>
          <w:p w14:paraId="3FB8B946" w14:textId="2D3824A6" w:rsidR="00BE0F0C" w:rsidRPr="00907A29" w:rsidRDefault="004E6379" w:rsidP="00E46BEB">
            <w:pPr>
              <w:spacing w:before="120" w:line="360" w:lineRule="auto"/>
              <w:jc w:val="center"/>
              <w:rPr>
                <w:highlight w:val="yellow"/>
              </w:rPr>
            </w:pPr>
            <w:r w:rsidRPr="00907A29">
              <w:rPr>
                <w:highlight w:val="yellow"/>
              </w:rPr>
              <w:t>28.20±21.22 (10)</w:t>
            </w:r>
          </w:p>
        </w:tc>
        <w:tc>
          <w:tcPr>
            <w:tcW w:w="1158" w:type="pct"/>
          </w:tcPr>
          <w:p w14:paraId="2CA89004" w14:textId="2ECA71D8" w:rsidR="00BE0F0C" w:rsidRPr="00907A29" w:rsidRDefault="004E6379" w:rsidP="00E46BEB">
            <w:pPr>
              <w:spacing w:before="120" w:line="360" w:lineRule="auto"/>
              <w:jc w:val="center"/>
              <w:rPr>
                <w:highlight w:val="yellow"/>
              </w:rPr>
            </w:pPr>
            <w:r w:rsidRPr="00907A29">
              <w:rPr>
                <w:highlight w:val="yellow"/>
              </w:rPr>
              <w:t>45.71±45.32 (14)</w:t>
            </w:r>
          </w:p>
        </w:tc>
        <w:tc>
          <w:tcPr>
            <w:tcW w:w="1250" w:type="pct"/>
          </w:tcPr>
          <w:p w14:paraId="59A9BE45" w14:textId="26FFA5DD" w:rsidR="00BE0F0C" w:rsidRPr="00907A29" w:rsidRDefault="007518B9" w:rsidP="00E46BEB">
            <w:pPr>
              <w:spacing w:before="120" w:line="360" w:lineRule="auto"/>
              <w:jc w:val="center"/>
              <w:rPr>
                <w:highlight w:val="yellow"/>
              </w:rPr>
            </w:pPr>
            <w:r w:rsidRPr="00907A29">
              <w:rPr>
                <w:highlight w:val="yellow"/>
              </w:rPr>
              <w:t>0.617</w:t>
            </w:r>
          </w:p>
        </w:tc>
      </w:tr>
      <w:tr w:rsidR="00BE0F0C" w:rsidRPr="00907A29" w14:paraId="76F5FEA6" w14:textId="77777777" w:rsidTr="00BE0F0C">
        <w:trPr>
          <w:trHeight w:val="552"/>
        </w:trPr>
        <w:tc>
          <w:tcPr>
            <w:tcW w:w="1650" w:type="pct"/>
          </w:tcPr>
          <w:p w14:paraId="0CBEBFF4" w14:textId="1B89F595" w:rsidR="00BE0F0C" w:rsidRPr="00907A29" w:rsidRDefault="00BE0F0C" w:rsidP="00E46BEB">
            <w:pPr>
              <w:spacing w:before="120" w:line="360" w:lineRule="auto"/>
              <w:rPr>
                <w:highlight w:val="yellow"/>
                <w:vertAlign w:val="superscript"/>
              </w:rPr>
            </w:pPr>
            <w:r w:rsidRPr="00907A29">
              <w:rPr>
                <w:sz w:val="22"/>
                <w:highlight w:val="yellow"/>
                <w:vertAlign w:val="superscript"/>
              </w:rPr>
              <w:t>§</w:t>
            </w:r>
            <w:r w:rsidRPr="00907A29">
              <w:rPr>
                <w:sz w:val="22"/>
                <w:highlight w:val="yellow"/>
              </w:rPr>
              <w:t>HSCT error (in category A)</w:t>
            </w:r>
          </w:p>
        </w:tc>
        <w:tc>
          <w:tcPr>
            <w:tcW w:w="942" w:type="pct"/>
          </w:tcPr>
          <w:p w14:paraId="0CD6BE93" w14:textId="2CEAC7B0" w:rsidR="00BE0F0C" w:rsidRPr="00907A29" w:rsidRDefault="004E6379" w:rsidP="00E46BEB">
            <w:pPr>
              <w:spacing w:before="120" w:line="360" w:lineRule="auto"/>
              <w:jc w:val="center"/>
              <w:rPr>
                <w:highlight w:val="yellow"/>
              </w:rPr>
            </w:pPr>
            <w:r w:rsidRPr="00907A29">
              <w:rPr>
                <w:highlight w:val="yellow"/>
              </w:rPr>
              <w:t>0.10±0.32 (10)</w:t>
            </w:r>
          </w:p>
        </w:tc>
        <w:tc>
          <w:tcPr>
            <w:tcW w:w="1158" w:type="pct"/>
          </w:tcPr>
          <w:p w14:paraId="2559B318" w14:textId="2BB49B97" w:rsidR="00BE0F0C" w:rsidRPr="00907A29" w:rsidRDefault="004E6379" w:rsidP="00E46BEB">
            <w:pPr>
              <w:spacing w:before="120" w:line="360" w:lineRule="auto"/>
              <w:jc w:val="center"/>
              <w:rPr>
                <w:highlight w:val="yellow"/>
              </w:rPr>
            </w:pPr>
            <w:r w:rsidRPr="00907A29">
              <w:rPr>
                <w:highlight w:val="yellow"/>
              </w:rPr>
              <w:t>4.79±5.38 (14)</w:t>
            </w:r>
          </w:p>
        </w:tc>
        <w:tc>
          <w:tcPr>
            <w:tcW w:w="1250" w:type="pct"/>
          </w:tcPr>
          <w:p w14:paraId="7D386134" w14:textId="5C59D84B" w:rsidR="00BE0F0C" w:rsidRPr="00907A29" w:rsidRDefault="007518B9" w:rsidP="00E46BEB">
            <w:pPr>
              <w:spacing w:before="120" w:line="360" w:lineRule="auto"/>
              <w:jc w:val="center"/>
              <w:rPr>
                <w:highlight w:val="yellow"/>
              </w:rPr>
            </w:pPr>
            <w:r w:rsidRPr="00907A29">
              <w:rPr>
                <w:highlight w:val="yellow"/>
              </w:rPr>
              <w:t>0.007</w:t>
            </w:r>
          </w:p>
        </w:tc>
      </w:tr>
      <w:tr w:rsidR="00BE0F0C" w:rsidRPr="00907A29" w14:paraId="42EAF1AE" w14:textId="77777777" w:rsidTr="00BE0F0C">
        <w:trPr>
          <w:trHeight w:val="552"/>
        </w:trPr>
        <w:tc>
          <w:tcPr>
            <w:tcW w:w="1650" w:type="pct"/>
          </w:tcPr>
          <w:p w14:paraId="7EAC4AC0" w14:textId="6E2046DD" w:rsidR="00BE0F0C" w:rsidRPr="00907A29" w:rsidRDefault="00BE0F0C" w:rsidP="00E46BEB">
            <w:pPr>
              <w:spacing w:before="120" w:line="360" w:lineRule="auto"/>
              <w:rPr>
                <w:sz w:val="22"/>
                <w:highlight w:val="yellow"/>
                <w:vertAlign w:val="superscript"/>
              </w:rPr>
            </w:pPr>
            <w:r w:rsidRPr="00907A29">
              <w:rPr>
                <w:sz w:val="22"/>
                <w:highlight w:val="yellow"/>
                <w:vertAlign w:val="superscript"/>
              </w:rPr>
              <w:t>§</w:t>
            </w:r>
            <w:r w:rsidRPr="00907A29">
              <w:rPr>
                <w:sz w:val="22"/>
                <w:highlight w:val="yellow"/>
              </w:rPr>
              <w:t>HSCT error (in category B)</w:t>
            </w:r>
          </w:p>
        </w:tc>
        <w:tc>
          <w:tcPr>
            <w:tcW w:w="942" w:type="pct"/>
          </w:tcPr>
          <w:p w14:paraId="32BC9DC3" w14:textId="163E7D54" w:rsidR="00BE0F0C" w:rsidRPr="00907A29" w:rsidRDefault="004E6379" w:rsidP="00E46BEB">
            <w:pPr>
              <w:spacing w:before="120" w:line="360" w:lineRule="auto"/>
              <w:jc w:val="center"/>
              <w:rPr>
                <w:highlight w:val="yellow"/>
              </w:rPr>
            </w:pPr>
            <w:r w:rsidRPr="00907A29">
              <w:rPr>
                <w:highlight w:val="yellow"/>
              </w:rPr>
              <w:t>0.70±1.34 (10)</w:t>
            </w:r>
          </w:p>
        </w:tc>
        <w:tc>
          <w:tcPr>
            <w:tcW w:w="1158" w:type="pct"/>
          </w:tcPr>
          <w:p w14:paraId="08FD1EFB" w14:textId="5DB65640" w:rsidR="00BE0F0C" w:rsidRPr="00907A29" w:rsidRDefault="004E6379" w:rsidP="00E46BEB">
            <w:pPr>
              <w:spacing w:before="120" w:line="360" w:lineRule="auto"/>
              <w:jc w:val="center"/>
              <w:rPr>
                <w:highlight w:val="yellow"/>
              </w:rPr>
            </w:pPr>
            <w:r w:rsidRPr="00907A29">
              <w:rPr>
                <w:highlight w:val="yellow"/>
              </w:rPr>
              <w:t>1.857±1.834 (14)</w:t>
            </w:r>
          </w:p>
        </w:tc>
        <w:tc>
          <w:tcPr>
            <w:tcW w:w="1250" w:type="pct"/>
          </w:tcPr>
          <w:p w14:paraId="719A2E31" w14:textId="1D8F7D37" w:rsidR="00BE0F0C" w:rsidRPr="00907A29" w:rsidRDefault="007518B9" w:rsidP="00E46BEB">
            <w:pPr>
              <w:spacing w:before="120" w:line="360" w:lineRule="auto"/>
              <w:jc w:val="center"/>
              <w:rPr>
                <w:highlight w:val="yellow"/>
              </w:rPr>
            </w:pPr>
            <w:r w:rsidRPr="00907A29">
              <w:rPr>
                <w:highlight w:val="yellow"/>
              </w:rPr>
              <w:t>0.046</w:t>
            </w:r>
          </w:p>
        </w:tc>
      </w:tr>
      <w:tr w:rsidR="00E7614F" w:rsidRPr="00907A29" w14:paraId="243C7E89" w14:textId="77777777" w:rsidTr="00BE0F0C">
        <w:trPr>
          <w:trHeight w:val="552"/>
        </w:trPr>
        <w:tc>
          <w:tcPr>
            <w:tcW w:w="1650" w:type="pct"/>
          </w:tcPr>
          <w:p w14:paraId="70188217" w14:textId="77777777" w:rsidR="00E7614F" w:rsidRPr="00907A29" w:rsidRDefault="00E7614F" w:rsidP="00E46BEB">
            <w:pPr>
              <w:spacing w:before="120" w:line="360" w:lineRule="auto"/>
              <w:rPr>
                <w:highlight w:val="yellow"/>
              </w:rPr>
            </w:pPr>
            <w:r w:rsidRPr="00907A29">
              <w:rPr>
                <w:highlight w:val="yellow"/>
                <w:vertAlign w:val="superscript"/>
              </w:rPr>
              <w:t>§</w:t>
            </w:r>
            <w:r w:rsidRPr="00907A29">
              <w:rPr>
                <w:highlight w:val="yellow"/>
              </w:rPr>
              <w:t xml:space="preserve">DS Forward </w:t>
            </w:r>
          </w:p>
        </w:tc>
        <w:tc>
          <w:tcPr>
            <w:tcW w:w="942" w:type="pct"/>
          </w:tcPr>
          <w:p w14:paraId="7743A19D" w14:textId="3761635B" w:rsidR="00E7614F" w:rsidRPr="00907A29" w:rsidRDefault="00E7614F" w:rsidP="00E46BEB">
            <w:pPr>
              <w:spacing w:before="120" w:line="360" w:lineRule="auto"/>
              <w:jc w:val="center"/>
              <w:rPr>
                <w:highlight w:val="yellow"/>
              </w:rPr>
            </w:pPr>
            <w:r w:rsidRPr="00907A29">
              <w:rPr>
                <w:highlight w:val="yellow"/>
              </w:rPr>
              <w:t>8.</w:t>
            </w:r>
            <w:r w:rsidR="004B4ABF" w:rsidRPr="00907A29">
              <w:rPr>
                <w:highlight w:val="yellow"/>
              </w:rPr>
              <w:t>48</w:t>
            </w:r>
            <w:r w:rsidRPr="00907A29">
              <w:rPr>
                <w:highlight w:val="yellow"/>
              </w:rPr>
              <w:t>±2.2</w:t>
            </w:r>
            <w:r w:rsidR="004B4ABF" w:rsidRPr="00907A29">
              <w:rPr>
                <w:highlight w:val="yellow"/>
              </w:rPr>
              <w:t>3</w:t>
            </w:r>
            <w:r w:rsidRPr="00907A29">
              <w:rPr>
                <w:highlight w:val="yellow"/>
              </w:rPr>
              <w:t xml:space="preserve"> (</w:t>
            </w:r>
            <w:r w:rsidR="004B4ABF" w:rsidRPr="00907A29">
              <w:rPr>
                <w:highlight w:val="yellow"/>
              </w:rPr>
              <w:t>21</w:t>
            </w:r>
            <w:r w:rsidRPr="00907A29">
              <w:rPr>
                <w:highlight w:val="yellow"/>
              </w:rPr>
              <w:t>)</w:t>
            </w:r>
          </w:p>
        </w:tc>
        <w:tc>
          <w:tcPr>
            <w:tcW w:w="1158" w:type="pct"/>
          </w:tcPr>
          <w:p w14:paraId="789C0E93" w14:textId="77777777" w:rsidR="00E7614F" w:rsidRPr="00907A29" w:rsidRDefault="00E7614F" w:rsidP="00E46BEB">
            <w:pPr>
              <w:spacing w:before="120" w:line="360" w:lineRule="auto"/>
              <w:jc w:val="center"/>
              <w:rPr>
                <w:highlight w:val="yellow"/>
              </w:rPr>
            </w:pPr>
            <w:r w:rsidRPr="00907A29">
              <w:rPr>
                <w:highlight w:val="yellow"/>
              </w:rPr>
              <w:t>6.82±2.09 (11)</w:t>
            </w:r>
          </w:p>
        </w:tc>
        <w:tc>
          <w:tcPr>
            <w:tcW w:w="1250" w:type="pct"/>
          </w:tcPr>
          <w:p w14:paraId="15E81810" w14:textId="086F3D91" w:rsidR="00E7614F" w:rsidRPr="00907A29" w:rsidRDefault="00E7614F" w:rsidP="00E46BEB">
            <w:pPr>
              <w:spacing w:before="120" w:line="360" w:lineRule="auto"/>
              <w:jc w:val="center"/>
              <w:rPr>
                <w:highlight w:val="yellow"/>
                <w:lang w:val="de-DE"/>
              </w:rPr>
            </w:pPr>
            <w:r w:rsidRPr="00907A29">
              <w:rPr>
                <w:highlight w:val="yellow"/>
              </w:rPr>
              <w:t>0</w:t>
            </w:r>
            <w:r w:rsidRPr="00907A29">
              <w:rPr>
                <w:highlight w:val="yellow"/>
                <w:lang w:val="de-DE"/>
              </w:rPr>
              <w:t>.</w:t>
            </w:r>
            <w:r w:rsidRPr="00907A29">
              <w:rPr>
                <w:highlight w:val="yellow"/>
              </w:rPr>
              <w:t>0</w:t>
            </w:r>
            <w:r w:rsidR="007518B9" w:rsidRPr="00907A29">
              <w:rPr>
                <w:highlight w:val="yellow"/>
              </w:rPr>
              <w:t>14</w:t>
            </w:r>
            <w:r w:rsidRPr="00907A29">
              <w:rPr>
                <w:highlight w:val="yellow"/>
                <w:lang w:val="de-DE"/>
              </w:rPr>
              <w:t>*</w:t>
            </w:r>
          </w:p>
          <w:p w14:paraId="03EFDEA1" w14:textId="77777777" w:rsidR="00E7614F" w:rsidRPr="00907A29" w:rsidRDefault="00E7614F" w:rsidP="00E46BEB">
            <w:pPr>
              <w:spacing w:before="120" w:line="360" w:lineRule="auto"/>
              <w:jc w:val="center"/>
              <w:rPr>
                <w:highlight w:val="yellow"/>
              </w:rPr>
            </w:pPr>
          </w:p>
        </w:tc>
      </w:tr>
      <w:tr w:rsidR="00E7614F" w:rsidRPr="00907A29" w14:paraId="302A33F7" w14:textId="77777777" w:rsidTr="00BE0F0C">
        <w:trPr>
          <w:trHeight w:val="552"/>
        </w:trPr>
        <w:tc>
          <w:tcPr>
            <w:tcW w:w="1650" w:type="pct"/>
            <w:tcBorders>
              <w:bottom w:val="single" w:sz="4" w:space="0" w:color="auto"/>
            </w:tcBorders>
          </w:tcPr>
          <w:p w14:paraId="3FCF2284" w14:textId="77777777" w:rsidR="00E7614F" w:rsidRPr="00907A29" w:rsidRDefault="00E7614F" w:rsidP="00E46BEB">
            <w:pPr>
              <w:spacing w:before="120" w:line="360" w:lineRule="auto"/>
              <w:rPr>
                <w:highlight w:val="yellow"/>
              </w:rPr>
            </w:pPr>
            <w:r w:rsidRPr="00907A29">
              <w:rPr>
                <w:highlight w:val="yellow"/>
                <w:vertAlign w:val="superscript"/>
              </w:rPr>
              <w:t>§</w:t>
            </w:r>
            <w:r w:rsidRPr="00907A29">
              <w:rPr>
                <w:highlight w:val="yellow"/>
              </w:rPr>
              <w:t xml:space="preserve">DS Backward </w:t>
            </w:r>
          </w:p>
        </w:tc>
        <w:tc>
          <w:tcPr>
            <w:tcW w:w="942" w:type="pct"/>
            <w:tcBorders>
              <w:bottom w:val="single" w:sz="4" w:space="0" w:color="auto"/>
            </w:tcBorders>
          </w:tcPr>
          <w:p w14:paraId="086BE624" w14:textId="32B25BBC" w:rsidR="00E7614F" w:rsidRPr="00907A29" w:rsidRDefault="00E7614F" w:rsidP="00E46BEB">
            <w:pPr>
              <w:spacing w:before="120" w:line="360" w:lineRule="auto"/>
              <w:jc w:val="center"/>
              <w:rPr>
                <w:highlight w:val="yellow"/>
              </w:rPr>
            </w:pPr>
            <w:r w:rsidRPr="00907A29">
              <w:rPr>
                <w:highlight w:val="yellow"/>
              </w:rPr>
              <w:t>6.2</w:t>
            </w:r>
            <w:r w:rsidR="004B4ABF" w:rsidRPr="00907A29">
              <w:rPr>
                <w:highlight w:val="yellow"/>
              </w:rPr>
              <w:t>9</w:t>
            </w:r>
            <w:r w:rsidRPr="00907A29">
              <w:rPr>
                <w:highlight w:val="yellow"/>
              </w:rPr>
              <w:t>±1.7</w:t>
            </w:r>
            <w:r w:rsidR="004B4ABF" w:rsidRPr="00907A29">
              <w:rPr>
                <w:highlight w:val="yellow"/>
              </w:rPr>
              <w:t>4</w:t>
            </w:r>
            <w:r w:rsidRPr="00907A29">
              <w:rPr>
                <w:highlight w:val="yellow"/>
              </w:rPr>
              <w:t xml:space="preserve"> (</w:t>
            </w:r>
            <w:r w:rsidR="004B4ABF" w:rsidRPr="00907A29">
              <w:rPr>
                <w:highlight w:val="yellow"/>
              </w:rPr>
              <w:t>21</w:t>
            </w:r>
            <w:r w:rsidRPr="00907A29">
              <w:rPr>
                <w:highlight w:val="yellow"/>
              </w:rPr>
              <w:t>)</w:t>
            </w:r>
          </w:p>
        </w:tc>
        <w:tc>
          <w:tcPr>
            <w:tcW w:w="1158" w:type="pct"/>
            <w:tcBorders>
              <w:bottom w:val="single" w:sz="4" w:space="0" w:color="auto"/>
            </w:tcBorders>
          </w:tcPr>
          <w:p w14:paraId="2E68B1CB" w14:textId="77777777" w:rsidR="00E7614F" w:rsidRPr="00907A29" w:rsidRDefault="00E7614F" w:rsidP="00E46BEB">
            <w:pPr>
              <w:spacing w:before="120" w:line="360" w:lineRule="auto"/>
              <w:jc w:val="center"/>
              <w:rPr>
                <w:highlight w:val="yellow"/>
              </w:rPr>
            </w:pPr>
            <w:r w:rsidRPr="00907A29">
              <w:rPr>
                <w:highlight w:val="yellow"/>
              </w:rPr>
              <w:t>4.91±2.66 (11)</w:t>
            </w:r>
          </w:p>
        </w:tc>
        <w:tc>
          <w:tcPr>
            <w:tcW w:w="1250" w:type="pct"/>
            <w:tcBorders>
              <w:bottom w:val="single" w:sz="4" w:space="0" w:color="auto"/>
            </w:tcBorders>
          </w:tcPr>
          <w:p w14:paraId="017993DD" w14:textId="24497E79" w:rsidR="00E7614F" w:rsidRPr="00907A29" w:rsidRDefault="00E7614F" w:rsidP="00E46BEB">
            <w:pPr>
              <w:spacing w:before="120" w:line="360" w:lineRule="auto"/>
              <w:jc w:val="center"/>
              <w:rPr>
                <w:highlight w:val="yellow"/>
                <w:lang w:val="de-DE"/>
              </w:rPr>
            </w:pPr>
            <w:r w:rsidRPr="00907A29">
              <w:rPr>
                <w:highlight w:val="yellow"/>
                <w:lang w:val="de-DE"/>
              </w:rPr>
              <w:t>0.</w:t>
            </w:r>
            <w:r w:rsidR="007518B9" w:rsidRPr="00907A29">
              <w:rPr>
                <w:highlight w:val="yellow"/>
                <w:lang w:val="de-DE"/>
              </w:rPr>
              <w:t>018*</w:t>
            </w:r>
          </w:p>
        </w:tc>
      </w:tr>
    </w:tbl>
    <w:p w14:paraId="62E88C8E" w14:textId="067CC359" w:rsidR="00E7614F" w:rsidRDefault="00E7614F" w:rsidP="00E46BEB">
      <w:pPr>
        <w:spacing w:before="120" w:line="360" w:lineRule="auto"/>
        <w:jc w:val="both"/>
        <w:rPr>
          <w:lang w:val="en-US"/>
        </w:rPr>
      </w:pPr>
      <w:r w:rsidRPr="00907A29">
        <w:rPr>
          <w:highlight w:val="yellow"/>
          <w:lang w:val="en-US"/>
        </w:rPr>
        <w:t xml:space="preserve">*Shows significant differences at p&lt;0.05, ** shows highly significant, </w:t>
      </w:r>
      <w:r w:rsidRPr="00907A29">
        <w:rPr>
          <w:highlight w:val="yellow"/>
          <w:vertAlign w:val="superscript"/>
          <w:lang w:val="en-US"/>
        </w:rPr>
        <w:t>§</w:t>
      </w:r>
      <w:r w:rsidRPr="00907A29">
        <w:rPr>
          <w:highlight w:val="yellow"/>
          <w:lang w:val="en-US"/>
        </w:rPr>
        <w:t xml:space="preserve">represent the variables showing the maximum subjects in bracket with available scores </w:t>
      </w:r>
      <w:r w:rsidR="004B4ABF" w:rsidRPr="00907A29">
        <w:rPr>
          <w:highlight w:val="yellow"/>
          <w:lang w:val="en-US"/>
        </w:rPr>
        <w:t>for the corresponding test in each group</w:t>
      </w:r>
      <w:r w:rsidR="005B7045" w:rsidRPr="00907A29">
        <w:rPr>
          <w:highlight w:val="yellow"/>
          <w:lang w:val="en-US"/>
        </w:rPr>
        <w:t xml:space="preserve"> </w:t>
      </w:r>
      <w:r w:rsidR="004B4ABF" w:rsidRPr="00907A29">
        <w:rPr>
          <w:highlight w:val="yellow"/>
          <w:lang w:val="en-US"/>
        </w:rPr>
        <w:t>(</w:t>
      </w:r>
      <w:proofErr w:type="spellStart"/>
      <w:r w:rsidRPr="00907A29">
        <w:rPr>
          <w:highlight w:val="yellow"/>
          <w:lang w:val="en-US"/>
        </w:rPr>
        <w:t>bvFTD</w:t>
      </w:r>
      <w:proofErr w:type="spellEnd"/>
      <w:r w:rsidRPr="00907A29">
        <w:rPr>
          <w:highlight w:val="yellow"/>
          <w:lang w:val="en-US"/>
        </w:rPr>
        <w:t xml:space="preserve"> patients as well as healthy controls</w:t>
      </w:r>
      <w:r w:rsidR="004B4ABF" w:rsidRPr="00907A29">
        <w:rPr>
          <w:highlight w:val="yellow"/>
          <w:lang w:val="en-US"/>
        </w:rPr>
        <w:t>)</w:t>
      </w:r>
      <w:r w:rsidRPr="00907A29">
        <w:rPr>
          <w:highlight w:val="yellow"/>
          <w:lang w:val="en-US"/>
        </w:rPr>
        <w:t xml:space="preserve">. MMSE: mini mental screening </w:t>
      </w:r>
      <w:r w:rsidRPr="00907A29">
        <w:rPr>
          <w:highlight w:val="yellow"/>
          <w:lang w:val="en-US"/>
        </w:rPr>
        <w:lastRenderedPageBreak/>
        <w:t xml:space="preserve">examination; CDR-SOB: clinical dementia rating scale-sum of boxes; NPI: neuropsychiatric inventory; </w:t>
      </w:r>
      <w:r w:rsidR="001E6F45" w:rsidRPr="00907A29">
        <w:rPr>
          <w:highlight w:val="yellow"/>
          <w:lang w:val="en-US"/>
        </w:rPr>
        <w:t xml:space="preserve">GDS: Geriatric depression scale; </w:t>
      </w:r>
      <w:r w:rsidRPr="00907A29">
        <w:rPr>
          <w:highlight w:val="yellow"/>
          <w:lang w:val="en-US"/>
        </w:rPr>
        <w:t xml:space="preserve">HSCT: Hayling sentence completion test; DS: digit </w:t>
      </w:r>
      <w:r w:rsidR="001E6F45" w:rsidRPr="00907A29">
        <w:rPr>
          <w:highlight w:val="yellow"/>
          <w:lang w:val="en-US"/>
        </w:rPr>
        <w:t xml:space="preserve">span; </w:t>
      </w:r>
      <w:proofErr w:type="spellStart"/>
      <w:r w:rsidR="001E6F45" w:rsidRPr="00907A29">
        <w:rPr>
          <w:highlight w:val="yellow"/>
          <w:lang w:val="en-US"/>
        </w:rPr>
        <w:t>nc</w:t>
      </w:r>
      <w:proofErr w:type="spellEnd"/>
      <w:r w:rsidRPr="00907A29">
        <w:rPr>
          <w:highlight w:val="yellow"/>
          <w:lang w:val="en-US"/>
        </w:rPr>
        <w:t>:</w:t>
      </w:r>
      <w:r w:rsidR="001E6F45" w:rsidRPr="00907A29">
        <w:rPr>
          <w:highlight w:val="yellow"/>
          <w:lang w:val="en-US"/>
        </w:rPr>
        <w:t xml:space="preserve"> </w:t>
      </w:r>
      <w:r w:rsidRPr="00907A29">
        <w:rPr>
          <w:highlight w:val="yellow"/>
          <w:lang w:val="en-US"/>
        </w:rPr>
        <w:t>number of correct sequences.</w:t>
      </w:r>
      <w:r w:rsidR="00907A29" w:rsidRPr="00907A29">
        <w:rPr>
          <w:highlight w:val="yellow"/>
        </w:rPr>
        <w:t xml:space="preserve"> </w:t>
      </w:r>
      <w:r w:rsidR="00907A29" w:rsidRPr="00907A29">
        <w:rPr>
          <w:highlight w:val="yellow"/>
          <w:lang w:val="en-US"/>
        </w:rPr>
        <w:t xml:space="preserve">M: Male; F: female; </w:t>
      </w:r>
      <w:proofErr w:type="spellStart"/>
      <w:r w:rsidR="00907A29" w:rsidRPr="00907A29">
        <w:rPr>
          <w:highlight w:val="yellow"/>
          <w:lang w:val="en-US"/>
        </w:rPr>
        <w:t>nc</w:t>
      </w:r>
      <w:proofErr w:type="spellEnd"/>
      <w:r w:rsidR="00907A29" w:rsidRPr="00907A29">
        <w:rPr>
          <w:highlight w:val="yellow"/>
          <w:lang w:val="en-US"/>
        </w:rPr>
        <w:t xml:space="preserve">: number of correct </w:t>
      </w:r>
      <w:proofErr w:type="spellStart"/>
      <w:proofErr w:type="gramStart"/>
      <w:r w:rsidR="00907A29" w:rsidRPr="00907A29">
        <w:rPr>
          <w:highlight w:val="yellow"/>
          <w:lang w:val="en-US"/>
        </w:rPr>
        <w:t>responses;sec</w:t>
      </w:r>
      <w:proofErr w:type="spellEnd"/>
      <w:r w:rsidR="00907A29" w:rsidRPr="00907A29">
        <w:rPr>
          <w:highlight w:val="yellow"/>
          <w:lang w:val="en-US"/>
        </w:rPr>
        <w:t>.</w:t>
      </w:r>
      <w:proofErr w:type="gramEnd"/>
      <w:r w:rsidR="00907A29" w:rsidRPr="00907A29">
        <w:rPr>
          <w:highlight w:val="yellow"/>
          <w:lang w:val="en-US"/>
        </w:rPr>
        <w:t>: seconds.</w:t>
      </w:r>
    </w:p>
    <w:p w14:paraId="53AF78DD" w14:textId="5FFDEA18" w:rsidR="00F8657E" w:rsidRDefault="00E46BEB" w:rsidP="00E46BEB">
      <w:pPr>
        <w:spacing w:before="120" w:line="360" w:lineRule="auto"/>
        <w:jc w:val="both"/>
        <w:rPr>
          <w:lang w:val="en-US"/>
        </w:rPr>
      </w:pPr>
      <w:r>
        <w:rPr>
          <w:b/>
          <w:bCs/>
          <w:lang w:val="en-US"/>
        </w:rPr>
        <w:t xml:space="preserve">Supplementary </w:t>
      </w:r>
      <w:r w:rsidR="00F8657E" w:rsidRPr="008F02FE">
        <w:rPr>
          <w:b/>
          <w:bCs/>
          <w:lang w:val="en-US"/>
        </w:rPr>
        <w:t>Table 2</w:t>
      </w:r>
      <w:r w:rsidR="00F8657E">
        <w:rPr>
          <w:lang w:val="en-US"/>
        </w:rPr>
        <w:t xml:space="preserve">. Comparisons obtained in subcortical volumes, after implementing a general linear model with age, sex, education, total-intracranial volume, and scanner </w:t>
      </w:r>
      <w:r w:rsidR="00F8657E" w:rsidRPr="00907A29">
        <w:rPr>
          <w:highlight w:val="yellow"/>
          <w:lang w:val="en-US"/>
        </w:rPr>
        <w:t xml:space="preserve">site as a covariate of no interest between37 </w:t>
      </w:r>
      <w:proofErr w:type="spellStart"/>
      <w:r w:rsidR="00F8657E" w:rsidRPr="00907A29">
        <w:rPr>
          <w:highlight w:val="yellow"/>
          <w:lang w:val="en-US"/>
        </w:rPr>
        <w:t>bvFTD</w:t>
      </w:r>
      <w:proofErr w:type="spellEnd"/>
      <w:r w:rsidR="00F8657E" w:rsidRPr="00907A29">
        <w:rPr>
          <w:highlight w:val="yellow"/>
          <w:lang w:val="en-US"/>
        </w:rPr>
        <w:t xml:space="preserve"> patients and 37 matched healthy controls.</w:t>
      </w:r>
      <w:r w:rsidR="00F8657E" w:rsidDel="00E96321">
        <w:rPr>
          <w:lang w:val="en-US"/>
        </w:rPr>
        <w:t xml:space="preserve"> </w:t>
      </w:r>
    </w:p>
    <w:tbl>
      <w:tblPr>
        <w:tblStyle w:val="PlainTable2"/>
        <w:tblW w:w="4394" w:type="pct"/>
        <w:tblLook w:val="04A0" w:firstRow="1" w:lastRow="0" w:firstColumn="1" w:lastColumn="0" w:noHBand="0" w:noVBand="1"/>
      </w:tblPr>
      <w:tblGrid>
        <w:gridCol w:w="3460"/>
        <w:gridCol w:w="1290"/>
        <w:gridCol w:w="1290"/>
        <w:gridCol w:w="883"/>
        <w:gridCol w:w="1009"/>
      </w:tblGrid>
      <w:tr w:rsidR="00F8657E" w14:paraId="0D281776" w14:textId="77777777" w:rsidTr="00A659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7" w:type="pct"/>
          </w:tcPr>
          <w:p w14:paraId="0DBC88C9" w14:textId="77777777" w:rsidR="00F8657E" w:rsidRDefault="00F8657E" w:rsidP="00E46BEB">
            <w:pPr>
              <w:spacing w:before="120" w:line="360" w:lineRule="auto"/>
              <w:jc w:val="center"/>
              <w:rPr>
                <w:lang w:val="en-US"/>
              </w:rPr>
            </w:pPr>
            <w:r>
              <w:rPr>
                <w:lang w:val="en-US"/>
              </w:rPr>
              <w:t>Subcortical region</w:t>
            </w:r>
          </w:p>
        </w:tc>
        <w:tc>
          <w:tcPr>
            <w:tcW w:w="886" w:type="pct"/>
          </w:tcPr>
          <w:p w14:paraId="14D839F9" w14:textId="77777777" w:rsidR="00F8657E" w:rsidRDefault="00F8657E" w:rsidP="00E46BEB">
            <w:pPr>
              <w:spacing w:before="120" w:line="360" w:lineRule="auto"/>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Controls</w:t>
            </w:r>
          </w:p>
          <w:p w14:paraId="4634CCB7" w14:textId="77777777" w:rsidR="00F8657E" w:rsidRDefault="00F8657E" w:rsidP="00E46BEB">
            <w:pPr>
              <w:spacing w:before="120" w:line="360" w:lineRule="auto"/>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(Mean</w:t>
            </w:r>
            <w:r w:rsidRPr="00B525C7">
              <w:rPr>
                <w:rFonts w:eastAsiaTheme="minorEastAsia"/>
                <w:sz w:val="22"/>
                <w:szCs w:val="22"/>
              </w:rPr>
              <w:t>±</w:t>
            </w:r>
            <w:r>
              <w:rPr>
                <w:rFonts w:eastAsiaTheme="minorEastAsia"/>
                <w:sz w:val="22"/>
                <w:szCs w:val="22"/>
              </w:rPr>
              <w:t>SD) cm</w:t>
            </w:r>
            <w:r w:rsidRPr="001C512D">
              <w:rPr>
                <w:rFonts w:eastAsiaTheme="minorEastAsia"/>
                <w:sz w:val="22"/>
                <w:szCs w:val="22"/>
                <w:vertAlign w:val="superscript"/>
              </w:rPr>
              <w:t>3</w:t>
            </w:r>
          </w:p>
        </w:tc>
        <w:tc>
          <w:tcPr>
            <w:tcW w:w="0" w:type="pct"/>
          </w:tcPr>
          <w:p w14:paraId="729E585A" w14:textId="77777777" w:rsidR="00F8657E" w:rsidRDefault="00F8657E" w:rsidP="00E46BEB">
            <w:pPr>
              <w:spacing w:before="120" w:line="360" w:lineRule="auto"/>
              <w:jc w:val="center"/>
              <w:cnfStyle w:val="100000000000" w:firstRow="1" w:lastRow="0" w:firstColumn="0" w:lastColumn="0" w:oddVBand="0" w:evenVBand="0" w:oddHBand="0" w:evenHBand="0" w:firstRowFirstColumn="0" w:firstRowLastColumn="0" w:lastRowFirstColumn="0" w:lastRowLastColumn="0"/>
              <w:rPr>
                <w:lang w:val="en-US"/>
              </w:rPr>
            </w:pPr>
            <w:proofErr w:type="spellStart"/>
            <w:r>
              <w:rPr>
                <w:lang w:val="en-US"/>
              </w:rPr>
              <w:t>bvFTD</w:t>
            </w:r>
            <w:proofErr w:type="spellEnd"/>
          </w:p>
          <w:p w14:paraId="3FB066A9" w14:textId="77777777" w:rsidR="00F8657E" w:rsidRDefault="00F8657E" w:rsidP="00E46BEB">
            <w:pPr>
              <w:spacing w:before="120" w:line="360" w:lineRule="auto"/>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(Mean</w:t>
            </w:r>
            <w:r w:rsidRPr="00B525C7">
              <w:rPr>
                <w:rFonts w:eastAsiaTheme="minorEastAsia"/>
                <w:sz w:val="22"/>
                <w:szCs w:val="22"/>
              </w:rPr>
              <w:t>±</w:t>
            </w:r>
            <w:r>
              <w:rPr>
                <w:rFonts w:eastAsiaTheme="minorEastAsia"/>
                <w:sz w:val="22"/>
                <w:szCs w:val="22"/>
              </w:rPr>
              <w:t>SD) cm</w:t>
            </w:r>
            <w:r w:rsidRPr="001C512D">
              <w:rPr>
                <w:rFonts w:eastAsiaTheme="minorEastAsia"/>
                <w:sz w:val="22"/>
                <w:szCs w:val="22"/>
                <w:vertAlign w:val="superscript"/>
              </w:rPr>
              <w:t>3</w:t>
            </w:r>
          </w:p>
        </w:tc>
        <w:tc>
          <w:tcPr>
            <w:tcW w:w="0" w:type="pct"/>
          </w:tcPr>
          <w:p w14:paraId="6D5F45DF" w14:textId="77777777" w:rsidR="00F8657E" w:rsidRDefault="00F8657E" w:rsidP="00E46BEB">
            <w:pPr>
              <w:spacing w:before="120" w:line="360" w:lineRule="auto"/>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p-value</w:t>
            </w:r>
          </w:p>
        </w:tc>
        <w:tc>
          <w:tcPr>
            <w:tcW w:w="0" w:type="pct"/>
          </w:tcPr>
          <w:p w14:paraId="7B086C1A" w14:textId="77777777" w:rsidR="00F8657E" w:rsidRDefault="00F8657E" w:rsidP="00E46BEB">
            <w:pPr>
              <w:spacing w:before="120" w:line="360" w:lineRule="auto"/>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Cohen’s d Effect Size</w:t>
            </w:r>
          </w:p>
        </w:tc>
      </w:tr>
      <w:tr w:rsidR="00F8657E" w14:paraId="38B35F5C" w14:textId="77777777" w:rsidTr="00A6594F">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77" w:type="pct"/>
            <w:tcBorders>
              <w:bottom w:val="nil"/>
            </w:tcBorders>
          </w:tcPr>
          <w:p w14:paraId="5618C0A4" w14:textId="77777777" w:rsidR="00F8657E" w:rsidRDefault="00F8657E" w:rsidP="00E46BEB">
            <w:pPr>
              <w:spacing w:before="120" w:line="360" w:lineRule="auto"/>
              <w:jc w:val="center"/>
              <w:rPr>
                <w:lang w:val="en-US"/>
              </w:rPr>
            </w:pPr>
            <w:r>
              <w:rPr>
                <w:lang w:val="en-US"/>
              </w:rPr>
              <w:t>Left Thalamus</w:t>
            </w:r>
          </w:p>
        </w:tc>
        <w:tc>
          <w:tcPr>
            <w:tcW w:w="886" w:type="pct"/>
            <w:tcBorders>
              <w:bottom w:val="nil"/>
            </w:tcBorders>
          </w:tcPr>
          <w:p w14:paraId="0EA324F4" w14:textId="77777777" w:rsidR="00F8657E" w:rsidRPr="000053F8"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0053F8">
              <w:rPr>
                <w:lang w:val="en-US"/>
              </w:rPr>
              <w:t>6.66</w:t>
            </w:r>
            <w:r w:rsidRPr="00B525C7">
              <w:rPr>
                <w:rFonts w:eastAsiaTheme="minorEastAsia"/>
              </w:rPr>
              <w:t>±</w:t>
            </w:r>
            <w:r w:rsidRPr="000053F8">
              <w:rPr>
                <w:rFonts w:eastAsiaTheme="minorEastAsia"/>
              </w:rPr>
              <w:t>0.75</w:t>
            </w:r>
          </w:p>
        </w:tc>
        <w:tc>
          <w:tcPr>
            <w:tcW w:w="0" w:type="pct"/>
            <w:tcBorders>
              <w:bottom w:val="nil"/>
            </w:tcBorders>
          </w:tcPr>
          <w:p w14:paraId="23CD6229" w14:textId="77777777" w:rsidR="00F8657E" w:rsidRPr="000053F8"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0053F8">
              <w:rPr>
                <w:lang w:val="en-US"/>
              </w:rPr>
              <w:t>6.01</w:t>
            </w:r>
            <w:r w:rsidRPr="00B525C7">
              <w:rPr>
                <w:rFonts w:eastAsiaTheme="minorEastAsia"/>
              </w:rPr>
              <w:t>±</w:t>
            </w:r>
            <w:r w:rsidRPr="000053F8">
              <w:rPr>
                <w:rFonts w:eastAsiaTheme="minorEastAsia"/>
              </w:rPr>
              <w:t>1.14</w:t>
            </w:r>
          </w:p>
        </w:tc>
        <w:tc>
          <w:tcPr>
            <w:tcW w:w="0" w:type="pct"/>
            <w:tcBorders>
              <w:bottom w:val="nil"/>
            </w:tcBorders>
          </w:tcPr>
          <w:p w14:paraId="193B773E" w14:textId="77777777" w:rsidR="00F8657E"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0.001</w:t>
            </w:r>
          </w:p>
        </w:tc>
        <w:tc>
          <w:tcPr>
            <w:tcW w:w="0" w:type="pct"/>
            <w:tcBorders>
              <w:bottom w:val="nil"/>
            </w:tcBorders>
          </w:tcPr>
          <w:p w14:paraId="195A4FC8" w14:textId="77777777" w:rsidR="00F8657E"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0.674</w:t>
            </w:r>
          </w:p>
        </w:tc>
      </w:tr>
      <w:tr w:rsidR="00F8657E" w14:paraId="688B3307" w14:textId="77777777" w:rsidTr="00A6594F">
        <w:trPr>
          <w:trHeight w:val="170"/>
        </w:trPr>
        <w:tc>
          <w:tcPr>
            <w:cnfStyle w:val="001000000000" w:firstRow="0" w:lastRow="0" w:firstColumn="1" w:lastColumn="0" w:oddVBand="0" w:evenVBand="0" w:oddHBand="0" w:evenHBand="0" w:firstRowFirstColumn="0" w:firstRowLastColumn="0" w:lastRowFirstColumn="0" w:lastRowLastColumn="0"/>
            <w:tcW w:w="1877" w:type="pct"/>
            <w:tcBorders>
              <w:top w:val="nil"/>
              <w:bottom w:val="nil"/>
            </w:tcBorders>
          </w:tcPr>
          <w:p w14:paraId="545E0CA2" w14:textId="77777777" w:rsidR="00F8657E" w:rsidRDefault="00F8657E" w:rsidP="00E46BEB">
            <w:pPr>
              <w:spacing w:before="120" w:line="360" w:lineRule="auto"/>
              <w:jc w:val="center"/>
              <w:rPr>
                <w:lang w:val="en-US"/>
              </w:rPr>
            </w:pPr>
            <w:r>
              <w:rPr>
                <w:lang w:val="en-US"/>
              </w:rPr>
              <w:t>Right Thalamus</w:t>
            </w:r>
          </w:p>
        </w:tc>
        <w:tc>
          <w:tcPr>
            <w:tcW w:w="886" w:type="pct"/>
            <w:tcBorders>
              <w:top w:val="nil"/>
              <w:bottom w:val="nil"/>
            </w:tcBorders>
          </w:tcPr>
          <w:p w14:paraId="3717963E" w14:textId="77777777" w:rsidR="00F8657E" w:rsidRPr="000053F8"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0053F8">
              <w:rPr>
                <w:lang w:val="en-US"/>
              </w:rPr>
              <w:t>6.73</w:t>
            </w:r>
            <w:r w:rsidRPr="00B525C7">
              <w:rPr>
                <w:rFonts w:eastAsiaTheme="minorEastAsia"/>
              </w:rPr>
              <w:t>±</w:t>
            </w:r>
            <w:r w:rsidRPr="000053F8">
              <w:rPr>
                <w:rFonts w:eastAsiaTheme="minorEastAsia"/>
              </w:rPr>
              <w:t>0.62</w:t>
            </w:r>
          </w:p>
        </w:tc>
        <w:tc>
          <w:tcPr>
            <w:tcW w:w="0" w:type="pct"/>
            <w:tcBorders>
              <w:top w:val="nil"/>
              <w:bottom w:val="nil"/>
            </w:tcBorders>
          </w:tcPr>
          <w:p w14:paraId="1EEB97E0" w14:textId="77777777" w:rsidR="00F8657E" w:rsidRPr="000053F8"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0053F8">
              <w:rPr>
                <w:lang w:val="en-US"/>
              </w:rPr>
              <w:t>6.14</w:t>
            </w:r>
            <w:r w:rsidRPr="00B525C7">
              <w:rPr>
                <w:rFonts w:eastAsiaTheme="minorEastAsia"/>
              </w:rPr>
              <w:t>±</w:t>
            </w:r>
            <w:r w:rsidRPr="000053F8">
              <w:rPr>
                <w:rFonts w:eastAsiaTheme="minorEastAsia"/>
              </w:rPr>
              <w:t>1.08</w:t>
            </w:r>
          </w:p>
        </w:tc>
        <w:tc>
          <w:tcPr>
            <w:tcW w:w="0" w:type="pct"/>
            <w:tcBorders>
              <w:top w:val="nil"/>
              <w:bottom w:val="nil"/>
            </w:tcBorders>
          </w:tcPr>
          <w:p w14:paraId="4F2E2D90" w14:textId="77777777" w:rsidR="00F8657E"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&lt;0.001</w:t>
            </w:r>
          </w:p>
        </w:tc>
        <w:tc>
          <w:tcPr>
            <w:tcW w:w="0" w:type="pct"/>
            <w:tcBorders>
              <w:top w:val="nil"/>
              <w:bottom w:val="nil"/>
            </w:tcBorders>
          </w:tcPr>
          <w:p w14:paraId="3996C834" w14:textId="77777777" w:rsidR="00F8657E"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0.67</w:t>
            </w:r>
          </w:p>
        </w:tc>
      </w:tr>
      <w:tr w:rsidR="00F8657E" w14:paraId="081F0188" w14:textId="77777777" w:rsidTr="00A6594F">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77" w:type="pct"/>
            <w:tcBorders>
              <w:top w:val="nil"/>
              <w:bottom w:val="nil"/>
            </w:tcBorders>
          </w:tcPr>
          <w:p w14:paraId="3F317FF7" w14:textId="77777777" w:rsidR="00F8657E" w:rsidRPr="00C430C3" w:rsidRDefault="00F8657E" w:rsidP="00E46BEB">
            <w:pPr>
              <w:spacing w:before="120" w:line="360" w:lineRule="auto"/>
              <w:jc w:val="center"/>
              <w:rPr>
                <w:highlight w:val="yellow"/>
                <w:lang w:val="en-US"/>
              </w:rPr>
            </w:pPr>
            <w:r w:rsidRPr="00C430C3">
              <w:rPr>
                <w:highlight w:val="yellow"/>
                <w:lang w:val="en-US"/>
              </w:rPr>
              <w:t>Left Caudate Nucleus</w:t>
            </w:r>
          </w:p>
        </w:tc>
        <w:tc>
          <w:tcPr>
            <w:tcW w:w="886" w:type="pct"/>
            <w:tcBorders>
              <w:top w:val="nil"/>
              <w:bottom w:val="nil"/>
            </w:tcBorders>
          </w:tcPr>
          <w:p w14:paraId="6906FA33" w14:textId="77777777" w:rsidR="00F8657E" w:rsidRPr="000053F8"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0053F8">
              <w:rPr>
                <w:lang w:val="en-US"/>
              </w:rPr>
              <w:t>3.36</w:t>
            </w:r>
            <w:r w:rsidRPr="00B525C7">
              <w:rPr>
                <w:rFonts w:eastAsiaTheme="minorEastAsia"/>
              </w:rPr>
              <w:t>±</w:t>
            </w:r>
            <w:r w:rsidRPr="000053F8">
              <w:rPr>
                <w:rFonts w:eastAsiaTheme="minorEastAsia"/>
              </w:rPr>
              <w:t>0.51</w:t>
            </w:r>
          </w:p>
        </w:tc>
        <w:tc>
          <w:tcPr>
            <w:tcW w:w="0" w:type="pct"/>
            <w:tcBorders>
              <w:top w:val="nil"/>
              <w:bottom w:val="nil"/>
            </w:tcBorders>
          </w:tcPr>
          <w:p w14:paraId="4BB95DB4" w14:textId="77777777" w:rsidR="00F8657E" w:rsidRPr="000053F8"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0053F8">
              <w:rPr>
                <w:lang w:val="en-US"/>
              </w:rPr>
              <w:t>2.81</w:t>
            </w:r>
            <w:r w:rsidRPr="00B525C7">
              <w:rPr>
                <w:rFonts w:eastAsiaTheme="minorEastAsia"/>
              </w:rPr>
              <w:t>±</w:t>
            </w:r>
            <w:r w:rsidRPr="000053F8">
              <w:rPr>
                <w:rFonts w:eastAsiaTheme="minorEastAsia"/>
              </w:rPr>
              <w:t>0.78</w:t>
            </w:r>
          </w:p>
        </w:tc>
        <w:tc>
          <w:tcPr>
            <w:tcW w:w="0" w:type="pct"/>
            <w:tcBorders>
              <w:top w:val="nil"/>
              <w:bottom w:val="nil"/>
            </w:tcBorders>
          </w:tcPr>
          <w:p w14:paraId="214CA0CD" w14:textId="77777777" w:rsidR="00F8657E"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0.001</w:t>
            </w:r>
          </w:p>
        </w:tc>
        <w:tc>
          <w:tcPr>
            <w:tcW w:w="0" w:type="pct"/>
            <w:tcBorders>
              <w:top w:val="nil"/>
              <w:bottom w:val="nil"/>
            </w:tcBorders>
          </w:tcPr>
          <w:p w14:paraId="13C1AD38" w14:textId="77777777" w:rsidR="00F8657E"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0.835</w:t>
            </w:r>
          </w:p>
        </w:tc>
      </w:tr>
      <w:tr w:rsidR="00F8657E" w14:paraId="46B08F32" w14:textId="77777777" w:rsidTr="00A6594F">
        <w:trPr>
          <w:trHeight w:val="170"/>
        </w:trPr>
        <w:tc>
          <w:tcPr>
            <w:cnfStyle w:val="001000000000" w:firstRow="0" w:lastRow="0" w:firstColumn="1" w:lastColumn="0" w:oddVBand="0" w:evenVBand="0" w:oddHBand="0" w:evenHBand="0" w:firstRowFirstColumn="0" w:firstRowLastColumn="0" w:lastRowFirstColumn="0" w:lastRowLastColumn="0"/>
            <w:tcW w:w="1877" w:type="pct"/>
            <w:tcBorders>
              <w:top w:val="nil"/>
              <w:bottom w:val="nil"/>
            </w:tcBorders>
          </w:tcPr>
          <w:p w14:paraId="288A7D1F" w14:textId="77777777" w:rsidR="00F8657E" w:rsidRPr="00C430C3" w:rsidRDefault="00F8657E" w:rsidP="00E46BEB">
            <w:pPr>
              <w:spacing w:before="120" w:line="360" w:lineRule="auto"/>
              <w:jc w:val="center"/>
              <w:rPr>
                <w:highlight w:val="yellow"/>
                <w:lang w:val="en-US"/>
              </w:rPr>
            </w:pPr>
            <w:r w:rsidRPr="00C430C3">
              <w:rPr>
                <w:highlight w:val="yellow"/>
                <w:lang w:val="en-US"/>
              </w:rPr>
              <w:t>Right Caudate Nucleus</w:t>
            </w:r>
          </w:p>
        </w:tc>
        <w:tc>
          <w:tcPr>
            <w:tcW w:w="886" w:type="pct"/>
            <w:tcBorders>
              <w:top w:val="nil"/>
              <w:bottom w:val="nil"/>
            </w:tcBorders>
          </w:tcPr>
          <w:p w14:paraId="63EEE95F" w14:textId="77777777" w:rsidR="00F8657E" w:rsidRPr="000053F8"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0053F8">
              <w:rPr>
                <w:lang w:val="en-US"/>
              </w:rPr>
              <w:t>3.56</w:t>
            </w:r>
            <w:r w:rsidRPr="00B525C7">
              <w:rPr>
                <w:rFonts w:eastAsiaTheme="minorEastAsia"/>
              </w:rPr>
              <w:t>±</w:t>
            </w:r>
            <w:r w:rsidRPr="000053F8">
              <w:rPr>
                <w:rFonts w:eastAsiaTheme="minorEastAsia"/>
              </w:rPr>
              <w:t>0.54</w:t>
            </w:r>
          </w:p>
        </w:tc>
        <w:tc>
          <w:tcPr>
            <w:tcW w:w="0" w:type="pct"/>
            <w:tcBorders>
              <w:top w:val="nil"/>
              <w:bottom w:val="nil"/>
            </w:tcBorders>
          </w:tcPr>
          <w:p w14:paraId="5F7BDCEB" w14:textId="77777777" w:rsidR="00F8657E" w:rsidRPr="000053F8"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0053F8">
              <w:rPr>
                <w:lang w:val="en-US"/>
              </w:rPr>
              <w:t>2.94</w:t>
            </w:r>
            <w:r w:rsidRPr="00B525C7">
              <w:rPr>
                <w:rFonts w:eastAsiaTheme="minorEastAsia"/>
              </w:rPr>
              <w:t>±</w:t>
            </w:r>
            <w:r w:rsidRPr="000053F8">
              <w:rPr>
                <w:rFonts w:eastAsiaTheme="minorEastAsia"/>
              </w:rPr>
              <w:t>0.85</w:t>
            </w:r>
          </w:p>
        </w:tc>
        <w:tc>
          <w:tcPr>
            <w:tcW w:w="0" w:type="pct"/>
            <w:tcBorders>
              <w:top w:val="nil"/>
              <w:bottom w:val="nil"/>
            </w:tcBorders>
          </w:tcPr>
          <w:p w14:paraId="2DD7036E" w14:textId="77777777" w:rsidR="00F8657E"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0.001</w:t>
            </w:r>
          </w:p>
        </w:tc>
        <w:tc>
          <w:tcPr>
            <w:tcW w:w="0" w:type="pct"/>
            <w:tcBorders>
              <w:top w:val="nil"/>
              <w:bottom w:val="nil"/>
            </w:tcBorders>
          </w:tcPr>
          <w:p w14:paraId="2CAB678E" w14:textId="77777777" w:rsidR="00F8657E"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0.871</w:t>
            </w:r>
          </w:p>
        </w:tc>
      </w:tr>
      <w:tr w:rsidR="00F8657E" w14:paraId="266874C1" w14:textId="77777777" w:rsidTr="00A6594F">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77" w:type="pct"/>
            <w:tcBorders>
              <w:top w:val="nil"/>
              <w:bottom w:val="nil"/>
            </w:tcBorders>
          </w:tcPr>
          <w:p w14:paraId="7E725E7B" w14:textId="77777777" w:rsidR="00F8657E" w:rsidRDefault="00F8657E" w:rsidP="00E46BEB">
            <w:pPr>
              <w:spacing w:before="120" w:line="360" w:lineRule="auto"/>
              <w:jc w:val="center"/>
              <w:rPr>
                <w:lang w:val="en-US"/>
              </w:rPr>
            </w:pPr>
            <w:r>
              <w:rPr>
                <w:lang w:val="en-US"/>
              </w:rPr>
              <w:t>Left Putamen</w:t>
            </w:r>
          </w:p>
        </w:tc>
        <w:tc>
          <w:tcPr>
            <w:tcW w:w="886" w:type="pct"/>
            <w:tcBorders>
              <w:top w:val="nil"/>
              <w:bottom w:val="nil"/>
            </w:tcBorders>
          </w:tcPr>
          <w:p w14:paraId="049F956A" w14:textId="77777777" w:rsidR="00F8657E" w:rsidRPr="000053F8"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0053F8">
              <w:rPr>
                <w:lang w:val="en-US"/>
              </w:rPr>
              <w:t>4.35</w:t>
            </w:r>
            <w:r w:rsidRPr="00B525C7">
              <w:rPr>
                <w:rFonts w:eastAsiaTheme="minorEastAsia"/>
              </w:rPr>
              <w:t>±</w:t>
            </w:r>
            <w:r w:rsidRPr="000053F8">
              <w:rPr>
                <w:rFonts w:eastAsiaTheme="minorEastAsia"/>
              </w:rPr>
              <w:t>0.52</w:t>
            </w:r>
          </w:p>
        </w:tc>
        <w:tc>
          <w:tcPr>
            <w:tcW w:w="0" w:type="pct"/>
            <w:tcBorders>
              <w:top w:val="nil"/>
              <w:bottom w:val="nil"/>
            </w:tcBorders>
          </w:tcPr>
          <w:p w14:paraId="7933B961" w14:textId="77777777" w:rsidR="00F8657E" w:rsidRPr="000053F8"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0053F8">
              <w:rPr>
                <w:lang w:val="en-US"/>
              </w:rPr>
              <w:t>3.67</w:t>
            </w:r>
            <w:r w:rsidRPr="00B525C7">
              <w:rPr>
                <w:rFonts w:eastAsiaTheme="minorEastAsia"/>
              </w:rPr>
              <w:t>±</w:t>
            </w:r>
            <w:r w:rsidRPr="000053F8">
              <w:rPr>
                <w:rFonts w:eastAsiaTheme="minorEastAsia"/>
              </w:rPr>
              <w:t>0.75</w:t>
            </w:r>
          </w:p>
        </w:tc>
        <w:tc>
          <w:tcPr>
            <w:tcW w:w="0" w:type="pct"/>
            <w:tcBorders>
              <w:top w:val="nil"/>
              <w:bottom w:val="nil"/>
            </w:tcBorders>
          </w:tcPr>
          <w:p w14:paraId="505BAF14" w14:textId="77777777" w:rsidR="00F8657E"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&lt;0.001</w:t>
            </w:r>
          </w:p>
        </w:tc>
        <w:tc>
          <w:tcPr>
            <w:tcW w:w="0" w:type="pct"/>
            <w:tcBorders>
              <w:top w:val="nil"/>
              <w:bottom w:val="nil"/>
            </w:tcBorders>
          </w:tcPr>
          <w:p w14:paraId="68588162" w14:textId="77777777" w:rsidR="00F8657E"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010346">
              <w:rPr>
                <w:lang w:val="en-US"/>
              </w:rPr>
              <w:t>1.054</w:t>
            </w:r>
          </w:p>
        </w:tc>
      </w:tr>
      <w:tr w:rsidR="00F8657E" w14:paraId="46B7A0AC" w14:textId="77777777" w:rsidTr="00A6594F">
        <w:trPr>
          <w:trHeight w:val="170"/>
        </w:trPr>
        <w:tc>
          <w:tcPr>
            <w:cnfStyle w:val="001000000000" w:firstRow="0" w:lastRow="0" w:firstColumn="1" w:lastColumn="0" w:oddVBand="0" w:evenVBand="0" w:oddHBand="0" w:evenHBand="0" w:firstRowFirstColumn="0" w:firstRowLastColumn="0" w:lastRowFirstColumn="0" w:lastRowLastColumn="0"/>
            <w:tcW w:w="1877" w:type="pct"/>
            <w:tcBorders>
              <w:top w:val="nil"/>
              <w:bottom w:val="nil"/>
            </w:tcBorders>
          </w:tcPr>
          <w:p w14:paraId="1053D606" w14:textId="77777777" w:rsidR="00F8657E" w:rsidRDefault="00F8657E" w:rsidP="00E46BEB">
            <w:pPr>
              <w:spacing w:before="120" w:line="360" w:lineRule="auto"/>
              <w:jc w:val="center"/>
              <w:rPr>
                <w:lang w:val="en-US"/>
              </w:rPr>
            </w:pPr>
            <w:r>
              <w:rPr>
                <w:lang w:val="en-US"/>
              </w:rPr>
              <w:t>Right Putamen</w:t>
            </w:r>
          </w:p>
        </w:tc>
        <w:tc>
          <w:tcPr>
            <w:tcW w:w="886" w:type="pct"/>
            <w:tcBorders>
              <w:top w:val="nil"/>
              <w:bottom w:val="nil"/>
            </w:tcBorders>
          </w:tcPr>
          <w:p w14:paraId="7B4669B6" w14:textId="77777777" w:rsidR="00F8657E" w:rsidRPr="000053F8"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0053F8">
              <w:rPr>
                <w:lang w:val="en-US"/>
              </w:rPr>
              <w:t>4.45</w:t>
            </w:r>
            <w:r w:rsidRPr="00B525C7">
              <w:rPr>
                <w:rFonts w:eastAsiaTheme="minorEastAsia"/>
              </w:rPr>
              <w:t>±</w:t>
            </w:r>
            <w:r w:rsidRPr="000053F8">
              <w:rPr>
                <w:rFonts w:eastAsiaTheme="minorEastAsia"/>
              </w:rPr>
              <w:t>0.49</w:t>
            </w:r>
          </w:p>
        </w:tc>
        <w:tc>
          <w:tcPr>
            <w:tcW w:w="0" w:type="pct"/>
            <w:tcBorders>
              <w:top w:val="nil"/>
              <w:bottom w:val="nil"/>
            </w:tcBorders>
          </w:tcPr>
          <w:p w14:paraId="57525A89" w14:textId="77777777" w:rsidR="00F8657E" w:rsidRPr="000053F8"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0053F8">
              <w:rPr>
                <w:lang w:val="en-US"/>
              </w:rPr>
              <w:t>3.76</w:t>
            </w:r>
            <w:r w:rsidRPr="00B525C7">
              <w:rPr>
                <w:rFonts w:eastAsiaTheme="minorEastAsia"/>
              </w:rPr>
              <w:t>±</w:t>
            </w:r>
            <w:r w:rsidRPr="000053F8">
              <w:rPr>
                <w:rFonts w:eastAsiaTheme="minorEastAsia"/>
              </w:rPr>
              <w:t>0.79</w:t>
            </w:r>
          </w:p>
        </w:tc>
        <w:tc>
          <w:tcPr>
            <w:tcW w:w="0" w:type="pct"/>
            <w:tcBorders>
              <w:top w:val="nil"/>
              <w:bottom w:val="nil"/>
            </w:tcBorders>
          </w:tcPr>
          <w:p w14:paraId="0D681782" w14:textId="77777777" w:rsidR="00F8657E"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&lt;0.001</w:t>
            </w:r>
          </w:p>
        </w:tc>
        <w:tc>
          <w:tcPr>
            <w:tcW w:w="0" w:type="pct"/>
            <w:tcBorders>
              <w:top w:val="nil"/>
              <w:bottom w:val="nil"/>
            </w:tcBorders>
          </w:tcPr>
          <w:p w14:paraId="6D5A929E" w14:textId="77777777" w:rsidR="00F8657E"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010346">
              <w:rPr>
                <w:lang w:val="en-US"/>
              </w:rPr>
              <w:t>1.05</w:t>
            </w:r>
          </w:p>
        </w:tc>
      </w:tr>
      <w:tr w:rsidR="00F8657E" w14:paraId="1D8BA9EE" w14:textId="77777777" w:rsidTr="00A6594F">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77" w:type="pct"/>
            <w:tcBorders>
              <w:top w:val="nil"/>
              <w:bottom w:val="nil"/>
            </w:tcBorders>
          </w:tcPr>
          <w:p w14:paraId="0D9BC845" w14:textId="77777777" w:rsidR="00F8657E" w:rsidRDefault="00F8657E" w:rsidP="00E46BEB">
            <w:pPr>
              <w:spacing w:before="120" w:line="360" w:lineRule="auto"/>
              <w:jc w:val="center"/>
              <w:rPr>
                <w:lang w:val="en-US"/>
              </w:rPr>
            </w:pPr>
            <w:r>
              <w:rPr>
                <w:lang w:val="en-US"/>
              </w:rPr>
              <w:t>Left Pallidum</w:t>
            </w:r>
          </w:p>
        </w:tc>
        <w:tc>
          <w:tcPr>
            <w:tcW w:w="886" w:type="pct"/>
            <w:tcBorders>
              <w:top w:val="nil"/>
              <w:bottom w:val="nil"/>
            </w:tcBorders>
          </w:tcPr>
          <w:p w14:paraId="2C5EB41E" w14:textId="77777777" w:rsidR="00F8657E" w:rsidRPr="000053F8"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0053F8">
              <w:rPr>
                <w:lang w:val="en-US"/>
              </w:rPr>
              <w:t>1.98</w:t>
            </w:r>
            <w:r w:rsidRPr="00B525C7">
              <w:rPr>
                <w:rFonts w:eastAsiaTheme="minorEastAsia"/>
              </w:rPr>
              <w:t>±</w:t>
            </w:r>
            <w:r w:rsidRPr="000053F8">
              <w:rPr>
                <w:rFonts w:eastAsiaTheme="minorEastAsia"/>
              </w:rPr>
              <w:t>0.26</w:t>
            </w:r>
          </w:p>
        </w:tc>
        <w:tc>
          <w:tcPr>
            <w:tcW w:w="0" w:type="pct"/>
            <w:tcBorders>
              <w:top w:val="nil"/>
              <w:bottom w:val="nil"/>
            </w:tcBorders>
          </w:tcPr>
          <w:p w14:paraId="4830AD74" w14:textId="77777777" w:rsidR="00F8657E" w:rsidRPr="000053F8"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0053F8">
              <w:rPr>
                <w:lang w:val="en-US"/>
              </w:rPr>
              <w:t>1.72</w:t>
            </w:r>
            <w:r w:rsidRPr="00B525C7">
              <w:rPr>
                <w:rFonts w:eastAsiaTheme="minorEastAsia"/>
              </w:rPr>
              <w:t>±</w:t>
            </w:r>
            <w:r w:rsidRPr="000053F8">
              <w:rPr>
                <w:rFonts w:eastAsiaTheme="minorEastAsia"/>
              </w:rPr>
              <w:t>0.42</w:t>
            </w:r>
          </w:p>
        </w:tc>
        <w:tc>
          <w:tcPr>
            <w:tcW w:w="0" w:type="pct"/>
            <w:tcBorders>
              <w:top w:val="nil"/>
              <w:bottom w:val="nil"/>
            </w:tcBorders>
          </w:tcPr>
          <w:p w14:paraId="0E7B0AB8" w14:textId="77777777" w:rsidR="00F8657E"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&lt;0.001</w:t>
            </w:r>
          </w:p>
        </w:tc>
        <w:tc>
          <w:tcPr>
            <w:tcW w:w="0" w:type="pct"/>
            <w:tcBorders>
              <w:top w:val="nil"/>
              <w:bottom w:val="nil"/>
            </w:tcBorders>
          </w:tcPr>
          <w:p w14:paraId="2156E493" w14:textId="77777777" w:rsidR="00F8657E"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010346">
              <w:rPr>
                <w:lang w:val="en-US"/>
              </w:rPr>
              <w:t>0.744</w:t>
            </w:r>
          </w:p>
        </w:tc>
      </w:tr>
      <w:tr w:rsidR="00F8657E" w14:paraId="09B2C3FB" w14:textId="77777777" w:rsidTr="00A6594F">
        <w:trPr>
          <w:trHeight w:val="170"/>
        </w:trPr>
        <w:tc>
          <w:tcPr>
            <w:cnfStyle w:val="001000000000" w:firstRow="0" w:lastRow="0" w:firstColumn="1" w:lastColumn="0" w:oddVBand="0" w:evenVBand="0" w:oddHBand="0" w:evenHBand="0" w:firstRowFirstColumn="0" w:firstRowLastColumn="0" w:lastRowFirstColumn="0" w:lastRowLastColumn="0"/>
            <w:tcW w:w="1877" w:type="pct"/>
            <w:tcBorders>
              <w:top w:val="nil"/>
              <w:bottom w:val="nil"/>
            </w:tcBorders>
          </w:tcPr>
          <w:p w14:paraId="1202D0BA" w14:textId="77777777" w:rsidR="00F8657E" w:rsidRDefault="00F8657E" w:rsidP="00E46BEB">
            <w:pPr>
              <w:spacing w:before="120" w:line="360" w:lineRule="auto"/>
              <w:jc w:val="center"/>
              <w:rPr>
                <w:lang w:val="en-US"/>
              </w:rPr>
            </w:pPr>
            <w:r>
              <w:rPr>
                <w:lang w:val="en-US"/>
              </w:rPr>
              <w:t>Right Pallidum</w:t>
            </w:r>
          </w:p>
        </w:tc>
        <w:tc>
          <w:tcPr>
            <w:tcW w:w="886" w:type="pct"/>
            <w:tcBorders>
              <w:top w:val="nil"/>
              <w:bottom w:val="nil"/>
            </w:tcBorders>
          </w:tcPr>
          <w:p w14:paraId="110E2B11" w14:textId="77777777" w:rsidR="00F8657E" w:rsidRPr="000053F8"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0053F8">
              <w:rPr>
                <w:lang w:val="en-US"/>
              </w:rPr>
              <w:t>1.79</w:t>
            </w:r>
            <w:r w:rsidRPr="00B525C7">
              <w:rPr>
                <w:rFonts w:eastAsiaTheme="minorEastAsia"/>
              </w:rPr>
              <w:t>±</w:t>
            </w:r>
            <w:r w:rsidRPr="000053F8">
              <w:rPr>
                <w:rFonts w:eastAsiaTheme="minorEastAsia"/>
              </w:rPr>
              <w:t>0.24</w:t>
            </w:r>
          </w:p>
        </w:tc>
        <w:tc>
          <w:tcPr>
            <w:tcW w:w="0" w:type="pct"/>
            <w:tcBorders>
              <w:top w:val="nil"/>
              <w:bottom w:val="nil"/>
            </w:tcBorders>
          </w:tcPr>
          <w:p w14:paraId="6796E731" w14:textId="77777777" w:rsidR="00F8657E" w:rsidRPr="000053F8"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0053F8">
              <w:rPr>
                <w:lang w:val="en-US"/>
              </w:rPr>
              <w:t>1.56</w:t>
            </w:r>
            <w:r w:rsidRPr="00B525C7">
              <w:rPr>
                <w:rFonts w:eastAsiaTheme="minorEastAsia"/>
              </w:rPr>
              <w:t>±</w:t>
            </w:r>
            <w:r w:rsidRPr="000053F8">
              <w:rPr>
                <w:rFonts w:eastAsiaTheme="minorEastAsia"/>
              </w:rPr>
              <w:t>0.35</w:t>
            </w:r>
          </w:p>
        </w:tc>
        <w:tc>
          <w:tcPr>
            <w:tcW w:w="0" w:type="pct"/>
            <w:tcBorders>
              <w:top w:val="nil"/>
              <w:bottom w:val="nil"/>
            </w:tcBorders>
          </w:tcPr>
          <w:p w14:paraId="23302F99" w14:textId="77777777" w:rsidR="00F8657E"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&lt;0.001</w:t>
            </w:r>
          </w:p>
        </w:tc>
        <w:tc>
          <w:tcPr>
            <w:tcW w:w="0" w:type="pct"/>
            <w:tcBorders>
              <w:top w:val="nil"/>
              <w:bottom w:val="nil"/>
            </w:tcBorders>
          </w:tcPr>
          <w:p w14:paraId="0A9ED089" w14:textId="77777777" w:rsidR="00F8657E"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010346">
              <w:rPr>
                <w:lang w:val="en-US"/>
              </w:rPr>
              <w:t>0.766</w:t>
            </w:r>
          </w:p>
        </w:tc>
      </w:tr>
      <w:tr w:rsidR="00F8657E" w14:paraId="0C500229" w14:textId="77777777" w:rsidTr="00A6594F">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77" w:type="pct"/>
            <w:tcBorders>
              <w:top w:val="nil"/>
              <w:bottom w:val="nil"/>
            </w:tcBorders>
          </w:tcPr>
          <w:p w14:paraId="2A152E1B" w14:textId="77777777" w:rsidR="00F8657E" w:rsidRDefault="00F8657E" w:rsidP="00E46BEB">
            <w:pPr>
              <w:spacing w:before="120" w:line="360" w:lineRule="auto"/>
              <w:jc w:val="center"/>
              <w:rPr>
                <w:lang w:val="en-US"/>
              </w:rPr>
            </w:pPr>
            <w:r>
              <w:rPr>
                <w:lang w:val="en-US"/>
              </w:rPr>
              <w:t>Left Hippocampus</w:t>
            </w:r>
          </w:p>
        </w:tc>
        <w:tc>
          <w:tcPr>
            <w:tcW w:w="886" w:type="pct"/>
            <w:tcBorders>
              <w:top w:val="nil"/>
              <w:bottom w:val="nil"/>
            </w:tcBorders>
          </w:tcPr>
          <w:p w14:paraId="099684F3" w14:textId="77777777" w:rsidR="00F8657E" w:rsidRPr="000053F8"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0053F8">
              <w:rPr>
                <w:lang w:val="en-US"/>
              </w:rPr>
              <w:t>3.80</w:t>
            </w:r>
            <w:r w:rsidRPr="00B525C7">
              <w:rPr>
                <w:rFonts w:eastAsiaTheme="minorEastAsia"/>
              </w:rPr>
              <w:t>±</w:t>
            </w:r>
            <w:r w:rsidRPr="000053F8">
              <w:rPr>
                <w:rFonts w:eastAsiaTheme="minorEastAsia"/>
              </w:rPr>
              <w:t>0.36</w:t>
            </w:r>
          </w:p>
        </w:tc>
        <w:tc>
          <w:tcPr>
            <w:tcW w:w="0" w:type="pct"/>
            <w:tcBorders>
              <w:top w:val="nil"/>
              <w:bottom w:val="nil"/>
            </w:tcBorders>
          </w:tcPr>
          <w:p w14:paraId="6E770829" w14:textId="77777777" w:rsidR="00F8657E" w:rsidRPr="000053F8"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0053F8">
              <w:rPr>
                <w:lang w:val="en-US"/>
              </w:rPr>
              <w:t>3.22</w:t>
            </w:r>
            <w:r w:rsidRPr="00B525C7">
              <w:rPr>
                <w:rFonts w:eastAsiaTheme="minorEastAsia"/>
              </w:rPr>
              <w:t>±</w:t>
            </w:r>
            <w:r w:rsidRPr="000053F8">
              <w:rPr>
                <w:rFonts w:eastAsiaTheme="minorEastAsia"/>
              </w:rPr>
              <w:t>0.61</w:t>
            </w:r>
          </w:p>
        </w:tc>
        <w:tc>
          <w:tcPr>
            <w:tcW w:w="0" w:type="pct"/>
            <w:tcBorders>
              <w:top w:val="nil"/>
              <w:bottom w:val="nil"/>
            </w:tcBorders>
          </w:tcPr>
          <w:p w14:paraId="6780FB56" w14:textId="77777777" w:rsidR="00F8657E"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&lt;0.001</w:t>
            </w:r>
          </w:p>
        </w:tc>
        <w:tc>
          <w:tcPr>
            <w:tcW w:w="0" w:type="pct"/>
            <w:tcBorders>
              <w:top w:val="nil"/>
              <w:bottom w:val="nil"/>
            </w:tcBorders>
          </w:tcPr>
          <w:p w14:paraId="5A37088D" w14:textId="77777777" w:rsidR="00F8657E"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010346">
              <w:rPr>
                <w:lang w:val="en-US"/>
              </w:rPr>
              <w:t>1.158</w:t>
            </w:r>
          </w:p>
        </w:tc>
      </w:tr>
      <w:tr w:rsidR="00F8657E" w14:paraId="74571EF2" w14:textId="77777777" w:rsidTr="00A6594F">
        <w:trPr>
          <w:trHeight w:val="170"/>
        </w:trPr>
        <w:tc>
          <w:tcPr>
            <w:cnfStyle w:val="001000000000" w:firstRow="0" w:lastRow="0" w:firstColumn="1" w:lastColumn="0" w:oddVBand="0" w:evenVBand="0" w:oddHBand="0" w:evenHBand="0" w:firstRowFirstColumn="0" w:firstRowLastColumn="0" w:lastRowFirstColumn="0" w:lastRowLastColumn="0"/>
            <w:tcW w:w="1877" w:type="pct"/>
            <w:tcBorders>
              <w:top w:val="nil"/>
              <w:bottom w:val="nil"/>
            </w:tcBorders>
          </w:tcPr>
          <w:p w14:paraId="746F98D0" w14:textId="77777777" w:rsidR="00F8657E" w:rsidRDefault="00F8657E" w:rsidP="00E46BEB">
            <w:pPr>
              <w:spacing w:before="120" w:line="360" w:lineRule="auto"/>
              <w:jc w:val="center"/>
              <w:rPr>
                <w:lang w:val="en-US"/>
              </w:rPr>
            </w:pPr>
            <w:r>
              <w:rPr>
                <w:lang w:val="en-US"/>
              </w:rPr>
              <w:t>Right Hippocampus</w:t>
            </w:r>
          </w:p>
        </w:tc>
        <w:tc>
          <w:tcPr>
            <w:tcW w:w="886" w:type="pct"/>
            <w:tcBorders>
              <w:top w:val="nil"/>
              <w:bottom w:val="nil"/>
            </w:tcBorders>
          </w:tcPr>
          <w:p w14:paraId="78464D0F" w14:textId="77777777" w:rsidR="00F8657E" w:rsidRPr="000053F8"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0053F8">
              <w:rPr>
                <w:lang w:val="en-US"/>
              </w:rPr>
              <w:t>3.98</w:t>
            </w:r>
            <w:r w:rsidRPr="00B525C7">
              <w:rPr>
                <w:rFonts w:eastAsiaTheme="minorEastAsia"/>
              </w:rPr>
              <w:t>±</w:t>
            </w:r>
            <w:r w:rsidRPr="000053F8">
              <w:rPr>
                <w:rFonts w:eastAsiaTheme="minorEastAsia"/>
              </w:rPr>
              <w:t>0.43</w:t>
            </w:r>
          </w:p>
        </w:tc>
        <w:tc>
          <w:tcPr>
            <w:tcW w:w="0" w:type="pct"/>
            <w:tcBorders>
              <w:top w:val="nil"/>
              <w:bottom w:val="nil"/>
            </w:tcBorders>
          </w:tcPr>
          <w:p w14:paraId="3C072F10" w14:textId="77777777" w:rsidR="00F8657E" w:rsidRPr="000053F8"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0053F8">
              <w:rPr>
                <w:lang w:val="en-US"/>
              </w:rPr>
              <w:t>3.29</w:t>
            </w:r>
            <w:r w:rsidRPr="00B525C7">
              <w:rPr>
                <w:rFonts w:eastAsiaTheme="minorEastAsia"/>
              </w:rPr>
              <w:t>±</w:t>
            </w:r>
            <w:r w:rsidRPr="000053F8">
              <w:rPr>
                <w:rFonts w:eastAsiaTheme="minorEastAsia"/>
              </w:rPr>
              <w:t>0.67</w:t>
            </w:r>
          </w:p>
        </w:tc>
        <w:tc>
          <w:tcPr>
            <w:tcW w:w="0" w:type="pct"/>
            <w:tcBorders>
              <w:top w:val="nil"/>
              <w:bottom w:val="nil"/>
            </w:tcBorders>
          </w:tcPr>
          <w:p w14:paraId="7AA540F7" w14:textId="77777777" w:rsidR="00F8657E"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&lt;0.001</w:t>
            </w:r>
          </w:p>
        </w:tc>
        <w:tc>
          <w:tcPr>
            <w:tcW w:w="0" w:type="pct"/>
            <w:tcBorders>
              <w:top w:val="nil"/>
              <w:bottom w:val="nil"/>
            </w:tcBorders>
          </w:tcPr>
          <w:p w14:paraId="30BA40DD" w14:textId="77777777" w:rsidR="00F8657E"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0C57B8">
              <w:rPr>
                <w:lang w:val="en-US"/>
              </w:rPr>
              <w:t>1.226</w:t>
            </w:r>
          </w:p>
        </w:tc>
      </w:tr>
      <w:tr w:rsidR="00F8657E" w14:paraId="1096FE37" w14:textId="77777777" w:rsidTr="00A6594F">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77" w:type="pct"/>
            <w:tcBorders>
              <w:top w:val="nil"/>
              <w:bottom w:val="nil"/>
            </w:tcBorders>
          </w:tcPr>
          <w:p w14:paraId="4D4B20C0" w14:textId="77777777" w:rsidR="00F8657E" w:rsidRDefault="00F8657E" w:rsidP="00E46BEB">
            <w:pPr>
              <w:spacing w:before="120" w:line="360" w:lineRule="auto"/>
              <w:jc w:val="center"/>
              <w:rPr>
                <w:lang w:val="en-US"/>
              </w:rPr>
            </w:pPr>
            <w:r>
              <w:rPr>
                <w:lang w:val="en-US"/>
              </w:rPr>
              <w:t>Left Amygdala</w:t>
            </w:r>
          </w:p>
        </w:tc>
        <w:tc>
          <w:tcPr>
            <w:tcW w:w="886" w:type="pct"/>
            <w:tcBorders>
              <w:top w:val="nil"/>
              <w:bottom w:val="nil"/>
            </w:tcBorders>
          </w:tcPr>
          <w:p w14:paraId="563442E3" w14:textId="77777777" w:rsidR="00F8657E" w:rsidRPr="000053F8"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0053F8">
              <w:rPr>
                <w:lang w:val="en-US"/>
              </w:rPr>
              <w:t>1.47</w:t>
            </w:r>
            <w:r w:rsidRPr="00B525C7">
              <w:rPr>
                <w:rFonts w:eastAsiaTheme="minorEastAsia"/>
              </w:rPr>
              <w:t>±</w:t>
            </w:r>
            <w:r w:rsidRPr="000053F8">
              <w:rPr>
                <w:rFonts w:eastAsiaTheme="minorEastAsia"/>
              </w:rPr>
              <w:t>0.21</w:t>
            </w:r>
          </w:p>
        </w:tc>
        <w:tc>
          <w:tcPr>
            <w:tcW w:w="0" w:type="pct"/>
            <w:tcBorders>
              <w:top w:val="nil"/>
              <w:bottom w:val="nil"/>
            </w:tcBorders>
          </w:tcPr>
          <w:p w14:paraId="2DF6CFD7" w14:textId="77777777" w:rsidR="00F8657E" w:rsidRPr="000053F8"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0053F8">
              <w:rPr>
                <w:lang w:val="en-US"/>
              </w:rPr>
              <w:t>1.15</w:t>
            </w:r>
            <w:r w:rsidRPr="00B525C7">
              <w:rPr>
                <w:rFonts w:eastAsiaTheme="minorEastAsia"/>
              </w:rPr>
              <w:t>±</w:t>
            </w:r>
            <w:r w:rsidRPr="000053F8">
              <w:rPr>
                <w:rFonts w:eastAsiaTheme="minorEastAsia"/>
              </w:rPr>
              <w:t>0.32</w:t>
            </w:r>
          </w:p>
        </w:tc>
        <w:tc>
          <w:tcPr>
            <w:tcW w:w="0" w:type="pct"/>
            <w:tcBorders>
              <w:top w:val="nil"/>
              <w:bottom w:val="nil"/>
            </w:tcBorders>
          </w:tcPr>
          <w:p w14:paraId="7090289E" w14:textId="77777777" w:rsidR="00F8657E"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&lt;0.001</w:t>
            </w:r>
          </w:p>
        </w:tc>
        <w:tc>
          <w:tcPr>
            <w:tcW w:w="0" w:type="pct"/>
            <w:tcBorders>
              <w:top w:val="nil"/>
              <w:bottom w:val="nil"/>
            </w:tcBorders>
          </w:tcPr>
          <w:p w14:paraId="65733A78" w14:textId="77777777" w:rsidR="00F8657E"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0C57B8">
              <w:rPr>
                <w:lang w:val="en-US"/>
              </w:rPr>
              <w:t>1.182</w:t>
            </w:r>
          </w:p>
        </w:tc>
      </w:tr>
      <w:tr w:rsidR="00F8657E" w14:paraId="3FEBE0E9" w14:textId="77777777" w:rsidTr="00A6594F">
        <w:trPr>
          <w:trHeight w:val="170"/>
        </w:trPr>
        <w:tc>
          <w:tcPr>
            <w:cnfStyle w:val="001000000000" w:firstRow="0" w:lastRow="0" w:firstColumn="1" w:lastColumn="0" w:oddVBand="0" w:evenVBand="0" w:oddHBand="0" w:evenHBand="0" w:firstRowFirstColumn="0" w:firstRowLastColumn="0" w:lastRowFirstColumn="0" w:lastRowLastColumn="0"/>
            <w:tcW w:w="1877" w:type="pct"/>
            <w:tcBorders>
              <w:top w:val="nil"/>
              <w:bottom w:val="nil"/>
            </w:tcBorders>
          </w:tcPr>
          <w:p w14:paraId="0BA337AF" w14:textId="77777777" w:rsidR="00F8657E" w:rsidRDefault="00F8657E" w:rsidP="00E46BEB">
            <w:pPr>
              <w:spacing w:before="120" w:line="360" w:lineRule="auto"/>
              <w:jc w:val="center"/>
              <w:rPr>
                <w:lang w:val="en-US"/>
              </w:rPr>
            </w:pPr>
            <w:r>
              <w:rPr>
                <w:lang w:val="en-US"/>
              </w:rPr>
              <w:t>Right Amygdala</w:t>
            </w:r>
          </w:p>
        </w:tc>
        <w:tc>
          <w:tcPr>
            <w:tcW w:w="886" w:type="pct"/>
            <w:tcBorders>
              <w:top w:val="nil"/>
              <w:bottom w:val="nil"/>
            </w:tcBorders>
          </w:tcPr>
          <w:p w14:paraId="0F9BF4CB" w14:textId="77777777" w:rsidR="00F8657E" w:rsidRPr="000053F8"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0053F8">
              <w:rPr>
                <w:lang w:val="en-US"/>
              </w:rPr>
              <w:t>1.58</w:t>
            </w:r>
            <w:r w:rsidRPr="00B525C7">
              <w:rPr>
                <w:rFonts w:eastAsiaTheme="minorEastAsia"/>
              </w:rPr>
              <w:t>±</w:t>
            </w:r>
            <w:r w:rsidRPr="000053F8">
              <w:rPr>
                <w:rFonts w:eastAsiaTheme="minorEastAsia"/>
              </w:rPr>
              <w:t>0.25</w:t>
            </w:r>
          </w:p>
        </w:tc>
        <w:tc>
          <w:tcPr>
            <w:tcW w:w="0" w:type="pct"/>
            <w:tcBorders>
              <w:top w:val="nil"/>
              <w:bottom w:val="nil"/>
            </w:tcBorders>
          </w:tcPr>
          <w:p w14:paraId="6D0AB668" w14:textId="77777777" w:rsidR="00F8657E" w:rsidRPr="000053F8"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0053F8">
              <w:rPr>
                <w:lang w:val="en-US"/>
              </w:rPr>
              <w:t>1.30</w:t>
            </w:r>
            <w:r w:rsidRPr="00B525C7">
              <w:rPr>
                <w:rFonts w:eastAsiaTheme="minorEastAsia"/>
              </w:rPr>
              <w:t>±</w:t>
            </w:r>
            <w:r w:rsidRPr="000053F8">
              <w:rPr>
                <w:rFonts w:eastAsiaTheme="minorEastAsia"/>
              </w:rPr>
              <w:t>0.31</w:t>
            </w:r>
          </w:p>
        </w:tc>
        <w:tc>
          <w:tcPr>
            <w:tcW w:w="0" w:type="pct"/>
            <w:tcBorders>
              <w:top w:val="nil"/>
              <w:bottom w:val="nil"/>
            </w:tcBorders>
          </w:tcPr>
          <w:p w14:paraId="4F04A97E" w14:textId="77777777" w:rsidR="00F8657E"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&lt;0.001</w:t>
            </w:r>
          </w:p>
        </w:tc>
        <w:tc>
          <w:tcPr>
            <w:tcW w:w="0" w:type="pct"/>
            <w:tcBorders>
              <w:top w:val="nil"/>
              <w:bottom w:val="nil"/>
            </w:tcBorders>
          </w:tcPr>
          <w:p w14:paraId="00E72E67" w14:textId="77777777" w:rsidR="00F8657E"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0C57B8">
              <w:rPr>
                <w:lang w:val="en-US"/>
              </w:rPr>
              <w:t>0.994</w:t>
            </w:r>
          </w:p>
        </w:tc>
      </w:tr>
      <w:tr w:rsidR="00F8657E" w14:paraId="1CDB4E98" w14:textId="77777777" w:rsidTr="00A6594F">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77" w:type="pct"/>
            <w:tcBorders>
              <w:top w:val="nil"/>
              <w:bottom w:val="nil"/>
            </w:tcBorders>
          </w:tcPr>
          <w:p w14:paraId="57202D07" w14:textId="77777777" w:rsidR="00F8657E" w:rsidRPr="00C430C3" w:rsidRDefault="00F8657E" w:rsidP="00E46BEB">
            <w:pPr>
              <w:spacing w:before="120" w:line="360" w:lineRule="auto"/>
              <w:jc w:val="center"/>
              <w:rPr>
                <w:highlight w:val="yellow"/>
                <w:lang w:val="en-US"/>
              </w:rPr>
            </w:pPr>
            <w:r w:rsidRPr="00C430C3">
              <w:rPr>
                <w:highlight w:val="yellow"/>
                <w:lang w:val="en-US"/>
              </w:rPr>
              <w:t xml:space="preserve">Left Nucleus </w:t>
            </w:r>
            <w:proofErr w:type="spellStart"/>
            <w:r w:rsidRPr="00C430C3">
              <w:rPr>
                <w:highlight w:val="yellow"/>
                <w:lang w:val="en-US"/>
              </w:rPr>
              <w:t>Accumbens</w:t>
            </w:r>
            <w:proofErr w:type="spellEnd"/>
          </w:p>
        </w:tc>
        <w:tc>
          <w:tcPr>
            <w:tcW w:w="886" w:type="pct"/>
            <w:tcBorders>
              <w:top w:val="nil"/>
              <w:bottom w:val="nil"/>
            </w:tcBorders>
          </w:tcPr>
          <w:p w14:paraId="086C3771" w14:textId="77777777" w:rsidR="00F8657E" w:rsidRPr="000053F8"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0053F8">
              <w:rPr>
                <w:lang w:val="en-US"/>
              </w:rPr>
              <w:t>0.36</w:t>
            </w:r>
            <w:r w:rsidRPr="00B525C7">
              <w:rPr>
                <w:rFonts w:eastAsiaTheme="minorEastAsia"/>
              </w:rPr>
              <w:t>±</w:t>
            </w:r>
            <w:r w:rsidRPr="000053F8">
              <w:rPr>
                <w:rFonts w:eastAsiaTheme="minorEastAsia"/>
              </w:rPr>
              <w:t>0.09</w:t>
            </w:r>
          </w:p>
        </w:tc>
        <w:tc>
          <w:tcPr>
            <w:tcW w:w="0" w:type="pct"/>
            <w:tcBorders>
              <w:top w:val="nil"/>
              <w:bottom w:val="nil"/>
            </w:tcBorders>
          </w:tcPr>
          <w:p w14:paraId="3A97B1FC" w14:textId="77777777" w:rsidR="00F8657E" w:rsidRPr="000053F8"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0053F8">
              <w:rPr>
                <w:lang w:val="en-US"/>
              </w:rPr>
              <w:t>0.24</w:t>
            </w:r>
            <w:r w:rsidRPr="00B525C7">
              <w:rPr>
                <w:rFonts w:eastAsiaTheme="minorEastAsia"/>
              </w:rPr>
              <w:t>±</w:t>
            </w:r>
            <w:r w:rsidRPr="000053F8">
              <w:rPr>
                <w:rFonts w:eastAsiaTheme="minorEastAsia"/>
              </w:rPr>
              <w:t>0.11</w:t>
            </w:r>
          </w:p>
        </w:tc>
        <w:tc>
          <w:tcPr>
            <w:tcW w:w="0" w:type="pct"/>
            <w:tcBorders>
              <w:top w:val="nil"/>
              <w:bottom w:val="nil"/>
            </w:tcBorders>
          </w:tcPr>
          <w:p w14:paraId="6893D268" w14:textId="77777777" w:rsidR="00F8657E"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&lt;0.001</w:t>
            </w:r>
          </w:p>
        </w:tc>
        <w:tc>
          <w:tcPr>
            <w:tcW w:w="0" w:type="pct"/>
            <w:tcBorders>
              <w:top w:val="nil"/>
              <w:bottom w:val="nil"/>
            </w:tcBorders>
          </w:tcPr>
          <w:p w14:paraId="09FBD306" w14:textId="77777777" w:rsidR="00F8657E" w:rsidRDefault="00F8657E" w:rsidP="00E46BEB">
            <w:pPr>
              <w:spacing w:before="120"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0C57B8">
              <w:rPr>
                <w:lang w:val="en-US"/>
              </w:rPr>
              <w:t>1.194</w:t>
            </w:r>
          </w:p>
        </w:tc>
      </w:tr>
      <w:tr w:rsidR="00F8657E" w14:paraId="07D84199" w14:textId="77777777" w:rsidTr="00A6594F">
        <w:trPr>
          <w:trHeight w:val="170"/>
        </w:trPr>
        <w:tc>
          <w:tcPr>
            <w:cnfStyle w:val="001000000000" w:firstRow="0" w:lastRow="0" w:firstColumn="1" w:lastColumn="0" w:oddVBand="0" w:evenVBand="0" w:oddHBand="0" w:evenHBand="0" w:firstRowFirstColumn="0" w:firstRowLastColumn="0" w:lastRowFirstColumn="0" w:lastRowLastColumn="0"/>
            <w:tcW w:w="1877" w:type="pct"/>
            <w:tcBorders>
              <w:top w:val="nil"/>
            </w:tcBorders>
          </w:tcPr>
          <w:p w14:paraId="2462E6A7" w14:textId="77777777" w:rsidR="00F8657E" w:rsidRPr="00C430C3" w:rsidRDefault="00F8657E" w:rsidP="00E46BEB">
            <w:pPr>
              <w:spacing w:before="120" w:line="360" w:lineRule="auto"/>
              <w:jc w:val="center"/>
              <w:rPr>
                <w:highlight w:val="yellow"/>
                <w:lang w:val="en-US"/>
              </w:rPr>
            </w:pPr>
            <w:r w:rsidRPr="00C430C3">
              <w:rPr>
                <w:highlight w:val="yellow"/>
                <w:lang w:val="en-US"/>
              </w:rPr>
              <w:t xml:space="preserve">Right Nucleus </w:t>
            </w:r>
            <w:proofErr w:type="spellStart"/>
            <w:r w:rsidRPr="00C430C3">
              <w:rPr>
                <w:highlight w:val="yellow"/>
                <w:lang w:val="en-US"/>
              </w:rPr>
              <w:t>Accumbens</w:t>
            </w:r>
            <w:proofErr w:type="spellEnd"/>
          </w:p>
        </w:tc>
        <w:tc>
          <w:tcPr>
            <w:tcW w:w="886" w:type="pct"/>
            <w:tcBorders>
              <w:top w:val="nil"/>
            </w:tcBorders>
          </w:tcPr>
          <w:p w14:paraId="01374873" w14:textId="77777777" w:rsidR="00F8657E" w:rsidRPr="000053F8"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0053F8">
              <w:rPr>
                <w:lang w:val="en-US"/>
              </w:rPr>
              <w:t>0.47</w:t>
            </w:r>
            <w:r w:rsidRPr="00B525C7">
              <w:rPr>
                <w:rFonts w:eastAsiaTheme="minorEastAsia"/>
              </w:rPr>
              <w:t>±</w:t>
            </w:r>
            <w:r w:rsidRPr="000053F8">
              <w:rPr>
                <w:rFonts w:eastAsiaTheme="minorEastAsia"/>
              </w:rPr>
              <w:t>0.10</w:t>
            </w:r>
          </w:p>
        </w:tc>
        <w:tc>
          <w:tcPr>
            <w:tcW w:w="0" w:type="pct"/>
            <w:tcBorders>
              <w:top w:val="nil"/>
            </w:tcBorders>
          </w:tcPr>
          <w:p w14:paraId="40E30499" w14:textId="77777777" w:rsidR="00F8657E" w:rsidRPr="000053F8"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0053F8">
              <w:rPr>
                <w:lang w:val="en-US"/>
              </w:rPr>
              <w:t>0.33</w:t>
            </w:r>
            <w:r w:rsidRPr="00B525C7">
              <w:rPr>
                <w:rFonts w:eastAsiaTheme="minorEastAsia"/>
              </w:rPr>
              <w:t>±</w:t>
            </w:r>
            <w:r w:rsidRPr="000053F8">
              <w:rPr>
                <w:rFonts w:eastAsiaTheme="minorEastAsia"/>
              </w:rPr>
              <w:t>0.13</w:t>
            </w:r>
          </w:p>
        </w:tc>
        <w:tc>
          <w:tcPr>
            <w:tcW w:w="0" w:type="pct"/>
            <w:tcBorders>
              <w:top w:val="nil"/>
            </w:tcBorders>
          </w:tcPr>
          <w:p w14:paraId="60342A7D" w14:textId="77777777" w:rsidR="00F8657E"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&lt;0.001</w:t>
            </w:r>
          </w:p>
        </w:tc>
        <w:tc>
          <w:tcPr>
            <w:tcW w:w="0" w:type="pct"/>
            <w:tcBorders>
              <w:top w:val="nil"/>
            </w:tcBorders>
          </w:tcPr>
          <w:p w14:paraId="4C4ED899" w14:textId="77777777" w:rsidR="00F8657E" w:rsidRDefault="00F8657E" w:rsidP="00E46BEB">
            <w:pPr>
              <w:spacing w:before="120"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0C57B8">
              <w:rPr>
                <w:lang w:val="en-US"/>
              </w:rPr>
              <w:t>1.207</w:t>
            </w:r>
          </w:p>
        </w:tc>
      </w:tr>
    </w:tbl>
    <w:p w14:paraId="0E594029" w14:textId="4CE56E9F" w:rsidR="00F8657E" w:rsidRDefault="00F8657E" w:rsidP="00E46BEB">
      <w:pPr>
        <w:spacing w:before="120" w:line="360" w:lineRule="auto"/>
        <w:jc w:val="both"/>
        <w:rPr>
          <w:sz w:val="20"/>
          <w:szCs w:val="20"/>
          <w:lang w:val="en-US"/>
        </w:rPr>
      </w:pPr>
      <w:r>
        <w:rPr>
          <w:sz w:val="20"/>
          <w:szCs w:val="20"/>
          <w:lang w:val="en-US"/>
        </w:rPr>
        <w:t>T</w:t>
      </w:r>
      <w:r w:rsidRPr="004F3528">
        <w:rPr>
          <w:sz w:val="20"/>
          <w:szCs w:val="20"/>
          <w:lang w:val="en-US"/>
        </w:rPr>
        <w:t>he significant differences corrected for Bonferroni corrections (&lt;0.05/14=0.004).</w:t>
      </w:r>
    </w:p>
    <w:p w14:paraId="573ED56C" w14:textId="5E864922" w:rsidR="00C11E1A" w:rsidRPr="00D9428F" w:rsidRDefault="00C11E1A" w:rsidP="00E46BEB">
      <w:pPr>
        <w:spacing w:before="120" w:line="360" w:lineRule="auto"/>
        <w:jc w:val="both"/>
        <w:rPr>
          <w:lang w:val="en-US"/>
        </w:rPr>
      </w:pPr>
    </w:p>
    <w:p w14:paraId="60B08739" w14:textId="04EBEC02" w:rsidR="00C11E1A" w:rsidRPr="00D9428F" w:rsidRDefault="00C11E1A" w:rsidP="00E46BEB">
      <w:pPr>
        <w:spacing w:before="120" w:line="360" w:lineRule="auto"/>
        <w:jc w:val="both"/>
        <w:rPr>
          <w:lang w:val="en-US"/>
        </w:rPr>
      </w:pPr>
      <w:r w:rsidRPr="00D9428F">
        <w:rPr>
          <w:lang w:val="en-US"/>
        </w:rPr>
        <w:lastRenderedPageBreak/>
        <w:t>References:</w:t>
      </w:r>
    </w:p>
    <w:p w14:paraId="381A1DB5" w14:textId="77777777" w:rsidR="00E46BEB" w:rsidRPr="00E46BEB" w:rsidRDefault="00307138" w:rsidP="00E46BEB">
      <w:pPr>
        <w:pStyle w:val="Bibliography"/>
        <w:spacing w:before="120" w:line="360" w:lineRule="auto"/>
        <w:rPr>
          <w:rFonts w:ascii="Calibri" w:cs="Calibri"/>
          <w:lang w:val="en-GB"/>
        </w:rPr>
      </w:pPr>
      <w:r>
        <w:rPr>
          <w:lang w:val="de-DE"/>
        </w:rPr>
        <w:fldChar w:fldCharType="begin"/>
      </w:r>
      <w:r w:rsidRPr="00307138">
        <w:rPr>
          <w:lang w:val="en-US"/>
        </w:rPr>
        <w:instrText xml:space="preserve"> ADDIN ZOTERO_BIBL {"uncited":[],"omitted":[],"custom":[]} CSL_BIBLIOGRAPHY </w:instrText>
      </w:r>
      <w:r>
        <w:rPr>
          <w:lang w:val="de-DE"/>
        </w:rPr>
        <w:fldChar w:fldCharType="separate"/>
      </w:r>
      <w:proofErr w:type="spellStart"/>
      <w:r w:rsidR="00E46BEB" w:rsidRPr="00E46BEB">
        <w:rPr>
          <w:rFonts w:ascii="Calibri" w:cs="Calibri"/>
          <w:lang w:val="en-GB"/>
        </w:rPr>
        <w:t>Borroni</w:t>
      </w:r>
      <w:proofErr w:type="spellEnd"/>
      <w:r w:rsidR="00E46BEB" w:rsidRPr="00E46BEB">
        <w:rPr>
          <w:rFonts w:ascii="Calibri" w:cs="Calibri"/>
          <w:lang w:val="en-GB"/>
        </w:rPr>
        <w:t xml:space="preserve">, B., </w:t>
      </w:r>
      <w:proofErr w:type="spellStart"/>
      <w:r w:rsidR="00E46BEB" w:rsidRPr="00E46BEB">
        <w:rPr>
          <w:rFonts w:ascii="Calibri" w:cs="Calibri"/>
          <w:lang w:val="en-GB"/>
        </w:rPr>
        <w:t>Agosti</w:t>
      </w:r>
      <w:proofErr w:type="spellEnd"/>
      <w:r w:rsidR="00E46BEB" w:rsidRPr="00E46BEB">
        <w:rPr>
          <w:rFonts w:ascii="Calibri" w:cs="Calibri"/>
          <w:lang w:val="en-GB"/>
        </w:rPr>
        <w:t xml:space="preserve">, C., </w:t>
      </w:r>
      <w:proofErr w:type="spellStart"/>
      <w:r w:rsidR="00E46BEB" w:rsidRPr="00E46BEB">
        <w:rPr>
          <w:rFonts w:ascii="Calibri" w:cs="Calibri"/>
          <w:lang w:val="en-GB"/>
        </w:rPr>
        <w:t>Premi</w:t>
      </w:r>
      <w:proofErr w:type="spellEnd"/>
      <w:r w:rsidR="00E46BEB" w:rsidRPr="00E46BEB">
        <w:rPr>
          <w:rFonts w:ascii="Calibri" w:cs="Calibri"/>
          <w:lang w:val="en-GB"/>
        </w:rPr>
        <w:t xml:space="preserve">, E., </w:t>
      </w:r>
      <w:proofErr w:type="spellStart"/>
      <w:r w:rsidR="00E46BEB" w:rsidRPr="00E46BEB">
        <w:rPr>
          <w:rFonts w:ascii="Calibri" w:cs="Calibri"/>
          <w:lang w:val="en-GB"/>
        </w:rPr>
        <w:t>Cerini</w:t>
      </w:r>
      <w:proofErr w:type="spellEnd"/>
      <w:r w:rsidR="00E46BEB" w:rsidRPr="00E46BEB">
        <w:rPr>
          <w:rFonts w:ascii="Calibri" w:cs="Calibri"/>
          <w:lang w:val="en-GB"/>
        </w:rPr>
        <w:t xml:space="preserve">, C., </w:t>
      </w:r>
      <w:proofErr w:type="spellStart"/>
      <w:r w:rsidR="00E46BEB" w:rsidRPr="00E46BEB">
        <w:rPr>
          <w:rFonts w:ascii="Calibri" w:cs="Calibri"/>
          <w:lang w:val="en-GB"/>
        </w:rPr>
        <w:t>Cosseddu</w:t>
      </w:r>
      <w:proofErr w:type="spellEnd"/>
      <w:r w:rsidR="00E46BEB" w:rsidRPr="00E46BEB">
        <w:rPr>
          <w:rFonts w:ascii="Calibri" w:cs="Calibri"/>
          <w:lang w:val="en-GB"/>
        </w:rPr>
        <w:t xml:space="preserve">, M., </w:t>
      </w:r>
      <w:proofErr w:type="spellStart"/>
      <w:r w:rsidR="00E46BEB" w:rsidRPr="00E46BEB">
        <w:rPr>
          <w:rFonts w:ascii="Calibri" w:cs="Calibri"/>
          <w:lang w:val="en-GB"/>
        </w:rPr>
        <w:t>Paghera</w:t>
      </w:r>
      <w:proofErr w:type="spellEnd"/>
      <w:r w:rsidR="00E46BEB" w:rsidRPr="00E46BEB">
        <w:rPr>
          <w:rFonts w:ascii="Calibri" w:cs="Calibri"/>
          <w:lang w:val="en-GB"/>
        </w:rPr>
        <w:t xml:space="preserve">, B., </w:t>
      </w:r>
      <w:proofErr w:type="spellStart"/>
      <w:r w:rsidR="00E46BEB" w:rsidRPr="00E46BEB">
        <w:rPr>
          <w:rFonts w:ascii="Calibri" w:cs="Calibri"/>
          <w:lang w:val="en-GB"/>
        </w:rPr>
        <w:t>Bellelli</w:t>
      </w:r>
      <w:proofErr w:type="spellEnd"/>
      <w:r w:rsidR="00E46BEB" w:rsidRPr="00E46BEB">
        <w:rPr>
          <w:rFonts w:ascii="Calibri" w:cs="Calibri"/>
          <w:lang w:val="en-GB"/>
        </w:rPr>
        <w:t xml:space="preserve">, G., &amp; </w:t>
      </w:r>
      <w:proofErr w:type="spellStart"/>
      <w:r w:rsidR="00E46BEB" w:rsidRPr="00E46BEB">
        <w:rPr>
          <w:rFonts w:ascii="Calibri" w:cs="Calibri"/>
          <w:lang w:val="en-GB"/>
        </w:rPr>
        <w:t>Padovani</w:t>
      </w:r>
      <w:proofErr w:type="spellEnd"/>
      <w:r w:rsidR="00E46BEB" w:rsidRPr="00E46BEB">
        <w:rPr>
          <w:rFonts w:ascii="Calibri" w:cs="Calibri"/>
          <w:lang w:val="en-GB"/>
        </w:rPr>
        <w:t xml:space="preserve">, A. (2010). The FTLD-modified Clinical Dementia Rating scale is a reliable tool for defining disease severity in frontotemporal lobar degeneration: Evidence from a brain SPECT study. </w:t>
      </w:r>
      <w:r w:rsidR="00E46BEB" w:rsidRPr="00E46BEB">
        <w:rPr>
          <w:rFonts w:ascii="Calibri" w:cs="Calibri"/>
          <w:i/>
          <w:iCs/>
          <w:lang w:val="en-GB"/>
        </w:rPr>
        <w:t>European Journal of Neurology</w:t>
      </w:r>
      <w:r w:rsidR="00E46BEB" w:rsidRPr="00E46BEB">
        <w:rPr>
          <w:rFonts w:ascii="Calibri" w:cs="Calibri"/>
          <w:lang w:val="en-GB"/>
        </w:rPr>
        <w:t xml:space="preserve">, </w:t>
      </w:r>
      <w:r w:rsidR="00E46BEB" w:rsidRPr="00E46BEB">
        <w:rPr>
          <w:rFonts w:ascii="Calibri" w:cs="Calibri"/>
          <w:i/>
          <w:iCs/>
          <w:lang w:val="en-GB"/>
        </w:rPr>
        <w:t>17</w:t>
      </w:r>
      <w:r w:rsidR="00E46BEB" w:rsidRPr="00E46BEB">
        <w:rPr>
          <w:rFonts w:ascii="Calibri" w:cs="Calibri"/>
          <w:lang w:val="en-GB"/>
        </w:rPr>
        <w:t>(5), 703–707. https://doi.org/10.1111/j.1468-1331.2009.02911.x</w:t>
      </w:r>
    </w:p>
    <w:p w14:paraId="5CF2733B" w14:textId="77777777" w:rsidR="00E46BEB" w:rsidRPr="00E46BEB" w:rsidRDefault="00E46BEB" w:rsidP="00E46BEB">
      <w:pPr>
        <w:pStyle w:val="Bibliography"/>
        <w:spacing w:before="120" w:line="360" w:lineRule="auto"/>
        <w:rPr>
          <w:rFonts w:ascii="Calibri" w:cs="Calibri"/>
          <w:lang w:val="en-GB"/>
        </w:rPr>
      </w:pPr>
      <w:r w:rsidRPr="00E46BEB">
        <w:rPr>
          <w:rFonts w:ascii="Calibri" w:cs="Calibri"/>
          <w:i/>
          <w:iCs/>
          <w:lang w:val="en-GB"/>
        </w:rPr>
        <w:t>Burgess, P. &amp; Shallice, T. (1997) The Hayling and Brixton Tests. Test manual. Bury St Edmunds, UK: Thames Valley Test Company.</w:t>
      </w:r>
      <w:r w:rsidRPr="00E46BEB">
        <w:rPr>
          <w:rFonts w:ascii="Calibri" w:cs="Calibri"/>
          <w:lang w:val="en-GB"/>
        </w:rPr>
        <w:t xml:space="preserve"> (n.d.).</w:t>
      </w:r>
    </w:p>
    <w:p w14:paraId="5C3B8D67" w14:textId="77777777" w:rsidR="00E46BEB" w:rsidRPr="00E46BEB" w:rsidRDefault="00E46BEB" w:rsidP="00E46BEB">
      <w:pPr>
        <w:pStyle w:val="Bibliography"/>
        <w:spacing w:before="120" w:line="360" w:lineRule="auto"/>
        <w:rPr>
          <w:rFonts w:ascii="Calibri" w:cs="Calibri"/>
          <w:lang w:val="en-GB"/>
        </w:rPr>
      </w:pPr>
      <w:r w:rsidRPr="00E46BEB">
        <w:rPr>
          <w:rFonts w:ascii="Calibri" w:cs="Calibri"/>
          <w:lang w:val="en-GB"/>
        </w:rPr>
        <w:t xml:space="preserve">Cummings, J. L. (1997). The Neuropsychiatric Inventory: Assessing psychopathology in dementia patients. </w:t>
      </w:r>
      <w:r w:rsidRPr="00E46BEB">
        <w:rPr>
          <w:rFonts w:ascii="Calibri" w:cs="Calibri"/>
          <w:i/>
          <w:iCs/>
          <w:lang w:val="en-GB"/>
        </w:rPr>
        <w:t>Neurology</w:t>
      </w:r>
      <w:r w:rsidRPr="00E46BEB">
        <w:rPr>
          <w:rFonts w:ascii="Calibri" w:cs="Calibri"/>
          <w:lang w:val="en-GB"/>
        </w:rPr>
        <w:t xml:space="preserve">, </w:t>
      </w:r>
      <w:r w:rsidRPr="00E46BEB">
        <w:rPr>
          <w:rFonts w:ascii="Calibri" w:cs="Calibri"/>
          <w:i/>
          <w:iCs/>
          <w:lang w:val="en-GB"/>
        </w:rPr>
        <w:t>48</w:t>
      </w:r>
      <w:r w:rsidRPr="00E46BEB">
        <w:rPr>
          <w:rFonts w:ascii="Calibri" w:cs="Calibri"/>
          <w:lang w:val="en-GB"/>
        </w:rPr>
        <w:t xml:space="preserve">(5 </w:t>
      </w:r>
      <w:proofErr w:type="spellStart"/>
      <w:r w:rsidRPr="00E46BEB">
        <w:rPr>
          <w:rFonts w:ascii="Calibri" w:cs="Calibri"/>
          <w:lang w:val="en-GB"/>
        </w:rPr>
        <w:t>Suppl</w:t>
      </w:r>
      <w:proofErr w:type="spellEnd"/>
      <w:r w:rsidRPr="00E46BEB">
        <w:rPr>
          <w:rFonts w:ascii="Calibri" w:cs="Calibri"/>
          <w:lang w:val="en-GB"/>
        </w:rPr>
        <w:t xml:space="preserve"> 6), S10-16. https://doi.org/10.1212/wnl.48.5_suppl_6.10s</w:t>
      </w:r>
    </w:p>
    <w:p w14:paraId="73AC82A1" w14:textId="77777777" w:rsidR="00E46BEB" w:rsidRPr="00E46BEB" w:rsidRDefault="00E46BEB" w:rsidP="00E46BEB">
      <w:pPr>
        <w:pStyle w:val="Bibliography"/>
        <w:spacing w:before="120" w:line="360" w:lineRule="auto"/>
        <w:rPr>
          <w:rFonts w:ascii="Calibri" w:cs="Calibri"/>
          <w:lang w:val="de-DE"/>
        </w:rPr>
      </w:pPr>
      <w:r w:rsidRPr="00E46BEB">
        <w:rPr>
          <w:rFonts w:ascii="Calibri" w:cs="Calibri"/>
          <w:lang w:val="en-GB"/>
        </w:rPr>
        <w:t xml:space="preserve">Dale, A. M., </w:t>
      </w:r>
      <w:proofErr w:type="spellStart"/>
      <w:r w:rsidRPr="00E46BEB">
        <w:rPr>
          <w:rFonts w:ascii="Calibri" w:cs="Calibri"/>
          <w:lang w:val="en-GB"/>
        </w:rPr>
        <w:t>Fischl</w:t>
      </w:r>
      <w:proofErr w:type="spellEnd"/>
      <w:r w:rsidRPr="00E46BEB">
        <w:rPr>
          <w:rFonts w:ascii="Calibri" w:cs="Calibri"/>
          <w:lang w:val="en-GB"/>
        </w:rPr>
        <w:t xml:space="preserve">, B., &amp; Sereno, M. I. (1999). Cortical surface-based analysis. I. Segmentation and surface reconstruction. </w:t>
      </w:r>
      <w:proofErr w:type="spellStart"/>
      <w:r w:rsidRPr="00E46BEB">
        <w:rPr>
          <w:rFonts w:ascii="Calibri" w:cs="Calibri"/>
          <w:i/>
          <w:iCs/>
          <w:lang w:val="de-DE"/>
        </w:rPr>
        <w:t>NeuroImage</w:t>
      </w:r>
      <w:proofErr w:type="spellEnd"/>
      <w:r w:rsidRPr="00E46BEB">
        <w:rPr>
          <w:rFonts w:ascii="Calibri" w:cs="Calibri"/>
          <w:lang w:val="de-DE"/>
        </w:rPr>
        <w:t xml:space="preserve">, </w:t>
      </w:r>
      <w:r w:rsidRPr="00E46BEB">
        <w:rPr>
          <w:rFonts w:ascii="Calibri" w:cs="Calibri"/>
          <w:i/>
          <w:iCs/>
          <w:lang w:val="de-DE"/>
        </w:rPr>
        <w:t>9</w:t>
      </w:r>
      <w:r w:rsidRPr="00E46BEB">
        <w:rPr>
          <w:rFonts w:ascii="Calibri" w:cs="Calibri"/>
          <w:lang w:val="de-DE"/>
        </w:rPr>
        <w:t>(2), 179–194. https://doi.org/10.1006/nimg.1998.0395</w:t>
      </w:r>
    </w:p>
    <w:p w14:paraId="3C1C4F01" w14:textId="77777777" w:rsidR="00E46BEB" w:rsidRPr="00E46BEB" w:rsidRDefault="00E46BEB" w:rsidP="00E46BEB">
      <w:pPr>
        <w:pStyle w:val="Bibliography"/>
        <w:spacing w:before="120" w:line="360" w:lineRule="auto"/>
        <w:rPr>
          <w:rFonts w:ascii="Calibri" w:cs="Calibri"/>
          <w:lang w:val="de-DE"/>
        </w:rPr>
      </w:pPr>
      <w:proofErr w:type="spellStart"/>
      <w:r w:rsidRPr="00E46BEB">
        <w:rPr>
          <w:rFonts w:ascii="Calibri" w:cs="Calibri"/>
          <w:lang w:val="de-DE"/>
        </w:rPr>
        <w:t>Desikan</w:t>
      </w:r>
      <w:proofErr w:type="spellEnd"/>
      <w:r w:rsidRPr="00E46BEB">
        <w:rPr>
          <w:rFonts w:ascii="Calibri" w:cs="Calibri"/>
          <w:lang w:val="de-DE"/>
        </w:rPr>
        <w:t xml:space="preserve">, R. S., </w:t>
      </w:r>
      <w:proofErr w:type="spellStart"/>
      <w:r w:rsidRPr="00E46BEB">
        <w:rPr>
          <w:rFonts w:ascii="Calibri" w:cs="Calibri"/>
          <w:lang w:val="de-DE"/>
        </w:rPr>
        <w:t>Ségonne</w:t>
      </w:r>
      <w:proofErr w:type="spellEnd"/>
      <w:r w:rsidRPr="00E46BEB">
        <w:rPr>
          <w:rFonts w:ascii="Calibri" w:cs="Calibri"/>
          <w:lang w:val="de-DE"/>
        </w:rPr>
        <w:t xml:space="preserve">, F., </w:t>
      </w:r>
      <w:proofErr w:type="spellStart"/>
      <w:r w:rsidRPr="00E46BEB">
        <w:rPr>
          <w:rFonts w:ascii="Calibri" w:cs="Calibri"/>
          <w:lang w:val="de-DE"/>
        </w:rPr>
        <w:t>Fischl</w:t>
      </w:r>
      <w:proofErr w:type="spellEnd"/>
      <w:r w:rsidRPr="00E46BEB">
        <w:rPr>
          <w:rFonts w:ascii="Calibri" w:cs="Calibri"/>
          <w:lang w:val="de-DE"/>
        </w:rPr>
        <w:t xml:space="preserve">, B., Quinn, B. T., </w:t>
      </w:r>
      <w:proofErr w:type="spellStart"/>
      <w:r w:rsidRPr="00E46BEB">
        <w:rPr>
          <w:rFonts w:ascii="Calibri" w:cs="Calibri"/>
          <w:lang w:val="de-DE"/>
        </w:rPr>
        <w:t>Dickerson</w:t>
      </w:r>
      <w:proofErr w:type="spellEnd"/>
      <w:r w:rsidRPr="00E46BEB">
        <w:rPr>
          <w:rFonts w:ascii="Calibri" w:cs="Calibri"/>
          <w:lang w:val="de-DE"/>
        </w:rPr>
        <w:t xml:space="preserve">, B. C., </w:t>
      </w:r>
      <w:proofErr w:type="spellStart"/>
      <w:r w:rsidRPr="00E46BEB">
        <w:rPr>
          <w:rFonts w:ascii="Calibri" w:cs="Calibri"/>
          <w:lang w:val="de-DE"/>
        </w:rPr>
        <w:t>Blacker</w:t>
      </w:r>
      <w:proofErr w:type="spellEnd"/>
      <w:r w:rsidRPr="00E46BEB">
        <w:rPr>
          <w:rFonts w:ascii="Calibri" w:cs="Calibri"/>
          <w:lang w:val="de-DE"/>
        </w:rPr>
        <w:t xml:space="preserve">, D., Buckner, R. L., Dale, A. M., </w:t>
      </w:r>
      <w:proofErr w:type="spellStart"/>
      <w:r w:rsidRPr="00E46BEB">
        <w:rPr>
          <w:rFonts w:ascii="Calibri" w:cs="Calibri"/>
          <w:lang w:val="de-DE"/>
        </w:rPr>
        <w:t>Maguire</w:t>
      </w:r>
      <w:proofErr w:type="spellEnd"/>
      <w:r w:rsidRPr="00E46BEB">
        <w:rPr>
          <w:rFonts w:ascii="Calibri" w:cs="Calibri"/>
          <w:lang w:val="de-DE"/>
        </w:rPr>
        <w:t xml:space="preserve">, R. P., Hyman, B. T., Albert, M. S., &amp; </w:t>
      </w:r>
      <w:proofErr w:type="spellStart"/>
      <w:r w:rsidRPr="00E46BEB">
        <w:rPr>
          <w:rFonts w:ascii="Calibri" w:cs="Calibri"/>
          <w:lang w:val="de-DE"/>
        </w:rPr>
        <w:t>Killiany</w:t>
      </w:r>
      <w:proofErr w:type="spellEnd"/>
      <w:r w:rsidRPr="00E46BEB">
        <w:rPr>
          <w:rFonts w:ascii="Calibri" w:cs="Calibri"/>
          <w:lang w:val="de-DE"/>
        </w:rPr>
        <w:t xml:space="preserve">, R. J. (2006). </w:t>
      </w:r>
      <w:r w:rsidRPr="00E46BEB">
        <w:rPr>
          <w:rFonts w:ascii="Calibri" w:cs="Calibri"/>
          <w:lang w:val="en-GB"/>
        </w:rPr>
        <w:t xml:space="preserve">An automated </w:t>
      </w:r>
      <w:proofErr w:type="spellStart"/>
      <w:r w:rsidRPr="00E46BEB">
        <w:rPr>
          <w:rFonts w:ascii="Calibri" w:cs="Calibri"/>
          <w:lang w:val="en-GB"/>
        </w:rPr>
        <w:t>labeling</w:t>
      </w:r>
      <w:proofErr w:type="spellEnd"/>
      <w:r w:rsidRPr="00E46BEB">
        <w:rPr>
          <w:rFonts w:ascii="Calibri" w:cs="Calibri"/>
          <w:lang w:val="en-GB"/>
        </w:rPr>
        <w:t xml:space="preserve"> system for subdividing the human cerebral cortex on MRI scans into </w:t>
      </w:r>
      <w:proofErr w:type="spellStart"/>
      <w:r w:rsidRPr="00E46BEB">
        <w:rPr>
          <w:rFonts w:ascii="Calibri" w:cs="Calibri"/>
          <w:lang w:val="en-GB"/>
        </w:rPr>
        <w:t>gyral</w:t>
      </w:r>
      <w:proofErr w:type="spellEnd"/>
      <w:r w:rsidRPr="00E46BEB">
        <w:rPr>
          <w:rFonts w:ascii="Calibri" w:cs="Calibri"/>
          <w:lang w:val="en-GB"/>
        </w:rPr>
        <w:t xml:space="preserve"> based regions of interest. </w:t>
      </w:r>
      <w:proofErr w:type="spellStart"/>
      <w:r w:rsidRPr="00E46BEB">
        <w:rPr>
          <w:rFonts w:ascii="Calibri" w:cs="Calibri"/>
          <w:i/>
          <w:iCs/>
          <w:lang w:val="de-DE"/>
        </w:rPr>
        <w:t>NeuroImage</w:t>
      </w:r>
      <w:proofErr w:type="spellEnd"/>
      <w:r w:rsidRPr="00E46BEB">
        <w:rPr>
          <w:rFonts w:ascii="Calibri" w:cs="Calibri"/>
          <w:lang w:val="de-DE"/>
        </w:rPr>
        <w:t xml:space="preserve">, </w:t>
      </w:r>
      <w:r w:rsidRPr="00E46BEB">
        <w:rPr>
          <w:rFonts w:ascii="Calibri" w:cs="Calibri"/>
          <w:i/>
          <w:iCs/>
          <w:lang w:val="de-DE"/>
        </w:rPr>
        <w:t>31</w:t>
      </w:r>
      <w:r w:rsidRPr="00E46BEB">
        <w:rPr>
          <w:rFonts w:ascii="Calibri" w:cs="Calibri"/>
          <w:lang w:val="de-DE"/>
        </w:rPr>
        <w:t>(3), 968–980. https://doi.org/10.1016/j.neuroimage.2006.01.021</w:t>
      </w:r>
    </w:p>
    <w:p w14:paraId="250F9E39" w14:textId="77777777" w:rsidR="00E46BEB" w:rsidRPr="00E46BEB" w:rsidRDefault="00E46BEB" w:rsidP="00E46BEB">
      <w:pPr>
        <w:pStyle w:val="Bibliography"/>
        <w:spacing w:before="120" w:line="360" w:lineRule="auto"/>
        <w:rPr>
          <w:rFonts w:ascii="Calibri" w:cs="Calibri"/>
          <w:lang w:val="de-DE"/>
        </w:rPr>
      </w:pPr>
      <w:proofErr w:type="spellStart"/>
      <w:r w:rsidRPr="00E46BEB">
        <w:rPr>
          <w:rFonts w:ascii="Calibri" w:cs="Calibri"/>
          <w:lang w:val="de-DE"/>
        </w:rPr>
        <w:t>Destrieux</w:t>
      </w:r>
      <w:proofErr w:type="spellEnd"/>
      <w:r w:rsidRPr="00E46BEB">
        <w:rPr>
          <w:rFonts w:ascii="Calibri" w:cs="Calibri"/>
          <w:lang w:val="de-DE"/>
        </w:rPr>
        <w:t xml:space="preserve">, C., </w:t>
      </w:r>
      <w:proofErr w:type="spellStart"/>
      <w:r w:rsidRPr="00E46BEB">
        <w:rPr>
          <w:rFonts w:ascii="Calibri" w:cs="Calibri"/>
          <w:lang w:val="de-DE"/>
        </w:rPr>
        <w:t>Fischl</w:t>
      </w:r>
      <w:proofErr w:type="spellEnd"/>
      <w:r w:rsidRPr="00E46BEB">
        <w:rPr>
          <w:rFonts w:ascii="Calibri" w:cs="Calibri"/>
          <w:lang w:val="de-DE"/>
        </w:rPr>
        <w:t xml:space="preserve">, B., Dale, A., &amp; </w:t>
      </w:r>
      <w:proofErr w:type="spellStart"/>
      <w:r w:rsidRPr="00E46BEB">
        <w:rPr>
          <w:rFonts w:ascii="Calibri" w:cs="Calibri"/>
          <w:lang w:val="de-DE"/>
        </w:rPr>
        <w:t>Halgren</w:t>
      </w:r>
      <w:proofErr w:type="spellEnd"/>
      <w:r w:rsidRPr="00E46BEB">
        <w:rPr>
          <w:rFonts w:ascii="Calibri" w:cs="Calibri"/>
          <w:lang w:val="de-DE"/>
        </w:rPr>
        <w:t xml:space="preserve">, E. (2010). </w:t>
      </w:r>
      <w:r w:rsidRPr="00E46BEB">
        <w:rPr>
          <w:rFonts w:ascii="Calibri" w:cs="Calibri"/>
          <w:lang w:val="en-GB"/>
        </w:rPr>
        <w:t xml:space="preserve">Automatic parcellation of human cortical gyri and sulci using standard anatomical nomenclature. </w:t>
      </w:r>
      <w:proofErr w:type="spellStart"/>
      <w:r w:rsidRPr="00E46BEB">
        <w:rPr>
          <w:rFonts w:ascii="Calibri" w:cs="Calibri"/>
          <w:i/>
          <w:iCs/>
          <w:lang w:val="de-DE"/>
        </w:rPr>
        <w:t>NeuroImage</w:t>
      </w:r>
      <w:proofErr w:type="spellEnd"/>
      <w:r w:rsidRPr="00E46BEB">
        <w:rPr>
          <w:rFonts w:ascii="Calibri" w:cs="Calibri"/>
          <w:lang w:val="de-DE"/>
        </w:rPr>
        <w:t xml:space="preserve">, </w:t>
      </w:r>
      <w:r w:rsidRPr="00E46BEB">
        <w:rPr>
          <w:rFonts w:ascii="Calibri" w:cs="Calibri"/>
          <w:i/>
          <w:iCs/>
          <w:lang w:val="de-DE"/>
        </w:rPr>
        <w:t>53</w:t>
      </w:r>
      <w:r w:rsidRPr="00E46BEB">
        <w:rPr>
          <w:rFonts w:ascii="Calibri" w:cs="Calibri"/>
          <w:lang w:val="de-DE"/>
        </w:rPr>
        <w:t>(1), 1–15. https://doi.org/10.1016/j.neuroimage.2010.06.010</w:t>
      </w:r>
    </w:p>
    <w:p w14:paraId="6335C7C6" w14:textId="77777777" w:rsidR="00E46BEB" w:rsidRPr="00E46BEB" w:rsidRDefault="00E46BEB" w:rsidP="00E46BEB">
      <w:pPr>
        <w:pStyle w:val="Bibliography"/>
        <w:spacing w:before="120" w:line="360" w:lineRule="auto"/>
        <w:rPr>
          <w:rFonts w:ascii="Calibri" w:cs="Calibri"/>
          <w:lang w:val="en-GB"/>
        </w:rPr>
      </w:pPr>
      <w:proofErr w:type="spellStart"/>
      <w:r w:rsidRPr="00E46BEB">
        <w:rPr>
          <w:rFonts w:ascii="Calibri" w:cs="Calibri"/>
          <w:lang w:val="de-DE"/>
        </w:rPr>
        <w:t>Feis</w:t>
      </w:r>
      <w:proofErr w:type="spellEnd"/>
      <w:r w:rsidRPr="00E46BEB">
        <w:rPr>
          <w:rFonts w:ascii="Calibri" w:cs="Calibri"/>
          <w:lang w:val="de-DE"/>
        </w:rPr>
        <w:t xml:space="preserve">, R. A., Smith, S. M., </w:t>
      </w:r>
      <w:proofErr w:type="spellStart"/>
      <w:r w:rsidRPr="00E46BEB">
        <w:rPr>
          <w:rFonts w:ascii="Calibri" w:cs="Calibri"/>
          <w:lang w:val="de-DE"/>
        </w:rPr>
        <w:t>Filippini</w:t>
      </w:r>
      <w:proofErr w:type="spellEnd"/>
      <w:r w:rsidRPr="00E46BEB">
        <w:rPr>
          <w:rFonts w:ascii="Calibri" w:cs="Calibri"/>
          <w:lang w:val="de-DE"/>
        </w:rPr>
        <w:t xml:space="preserve">, N., </w:t>
      </w:r>
      <w:proofErr w:type="spellStart"/>
      <w:r w:rsidRPr="00E46BEB">
        <w:rPr>
          <w:rFonts w:ascii="Calibri" w:cs="Calibri"/>
          <w:lang w:val="de-DE"/>
        </w:rPr>
        <w:t>Douaud</w:t>
      </w:r>
      <w:proofErr w:type="spellEnd"/>
      <w:r w:rsidRPr="00E46BEB">
        <w:rPr>
          <w:rFonts w:ascii="Calibri" w:cs="Calibri"/>
          <w:lang w:val="de-DE"/>
        </w:rPr>
        <w:t xml:space="preserve">, G., </w:t>
      </w:r>
      <w:proofErr w:type="spellStart"/>
      <w:r w:rsidRPr="00E46BEB">
        <w:rPr>
          <w:rFonts w:ascii="Calibri" w:cs="Calibri"/>
          <w:lang w:val="de-DE"/>
        </w:rPr>
        <w:t>Dopper</w:t>
      </w:r>
      <w:proofErr w:type="spellEnd"/>
      <w:r w:rsidRPr="00E46BEB">
        <w:rPr>
          <w:rFonts w:ascii="Calibri" w:cs="Calibri"/>
          <w:lang w:val="de-DE"/>
        </w:rPr>
        <w:t xml:space="preserve">, E. G. P., Heise, V., Trachtenberg, A. J., van </w:t>
      </w:r>
      <w:proofErr w:type="spellStart"/>
      <w:r w:rsidRPr="00E46BEB">
        <w:rPr>
          <w:rFonts w:ascii="Calibri" w:cs="Calibri"/>
          <w:lang w:val="de-DE"/>
        </w:rPr>
        <w:t>Swieten</w:t>
      </w:r>
      <w:proofErr w:type="spellEnd"/>
      <w:r w:rsidRPr="00E46BEB">
        <w:rPr>
          <w:rFonts w:ascii="Calibri" w:cs="Calibri"/>
          <w:lang w:val="de-DE"/>
        </w:rPr>
        <w:t xml:space="preserve">, J. C., van </w:t>
      </w:r>
      <w:proofErr w:type="spellStart"/>
      <w:r w:rsidRPr="00E46BEB">
        <w:rPr>
          <w:rFonts w:ascii="Calibri" w:cs="Calibri"/>
          <w:lang w:val="de-DE"/>
        </w:rPr>
        <w:t>Buchem</w:t>
      </w:r>
      <w:proofErr w:type="spellEnd"/>
      <w:r w:rsidRPr="00E46BEB">
        <w:rPr>
          <w:rFonts w:ascii="Calibri" w:cs="Calibri"/>
          <w:lang w:val="de-DE"/>
        </w:rPr>
        <w:t xml:space="preserve">, M. A., </w:t>
      </w:r>
      <w:proofErr w:type="spellStart"/>
      <w:r w:rsidRPr="00E46BEB">
        <w:rPr>
          <w:rFonts w:ascii="Calibri" w:cs="Calibri"/>
          <w:lang w:val="de-DE"/>
        </w:rPr>
        <w:t>Rombouts</w:t>
      </w:r>
      <w:proofErr w:type="spellEnd"/>
      <w:r w:rsidRPr="00E46BEB">
        <w:rPr>
          <w:rFonts w:ascii="Calibri" w:cs="Calibri"/>
          <w:lang w:val="de-DE"/>
        </w:rPr>
        <w:t xml:space="preserve">, S. A. R. B., &amp; </w:t>
      </w:r>
      <w:proofErr w:type="spellStart"/>
      <w:r w:rsidRPr="00E46BEB">
        <w:rPr>
          <w:rFonts w:ascii="Calibri" w:cs="Calibri"/>
          <w:lang w:val="de-DE"/>
        </w:rPr>
        <w:t>Mackay</w:t>
      </w:r>
      <w:proofErr w:type="spellEnd"/>
      <w:r w:rsidRPr="00E46BEB">
        <w:rPr>
          <w:rFonts w:ascii="Calibri" w:cs="Calibri"/>
          <w:lang w:val="de-DE"/>
        </w:rPr>
        <w:t xml:space="preserve">, C. E. (2015). </w:t>
      </w:r>
      <w:r w:rsidRPr="00E46BEB">
        <w:rPr>
          <w:rFonts w:ascii="Calibri" w:cs="Calibri"/>
          <w:lang w:val="en-GB"/>
        </w:rPr>
        <w:t>ICA-based artifact removal diminishes scan site differences in multi-</w:t>
      </w:r>
      <w:proofErr w:type="spellStart"/>
      <w:r w:rsidRPr="00E46BEB">
        <w:rPr>
          <w:rFonts w:ascii="Calibri" w:cs="Calibri"/>
          <w:lang w:val="en-GB"/>
        </w:rPr>
        <w:t>center</w:t>
      </w:r>
      <w:proofErr w:type="spellEnd"/>
      <w:r w:rsidRPr="00E46BEB">
        <w:rPr>
          <w:rFonts w:ascii="Calibri" w:cs="Calibri"/>
          <w:lang w:val="en-GB"/>
        </w:rPr>
        <w:t xml:space="preserve"> resting-state fMRI. </w:t>
      </w:r>
      <w:r w:rsidRPr="00E46BEB">
        <w:rPr>
          <w:rFonts w:ascii="Calibri" w:cs="Calibri"/>
          <w:i/>
          <w:iCs/>
          <w:lang w:val="en-GB"/>
        </w:rPr>
        <w:t>Frontiers in Neuroscience</w:t>
      </w:r>
      <w:r w:rsidRPr="00E46BEB">
        <w:rPr>
          <w:rFonts w:ascii="Calibri" w:cs="Calibri"/>
          <w:lang w:val="en-GB"/>
        </w:rPr>
        <w:t xml:space="preserve">, </w:t>
      </w:r>
      <w:r w:rsidRPr="00E46BEB">
        <w:rPr>
          <w:rFonts w:ascii="Calibri" w:cs="Calibri"/>
          <w:i/>
          <w:iCs/>
          <w:lang w:val="en-GB"/>
        </w:rPr>
        <w:t>9</w:t>
      </w:r>
      <w:r w:rsidRPr="00E46BEB">
        <w:rPr>
          <w:rFonts w:ascii="Calibri" w:cs="Calibri"/>
          <w:lang w:val="en-GB"/>
        </w:rPr>
        <w:t>, 395. https://doi.org/10.3389/fnins.2015.00395</w:t>
      </w:r>
    </w:p>
    <w:p w14:paraId="213DD352" w14:textId="77777777" w:rsidR="00E46BEB" w:rsidRPr="00E46BEB" w:rsidRDefault="00E46BEB" w:rsidP="00E46BEB">
      <w:pPr>
        <w:pStyle w:val="Bibliography"/>
        <w:spacing w:before="120" w:line="360" w:lineRule="auto"/>
        <w:rPr>
          <w:rFonts w:ascii="Calibri" w:cs="Calibri"/>
          <w:lang w:val="en-GB"/>
        </w:rPr>
      </w:pPr>
      <w:proofErr w:type="spellStart"/>
      <w:r w:rsidRPr="00E46BEB">
        <w:rPr>
          <w:rFonts w:ascii="Calibri" w:cs="Calibri"/>
          <w:lang w:val="en-GB"/>
        </w:rPr>
        <w:t>Fischl</w:t>
      </w:r>
      <w:proofErr w:type="spellEnd"/>
      <w:r w:rsidRPr="00E46BEB">
        <w:rPr>
          <w:rFonts w:ascii="Calibri" w:cs="Calibri"/>
          <w:lang w:val="en-GB"/>
        </w:rPr>
        <w:t xml:space="preserve">, B., &amp; Dale, A. M. (2000). Measuring the thickness of the human cerebral cortex from magnetic resonance images. </w:t>
      </w:r>
      <w:r w:rsidRPr="00E46BEB">
        <w:rPr>
          <w:rFonts w:ascii="Calibri" w:cs="Calibri"/>
          <w:i/>
          <w:iCs/>
          <w:lang w:val="en-GB"/>
        </w:rPr>
        <w:t xml:space="preserve">Proceedings of the National Academy of Sciences of the </w:t>
      </w:r>
      <w:r w:rsidRPr="00E46BEB">
        <w:rPr>
          <w:rFonts w:ascii="Calibri" w:cs="Calibri"/>
          <w:i/>
          <w:iCs/>
          <w:lang w:val="en-GB"/>
        </w:rPr>
        <w:lastRenderedPageBreak/>
        <w:t>United States of America</w:t>
      </w:r>
      <w:r w:rsidRPr="00E46BEB">
        <w:rPr>
          <w:rFonts w:ascii="Calibri" w:cs="Calibri"/>
          <w:lang w:val="en-GB"/>
        </w:rPr>
        <w:t xml:space="preserve">, </w:t>
      </w:r>
      <w:r w:rsidRPr="00E46BEB">
        <w:rPr>
          <w:rFonts w:ascii="Calibri" w:cs="Calibri"/>
          <w:i/>
          <w:iCs/>
          <w:lang w:val="en-GB"/>
        </w:rPr>
        <w:t>97</w:t>
      </w:r>
      <w:r w:rsidRPr="00E46BEB">
        <w:rPr>
          <w:rFonts w:ascii="Calibri" w:cs="Calibri"/>
          <w:lang w:val="en-GB"/>
        </w:rPr>
        <w:t>(20), 11050–11055. https://doi.org/10.1073/pnas.200033797</w:t>
      </w:r>
    </w:p>
    <w:p w14:paraId="5BE0A2D7" w14:textId="77777777" w:rsidR="00E46BEB" w:rsidRPr="00E46BEB" w:rsidRDefault="00E46BEB" w:rsidP="00E46BEB">
      <w:pPr>
        <w:pStyle w:val="Bibliography"/>
        <w:spacing w:before="120" w:line="360" w:lineRule="auto"/>
        <w:rPr>
          <w:rFonts w:ascii="Calibri" w:cs="Calibri"/>
          <w:lang w:val="de-DE"/>
        </w:rPr>
      </w:pPr>
      <w:proofErr w:type="spellStart"/>
      <w:r w:rsidRPr="00E46BEB">
        <w:rPr>
          <w:rFonts w:ascii="Calibri" w:cs="Calibri"/>
          <w:lang w:val="en-GB"/>
        </w:rPr>
        <w:t>Fischl</w:t>
      </w:r>
      <w:proofErr w:type="spellEnd"/>
      <w:r w:rsidRPr="00E46BEB">
        <w:rPr>
          <w:rFonts w:ascii="Calibri" w:cs="Calibri"/>
          <w:lang w:val="en-GB"/>
        </w:rPr>
        <w:t xml:space="preserve">, B., Salat, D. H., </w:t>
      </w:r>
      <w:proofErr w:type="spellStart"/>
      <w:r w:rsidRPr="00E46BEB">
        <w:rPr>
          <w:rFonts w:ascii="Calibri" w:cs="Calibri"/>
          <w:lang w:val="en-GB"/>
        </w:rPr>
        <w:t>Busa</w:t>
      </w:r>
      <w:proofErr w:type="spellEnd"/>
      <w:r w:rsidRPr="00E46BEB">
        <w:rPr>
          <w:rFonts w:ascii="Calibri" w:cs="Calibri"/>
          <w:lang w:val="en-GB"/>
        </w:rPr>
        <w:t xml:space="preserve">, E., Albert, M., Dieterich, M., </w:t>
      </w:r>
      <w:proofErr w:type="spellStart"/>
      <w:r w:rsidRPr="00E46BEB">
        <w:rPr>
          <w:rFonts w:ascii="Calibri" w:cs="Calibri"/>
          <w:lang w:val="en-GB"/>
        </w:rPr>
        <w:t>Haselgrove</w:t>
      </w:r>
      <w:proofErr w:type="spellEnd"/>
      <w:r w:rsidRPr="00E46BEB">
        <w:rPr>
          <w:rFonts w:ascii="Calibri" w:cs="Calibri"/>
          <w:lang w:val="en-GB"/>
        </w:rPr>
        <w:t xml:space="preserve">, C., van der </w:t>
      </w:r>
      <w:proofErr w:type="spellStart"/>
      <w:r w:rsidRPr="00E46BEB">
        <w:rPr>
          <w:rFonts w:ascii="Calibri" w:cs="Calibri"/>
          <w:lang w:val="en-GB"/>
        </w:rPr>
        <w:t>Kouwe</w:t>
      </w:r>
      <w:proofErr w:type="spellEnd"/>
      <w:r w:rsidRPr="00E46BEB">
        <w:rPr>
          <w:rFonts w:ascii="Calibri" w:cs="Calibri"/>
          <w:lang w:val="en-GB"/>
        </w:rPr>
        <w:t xml:space="preserve">, A., </w:t>
      </w:r>
      <w:proofErr w:type="spellStart"/>
      <w:r w:rsidRPr="00E46BEB">
        <w:rPr>
          <w:rFonts w:ascii="Calibri" w:cs="Calibri"/>
          <w:lang w:val="en-GB"/>
        </w:rPr>
        <w:t>Killiany</w:t>
      </w:r>
      <w:proofErr w:type="spellEnd"/>
      <w:r w:rsidRPr="00E46BEB">
        <w:rPr>
          <w:rFonts w:ascii="Calibri" w:cs="Calibri"/>
          <w:lang w:val="en-GB"/>
        </w:rPr>
        <w:t xml:space="preserve">, R., Kennedy, D., </w:t>
      </w:r>
      <w:proofErr w:type="spellStart"/>
      <w:r w:rsidRPr="00E46BEB">
        <w:rPr>
          <w:rFonts w:ascii="Calibri" w:cs="Calibri"/>
          <w:lang w:val="en-GB"/>
        </w:rPr>
        <w:t>Klaveness</w:t>
      </w:r>
      <w:proofErr w:type="spellEnd"/>
      <w:r w:rsidRPr="00E46BEB">
        <w:rPr>
          <w:rFonts w:ascii="Calibri" w:cs="Calibri"/>
          <w:lang w:val="en-GB"/>
        </w:rPr>
        <w:t xml:space="preserve">, S., </w:t>
      </w:r>
      <w:proofErr w:type="spellStart"/>
      <w:r w:rsidRPr="00E46BEB">
        <w:rPr>
          <w:rFonts w:ascii="Calibri" w:cs="Calibri"/>
          <w:lang w:val="en-GB"/>
        </w:rPr>
        <w:t>Montillo</w:t>
      </w:r>
      <w:proofErr w:type="spellEnd"/>
      <w:r w:rsidRPr="00E46BEB">
        <w:rPr>
          <w:rFonts w:ascii="Calibri" w:cs="Calibri"/>
          <w:lang w:val="en-GB"/>
        </w:rPr>
        <w:t xml:space="preserve">, A., Makris, N., Rosen, B., &amp; Dale, A. M. (2002). Whole brain segmentation: Automated </w:t>
      </w:r>
      <w:proofErr w:type="spellStart"/>
      <w:r w:rsidRPr="00E46BEB">
        <w:rPr>
          <w:rFonts w:ascii="Calibri" w:cs="Calibri"/>
          <w:lang w:val="en-GB"/>
        </w:rPr>
        <w:t>labeling</w:t>
      </w:r>
      <w:proofErr w:type="spellEnd"/>
      <w:r w:rsidRPr="00E46BEB">
        <w:rPr>
          <w:rFonts w:ascii="Calibri" w:cs="Calibri"/>
          <w:lang w:val="en-GB"/>
        </w:rPr>
        <w:t xml:space="preserve"> of neuroanatomical structures in the human brain. </w:t>
      </w:r>
      <w:r w:rsidRPr="00E46BEB">
        <w:rPr>
          <w:rFonts w:ascii="Calibri" w:cs="Calibri"/>
          <w:i/>
          <w:iCs/>
          <w:lang w:val="de-DE"/>
        </w:rPr>
        <w:t>Neuron</w:t>
      </w:r>
      <w:r w:rsidRPr="00E46BEB">
        <w:rPr>
          <w:rFonts w:ascii="Calibri" w:cs="Calibri"/>
          <w:lang w:val="de-DE"/>
        </w:rPr>
        <w:t xml:space="preserve">, </w:t>
      </w:r>
      <w:r w:rsidRPr="00E46BEB">
        <w:rPr>
          <w:rFonts w:ascii="Calibri" w:cs="Calibri"/>
          <w:i/>
          <w:iCs/>
          <w:lang w:val="de-DE"/>
        </w:rPr>
        <w:t>33</w:t>
      </w:r>
      <w:r w:rsidRPr="00E46BEB">
        <w:rPr>
          <w:rFonts w:ascii="Calibri" w:cs="Calibri"/>
          <w:lang w:val="de-DE"/>
        </w:rPr>
        <w:t>(3), 341–355.</w:t>
      </w:r>
    </w:p>
    <w:p w14:paraId="53D3F8D5" w14:textId="77777777" w:rsidR="00E46BEB" w:rsidRPr="00E46BEB" w:rsidRDefault="00E46BEB" w:rsidP="00E46BEB">
      <w:pPr>
        <w:pStyle w:val="Bibliography"/>
        <w:spacing w:before="120" w:line="360" w:lineRule="auto"/>
        <w:rPr>
          <w:rFonts w:ascii="Calibri" w:cs="Calibri"/>
          <w:lang w:val="en-GB"/>
        </w:rPr>
      </w:pPr>
      <w:proofErr w:type="spellStart"/>
      <w:r w:rsidRPr="00E46BEB">
        <w:rPr>
          <w:rFonts w:ascii="Calibri" w:cs="Calibri"/>
          <w:lang w:val="de-DE"/>
        </w:rPr>
        <w:t>Folstein</w:t>
      </w:r>
      <w:proofErr w:type="spellEnd"/>
      <w:r w:rsidRPr="00E46BEB">
        <w:rPr>
          <w:rFonts w:ascii="Calibri" w:cs="Calibri"/>
          <w:lang w:val="de-DE"/>
        </w:rPr>
        <w:t xml:space="preserve">, M. F., </w:t>
      </w:r>
      <w:proofErr w:type="spellStart"/>
      <w:r w:rsidRPr="00E46BEB">
        <w:rPr>
          <w:rFonts w:ascii="Calibri" w:cs="Calibri"/>
          <w:lang w:val="de-DE"/>
        </w:rPr>
        <w:t>Folstein</w:t>
      </w:r>
      <w:proofErr w:type="spellEnd"/>
      <w:r w:rsidRPr="00E46BEB">
        <w:rPr>
          <w:rFonts w:ascii="Calibri" w:cs="Calibri"/>
          <w:lang w:val="de-DE"/>
        </w:rPr>
        <w:t xml:space="preserve">, S. E., &amp; </w:t>
      </w:r>
      <w:proofErr w:type="spellStart"/>
      <w:r w:rsidRPr="00E46BEB">
        <w:rPr>
          <w:rFonts w:ascii="Calibri" w:cs="Calibri"/>
          <w:lang w:val="de-DE"/>
        </w:rPr>
        <w:t>McHugh</w:t>
      </w:r>
      <w:proofErr w:type="spellEnd"/>
      <w:r w:rsidRPr="00E46BEB">
        <w:rPr>
          <w:rFonts w:ascii="Calibri" w:cs="Calibri"/>
          <w:lang w:val="de-DE"/>
        </w:rPr>
        <w:t xml:space="preserve">, P. R. (1975). </w:t>
      </w:r>
      <w:r w:rsidRPr="00E46BEB">
        <w:rPr>
          <w:rFonts w:ascii="Calibri" w:cs="Calibri"/>
          <w:lang w:val="en-GB"/>
        </w:rPr>
        <w:t xml:space="preserve">“Mini-mental state”. A practical method for grading the cognitive state of patients for the clinician. </w:t>
      </w:r>
      <w:r w:rsidRPr="00E46BEB">
        <w:rPr>
          <w:rFonts w:ascii="Calibri" w:cs="Calibri"/>
          <w:i/>
          <w:iCs/>
          <w:lang w:val="en-GB"/>
        </w:rPr>
        <w:t>Journal of Psychiatric Research</w:t>
      </w:r>
      <w:r w:rsidRPr="00E46BEB">
        <w:rPr>
          <w:rFonts w:ascii="Calibri" w:cs="Calibri"/>
          <w:lang w:val="en-GB"/>
        </w:rPr>
        <w:t xml:space="preserve">, </w:t>
      </w:r>
      <w:r w:rsidRPr="00E46BEB">
        <w:rPr>
          <w:rFonts w:ascii="Calibri" w:cs="Calibri"/>
          <w:i/>
          <w:iCs/>
          <w:lang w:val="en-GB"/>
        </w:rPr>
        <w:t>12</w:t>
      </w:r>
      <w:r w:rsidRPr="00E46BEB">
        <w:rPr>
          <w:rFonts w:ascii="Calibri" w:cs="Calibri"/>
          <w:lang w:val="en-GB"/>
        </w:rPr>
        <w:t>(3), 189–198. https://doi.org/10.1016/0022-3956(75)90026-6</w:t>
      </w:r>
    </w:p>
    <w:p w14:paraId="05FDDE59" w14:textId="77777777" w:rsidR="00E46BEB" w:rsidRPr="00E46BEB" w:rsidRDefault="00E46BEB" w:rsidP="00E46BEB">
      <w:pPr>
        <w:pStyle w:val="Bibliography"/>
        <w:spacing w:before="120" w:line="360" w:lineRule="auto"/>
        <w:rPr>
          <w:rFonts w:ascii="Calibri" w:cs="Calibri"/>
          <w:lang w:val="de-DE"/>
        </w:rPr>
      </w:pPr>
      <w:proofErr w:type="spellStart"/>
      <w:r w:rsidRPr="00E46BEB">
        <w:rPr>
          <w:rFonts w:ascii="Calibri" w:cs="Calibri"/>
          <w:lang w:val="en-GB"/>
        </w:rPr>
        <w:t>Härting</w:t>
      </w:r>
      <w:proofErr w:type="spellEnd"/>
      <w:r w:rsidRPr="00E46BEB">
        <w:rPr>
          <w:rFonts w:ascii="Calibri" w:cs="Calibri"/>
          <w:lang w:val="en-GB"/>
        </w:rPr>
        <w:t xml:space="preserve">, C., &amp; Wechsler, D. (2000). </w:t>
      </w:r>
      <w:r w:rsidRPr="00E46BEB">
        <w:rPr>
          <w:rFonts w:ascii="Calibri" w:cs="Calibri"/>
          <w:i/>
          <w:iCs/>
          <w:lang w:val="de-DE"/>
        </w:rPr>
        <w:t>Wechsler-Gedächtnistest—Revidierte Fassung WMS-</w:t>
      </w:r>
      <w:proofErr w:type="gramStart"/>
      <w:r w:rsidRPr="00E46BEB">
        <w:rPr>
          <w:rFonts w:ascii="Calibri" w:cs="Calibri"/>
          <w:i/>
          <w:iCs/>
          <w:lang w:val="de-DE"/>
        </w:rPr>
        <w:t>R ;</w:t>
      </w:r>
      <w:proofErr w:type="gramEnd"/>
      <w:r w:rsidRPr="00E46BEB">
        <w:rPr>
          <w:rFonts w:ascii="Calibri" w:cs="Calibri"/>
          <w:i/>
          <w:iCs/>
          <w:lang w:val="de-DE"/>
        </w:rPr>
        <w:t xml:space="preserve"> Manual ; deutsche Adaptation der revidierten Fassung der Wechsler Memory </w:t>
      </w:r>
      <w:proofErr w:type="spellStart"/>
      <w:r w:rsidRPr="00E46BEB">
        <w:rPr>
          <w:rFonts w:ascii="Calibri" w:cs="Calibri"/>
          <w:i/>
          <w:iCs/>
          <w:lang w:val="de-DE"/>
        </w:rPr>
        <w:t>scale</w:t>
      </w:r>
      <w:proofErr w:type="spellEnd"/>
      <w:r w:rsidRPr="00E46BEB">
        <w:rPr>
          <w:rFonts w:ascii="Calibri" w:cs="Calibri"/>
          <w:lang w:val="de-DE"/>
        </w:rPr>
        <w:t>.</w:t>
      </w:r>
    </w:p>
    <w:p w14:paraId="77479D13" w14:textId="77777777" w:rsidR="00E46BEB" w:rsidRPr="00E46BEB" w:rsidRDefault="00E46BEB" w:rsidP="00E46BEB">
      <w:pPr>
        <w:pStyle w:val="Bibliography"/>
        <w:spacing w:before="120" w:line="360" w:lineRule="auto"/>
        <w:rPr>
          <w:rFonts w:ascii="Calibri" w:cs="Calibri"/>
          <w:lang w:val="en-GB"/>
        </w:rPr>
      </w:pPr>
      <w:r w:rsidRPr="00E46BEB">
        <w:rPr>
          <w:rFonts w:ascii="Calibri" w:cs="Calibri"/>
          <w:lang w:val="de-DE"/>
        </w:rPr>
        <w:t xml:space="preserve">Jessen, F., </w:t>
      </w:r>
      <w:proofErr w:type="spellStart"/>
      <w:r w:rsidRPr="00E46BEB">
        <w:rPr>
          <w:rFonts w:ascii="Calibri" w:cs="Calibri"/>
          <w:lang w:val="de-DE"/>
        </w:rPr>
        <w:t>Spottke</w:t>
      </w:r>
      <w:proofErr w:type="spellEnd"/>
      <w:r w:rsidRPr="00E46BEB">
        <w:rPr>
          <w:rFonts w:ascii="Calibri" w:cs="Calibri"/>
          <w:lang w:val="de-DE"/>
        </w:rPr>
        <w:t xml:space="preserve">, A., </w:t>
      </w:r>
      <w:proofErr w:type="spellStart"/>
      <w:r w:rsidRPr="00E46BEB">
        <w:rPr>
          <w:rFonts w:ascii="Calibri" w:cs="Calibri"/>
          <w:lang w:val="de-DE"/>
        </w:rPr>
        <w:t>Boecker</w:t>
      </w:r>
      <w:proofErr w:type="spellEnd"/>
      <w:r w:rsidRPr="00E46BEB">
        <w:rPr>
          <w:rFonts w:ascii="Calibri" w:cs="Calibri"/>
          <w:lang w:val="de-DE"/>
        </w:rPr>
        <w:t xml:space="preserve">, H., </w:t>
      </w:r>
      <w:proofErr w:type="spellStart"/>
      <w:r w:rsidRPr="00E46BEB">
        <w:rPr>
          <w:rFonts w:ascii="Calibri" w:cs="Calibri"/>
          <w:lang w:val="de-DE"/>
        </w:rPr>
        <w:t>Brosseron</w:t>
      </w:r>
      <w:proofErr w:type="spellEnd"/>
      <w:r w:rsidRPr="00E46BEB">
        <w:rPr>
          <w:rFonts w:ascii="Calibri" w:cs="Calibri"/>
          <w:lang w:val="de-DE"/>
        </w:rPr>
        <w:t xml:space="preserve">, F., </w:t>
      </w:r>
      <w:proofErr w:type="spellStart"/>
      <w:r w:rsidRPr="00E46BEB">
        <w:rPr>
          <w:rFonts w:ascii="Calibri" w:cs="Calibri"/>
          <w:lang w:val="de-DE"/>
        </w:rPr>
        <w:t>Buerger</w:t>
      </w:r>
      <w:proofErr w:type="spellEnd"/>
      <w:r w:rsidRPr="00E46BEB">
        <w:rPr>
          <w:rFonts w:ascii="Calibri" w:cs="Calibri"/>
          <w:lang w:val="de-DE"/>
        </w:rPr>
        <w:t xml:space="preserve">, K., </w:t>
      </w:r>
      <w:proofErr w:type="spellStart"/>
      <w:r w:rsidRPr="00E46BEB">
        <w:rPr>
          <w:rFonts w:ascii="Calibri" w:cs="Calibri"/>
          <w:lang w:val="de-DE"/>
        </w:rPr>
        <w:t>Catak</w:t>
      </w:r>
      <w:proofErr w:type="spellEnd"/>
      <w:r w:rsidRPr="00E46BEB">
        <w:rPr>
          <w:rFonts w:ascii="Calibri" w:cs="Calibri"/>
          <w:lang w:val="de-DE"/>
        </w:rPr>
        <w:t xml:space="preserve">, C., </w:t>
      </w:r>
      <w:proofErr w:type="spellStart"/>
      <w:r w:rsidRPr="00E46BEB">
        <w:rPr>
          <w:rFonts w:ascii="Calibri" w:cs="Calibri"/>
          <w:lang w:val="de-DE"/>
        </w:rPr>
        <w:t>Fliessbach</w:t>
      </w:r>
      <w:proofErr w:type="spellEnd"/>
      <w:r w:rsidRPr="00E46BEB">
        <w:rPr>
          <w:rFonts w:ascii="Calibri" w:cs="Calibri"/>
          <w:lang w:val="de-DE"/>
        </w:rPr>
        <w:t xml:space="preserve">, K., Franke, C., Fuentes, M., </w:t>
      </w:r>
      <w:proofErr w:type="spellStart"/>
      <w:r w:rsidRPr="00E46BEB">
        <w:rPr>
          <w:rFonts w:ascii="Calibri" w:cs="Calibri"/>
          <w:lang w:val="de-DE"/>
        </w:rPr>
        <w:t>Heneka</w:t>
      </w:r>
      <w:proofErr w:type="spellEnd"/>
      <w:r w:rsidRPr="00E46BEB">
        <w:rPr>
          <w:rFonts w:ascii="Calibri" w:cs="Calibri"/>
          <w:lang w:val="de-DE"/>
        </w:rPr>
        <w:t xml:space="preserve">, M. T., Janowitz, D., </w:t>
      </w:r>
      <w:proofErr w:type="spellStart"/>
      <w:r w:rsidRPr="00E46BEB">
        <w:rPr>
          <w:rFonts w:ascii="Calibri" w:cs="Calibri"/>
          <w:lang w:val="de-DE"/>
        </w:rPr>
        <w:t>Kilimann</w:t>
      </w:r>
      <w:proofErr w:type="spellEnd"/>
      <w:r w:rsidRPr="00E46BEB">
        <w:rPr>
          <w:rFonts w:ascii="Calibri" w:cs="Calibri"/>
          <w:lang w:val="de-DE"/>
        </w:rPr>
        <w:t xml:space="preserve">, I., </w:t>
      </w:r>
      <w:proofErr w:type="spellStart"/>
      <w:r w:rsidRPr="00E46BEB">
        <w:rPr>
          <w:rFonts w:ascii="Calibri" w:cs="Calibri"/>
          <w:lang w:val="de-DE"/>
        </w:rPr>
        <w:t>Laske</w:t>
      </w:r>
      <w:proofErr w:type="spellEnd"/>
      <w:r w:rsidRPr="00E46BEB">
        <w:rPr>
          <w:rFonts w:ascii="Calibri" w:cs="Calibri"/>
          <w:lang w:val="de-DE"/>
        </w:rPr>
        <w:t xml:space="preserve">, C., </w:t>
      </w:r>
      <w:proofErr w:type="spellStart"/>
      <w:r w:rsidRPr="00E46BEB">
        <w:rPr>
          <w:rFonts w:ascii="Calibri" w:cs="Calibri"/>
          <w:lang w:val="de-DE"/>
        </w:rPr>
        <w:t>Menne</w:t>
      </w:r>
      <w:proofErr w:type="spellEnd"/>
      <w:r w:rsidRPr="00E46BEB">
        <w:rPr>
          <w:rFonts w:ascii="Calibri" w:cs="Calibri"/>
          <w:lang w:val="de-DE"/>
        </w:rPr>
        <w:t xml:space="preserve">, F., Nestor, P., Peters, O., </w:t>
      </w:r>
      <w:proofErr w:type="spellStart"/>
      <w:r w:rsidRPr="00E46BEB">
        <w:rPr>
          <w:rFonts w:ascii="Calibri" w:cs="Calibri"/>
          <w:lang w:val="de-DE"/>
        </w:rPr>
        <w:t>Priller</w:t>
      </w:r>
      <w:proofErr w:type="spellEnd"/>
      <w:r w:rsidRPr="00E46BEB">
        <w:rPr>
          <w:rFonts w:ascii="Calibri" w:cs="Calibri"/>
          <w:lang w:val="de-DE"/>
        </w:rPr>
        <w:t xml:space="preserve">, J., Pross, V., Ramirez, A., … </w:t>
      </w:r>
      <w:proofErr w:type="spellStart"/>
      <w:r w:rsidRPr="00E46BEB">
        <w:rPr>
          <w:rFonts w:ascii="Calibri" w:cs="Calibri"/>
          <w:lang w:val="en-GB"/>
        </w:rPr>
        <w:t>Düzel</w:t>
      </w:r>
      <w:proofErr w:type="spellEnd"/>
      <w:r w:rsidRPr="00E46BEB">
        <w:rPr>
          <w:rFonts w:ascii="Calibri" w:cs="Calibri"/>
          <w:lang w:val="en-GB"/>
        </w:rPr>
        <w:t xml:space="preserve">, E. (2018). Design and first baseline data of the DZNE </w:t>
      </w:r>
      <w:proofErr w:type="spellStart"/>
      <w:r w:rsidRPr="00E46BEB">
        <w:rPr>
          <w:rFonts w:ascii="Calibri" w:cs="Calibri"/>
          <w:lang w:val="en-GB"/>
        </w:rPr>
        <w:t>multicenter</w:t>
      </w:r>
      <w:proofErr w:type="spellEnd"/>
      <w:r w:rsidRPr="00E46BEB">
        <w:rPr>
          <w:rFonts w:ascii="Calibri" w:cs="Calibri"/>
          <w:lang w:val="en-GB"/>
        </w:rPr>
        <w:t xml:space="preserve"> observational study on predementia Alzheimer’s disease (DELCODE). </w:t>
      </w:r>
      <w:r w:rsidRPr="00E46BEB">
        <w:rPr>
          <w:rFonts w:ascii="Calibri" w:cs="Calibri"/>
          <w:i/>
          <w:iCs/>
          <w:lang w:val="en-GB"/>
        </w:rPr>
        <w:t>Alzheimer’s Research &amp; Therapy</w:t>
      </w:r>
      <w:r w:rsidRPr="00E46BEB">
        <w:rPr>
          <w:rFonts w:ascii="Calibri" w:cs="Calibri"/>
          <w:lang w:val="en-GB"/>
        </w:rPr>
        <w:t xml:space="preserve">, </w:t>
      </w:r>
      <w:r w:rsidRPr="00E46BEB">
        <w:rPr>
          <w:rFonts w:ascii="Calibri" w:cs="Calibri"/>
          <w:i/>
          <w:iCs/>
          <w:lang w:val="en-GB"/>
        </w:rPr>
        <w:t>10</w:t>
      </w:r>
      <w:r w:rsidRPr="00E46BEB">
        <w:rPr>
          <w:rFonts w:ascii="Calibri" w:cs="Calibri"/>
          <w:lang w:val="en-GB"/>
        </w:rPr>
        <w:t>(1), 15. https://doi.org/10.1186/s13195-017-0314-2</w:t>
      </w:r>
    </w:p>
    <w:p w14:paraId="1161CA35" w14:textId="77777777" w:rsidR="00E46BEB" w:rsidRPr="00E46BEB" w:rsidRDefault="00E46BEB" w:rsidP="00E46BEB">
      <w:pPr>
        <w:pStyle w:val="Bibliography"/>
        <w:spacing w:before="120" w:line="360" w:lineRule="auto"/>
        <w:rPr>
          <w:rFonts w:ascii="Calibri" w:cs="Calibri"/>
          <w:lang w:val="en-GB"/>
        </w:rPr>
      </w:pPr>
      <w:r w:rsidRPr="00E46BEB">
        <w:rPr>
          <w:rFonts w:ascii="Calibri" w:cs="Calibri"/>
          <w:lang w:val="en-GB"/>
        </w:rPr>
        <w:t xml:space="preserve">Miyake, A., Friedman, N. P., Emerson, M. J., </w:t>
      </w:r>
      <w:proofErr w:type="spellStart"/>
      <w:r w:rsidRPr="00E46BEB">
        <w:rPr>
          <w:rFonts w:ascii="Calibri" w:cs="Calibri"/>
          <w:lang w:val="en-GB"/>
        </w:rPr>
        <w:t>Witzki</w:t>
      </w:r>
      <w:proofErr w:type="spellEnd"/>
      <w:r w:rsidRPr="00E46BEB">
        <w:rPr>
          <w:rFonts w:ascii="Calibri" w:cs="Calibri"/>
          <w:lang w:val="en-GB"/>
        </w:rPr>
        <w:t xml:space="preserve">, A. H., </w:t>
      </w:r>
      <w:proofErr w:type="spellStart"/>
      <w:r w:rsidRPr="00E46BEB">
        <w:rPr>
          <w:rFonts w:ascii="Calibri" w:cs="Calibri"/>
          <w:lang w:val="en-GB"/>
        </w:rPr>
        <w:t>Howerter</w:t>
      </w:r>
      <w:proofErr w:type="spellEnd"/>
      <w:r w:rsidRPr="00E46BEB">
        <w:rPr>
          <w:rFonts w:ascii="Calibri" w:cs="Calibri"/>
          <w:lang w:val="en-GB"/>
        </w:rPr>
        <w:t xml:space="preserve">, A., &amp; Wager, T. D. (2000). The unity and diversity of executive functions and their contributions to complex “Frontal Lobe” tasks: A latent variable analysis. </w:t>
      </w:r>
      <w:r w:rsidRPr="00E46BEB">
        <w:rPr>
          <w:rFonts w:ascii="Calibri" w:cs="Calibri"/>
          <w:i/>
          <w:iCs/>
          <w:lang w:val="en-GB"/>
        </w:rPr>
        <w:t>Cognitive Psychology</w:t>
      </w:r>
      <w:r w:rsidRPr="00E46BEB">
        <w:rPr>
          <w:rFonts w:ascii="Calibri" w:cs="Calibri"/>
          <w:lang w:val="en-GB"/>
        </w:rPr>
        <w:t xml:space="preserve">, </w:t>
      </w:r>
      <w:r w:rsidRPr="00E46BEB">
        <w:rPr>
          <w:rFonts w:ascii="Calibri" w:cs="Calibri"/>
          <w:i/>
          <w:iCs/>
          <w:lang w:val="en-GB"/>
        </w:rPr>
        <w:t>41</w:t>
      </w:r>
      <w:r w:rsidRPr="00E46BEB">
        <w:rPr>
          <w:rFonts w:ascii="Calibri" w:cs="Calibri"/>
          <w:lang w:val="en-GB"/>
        </w:rPr>
        <w:t>(1), 49–100. https://doi.org/10.1006/cogp.1999.0734</w:t>
      </w:r>
    </w:p>
    <w:p w14:paraId="6F9700BC" w14:textId="77777777" w:rsidR="00E46BEB" w:rsidRPr="00E46BEB" w:rsidRDefault="00E46BEB" w:rsidP="00E46BEB">
      <w:pPr>
        <w:pStyle w:val="Bibliography"/>
        <w:spacing w:before="120" w:line="360" w:lineRule="auto"/>
        <w:rPr>
          <w:rFonts w:ascii="Calibri" w:cs="Calibri"/>
          <w:lang w:val="en-GB"/>
        </w:rPr>
      </w:pPr>
      <w:proofErr w:type="spellStart"/>
      <w:r w:rsidRPr="00E46BEB">
        <w:rPr>
          <w:rFonts w:ascii="Calibri" w:cs="Calibri"/>
          <w:lang w:val="en-GB"/>
        </w:rPr>
        <w:t>Montembeault</w:t>
      </w:r>
      <w:proofErr w:type="spellEnd"/>
      <w:r w:rsidRPr="00E46BEB">
        <w:rPr>
          <w:rFonts w:ascii="Calibri" w:cs="Calibri"/>
          <w:lang w:val="en-GB"/>
        </w:rPr>
        <w:t xml:space="preserve">, M., </w:t>
      </w:r>
      <w:proofErr w:type="spellStart"/>
      <w:r w:rsidRPr="00E46BEB">
        <w:rPr>
          <w:rFonts w:ascii="Calibri" w:cs="Calibri"/>
          <w:lang w:val="en-GB"/>
        </w:rPr>
        <w:t>Sayah</w:t>
      </w:r>
      <w:proofErr w:type="spellEnd"/>
      <w:r w:rsidRPr="00E46BEB">
        <w:rPr>
          <w:rFonts w:ascii="Calibri" w:cs="Calibri"/>
          <w:lang w:val="en-GB"/>
        </w:rPr>
        <w:t xml:space="preserve">, S., Rinaldi, D., Le </w:t>
      </w:r>
      <w:proofErr w:type="spellStart"/>
      <w:r w:rsidRPr="00E46BEB">
        <w:rPr>
          <w:rFonts w:ascii="Calibri" w:cs="Calibri"/>
          <w:lang w:val="en-GB"/>
        </w:rPr>
        <w:t>Toullec</w:t>
      </w:r>
      <w:proofErr w:type="spellEnd"/>
      <w:r w:rsidRPr="00E46BEB">
        <w:rPr>
          <w:rFonts w:ascii="Calibri" w:cs="Calibri"/>
          <w:lang w:val="en-GB"/>
        </w:rPr>
        <w:t xml:space="preserve">, B., Bertrand, A., </w:t>
      </w:r>
      <w:proofErr w:type="spellStart"/>
      <w:r w:rsidRPr="00E46BEB">
        <w:rPr>
          <w:rFonts w:ascii="Calibri" w:cs="Calibri"/>
          <w:lang w:val="en-GB"/>
        </w:rPr>
        <w:t>Funkiewiez</w:t>
      </w:r>
      <w:proofErr w:type="spellEnd"/>
      <w:r w:rsidRPr="00E46BEB">
        <w:rPr>
          <w:rFonts w:ascii="Calibri" w:cs="Calibri"/>
          <w:lang w:val="en-GB"/>
        </w:rPr>
        <w:t xml:space="preserve">, A., </w:t>
      </w:r>
      <w:proofErr w:type="spellStart"/>
      <w:r w:rsidRPr="00E46BEB">
        <w:rPr>
          <w:rFonts w:ascii="Calibri" w:cs="Calibri"/>
          <w:lang w:val="en-GB"/>
        </w:rPr>
        <w:t>Saracino</w:t>
      </w:r>
      <w:proofErr w:type="spellEnd"/>
      <w:r w:rsidRPr="00E46BEB">
        <w:rPr>
          <w:rFonts w:ascii="Calibri" w:cs="Calibri"/>
          <w:lang w:val="en-GB"/>
        </w:rPr>
        <w:t xml:space="preserve">, D., </w:t>
      </w:r>
      <w:proofErr w:type="spellStart"/>
      <w:r w:rsidRPr="00E46BEB">
        <w:rPr>
          <w:rFonts w:ascii="Calibri" w:cs="Calibri"/>
          <w:lang w:val="en-GB"/>
        </w:rPr>
        <w:t>Camuzat</w:t>
      </w:r>
      <w:proofErr w:type="spellEnd"/>
      <w:r w:rsidRPr="00E46BEB">
        <w:rPr>
          <w:rFonts w:ascii="Calibri" w:cs="Calibri"/>
          <w:lang w:val="en-GB"/>
        </w:rPr>
        <w:t xml:space="preserve">, A., </w:t>
      </w:r>
      <w:proofErr w:type="spellStart"/>
      <w:r w:rsidRPr="00E46BEB">
        <w:rPr>
          <w:rFonts w:ascii="Calibri" w:cs="Calibri"/>
          <w:lang w:val="en-GB"/>
        </w:rPr>
        <w:t>Couratier</w:t>
      </w:r>
      <w:proofErr w:type="spellEnd"/>
      <w:r w:rsidRPr="00E46BEB">
        <w:rPr>
          <w:rFonts w:ascii="Calibri" w:cs="Calibri"/>
          <w:lang w:val="en-GB"/>
        </w:rPr>
        <w:t xml:space="preserve">, P., </w:t>
      </w:r>
      <w:proofErr w:type="spellStart"/>
      <w:r w:rsidRPr="00E46BEB">
        <w:rPr>
          <w:rFonts w:ascii="Calibri" w:cs="Calibri"/>
          <w:lang w:val="en-GB"/>
        </w:rPr>
        <w:t>Chouly</w:t>
      </w:r>
      <w:proofErr w:type="spellEnd"/>
      <w:r w:rsidRPr="00E46BEB">
        <w:rPr>
          <w:rFonts w:ascii="Calibri" w:cs="Calibri"/>
          <w:lang w:val="en-GB"/>
        </w:rPr>
        <w:t xml:space="preserve">, M., </w:t>
      </w:r>
      <w:proofErr w:type="spellStart"/>
      <w:r w:rsidRPr="00E46BEB">
        <w:rPr>
          <w:rFonts w:ascii="Calibri" w:cs="Calibri"/>
          <w:lang w:val="en-GB"/>
        </w:rPr>
        <w:t>Hannequin</w:t>
      </w:r>
      <w:proofErr w:type="spellEnd"/>
      <w:r w:rsidRPr="00E46BEB">
        <w:rPr>
          <w:rFonts w:ascii="Calibri" w:cs="Calibri"/>
          <w:lang w:val="en-GB"/>
        </w:rPr>
        <w:t xml:space="preserve">, D., </w:t>
      </w:r>
      <w:proofErr w:type="spellStart"/>
      <w:r w:rsidRPr="00E46BEB">
        <w:rPr>
          <w:rFonts w:ascii="Calibri" w:cs="Calibri"/>
          <w:lang w:val="en-GB"/>
        </w:rPr>
        <w:t>Aubier</w:t>
      </w:r>
      <w:proofErr w:type="spellEnd"/>
      <w:r w:rsidRPr="00E46BEB">
        <w:rPr>
          <w:rFonts w:ascii="Calibri" w:cs="Calibri"/>
          <w:lang w:val="en-GB"/>
        </w:rPr>
        <w:t xml:space="preserve">-Girard, C., </w:t>
      </w:r>
      <w:proofErr w:type="spellStart"/>
      <w:r w:rsidRPr="00E46BEB">
        <w:rPr>
          <w:rFonts w:ascii="Calibri" w:cs="Calibri"/>
          <w:lang w:val="en-GB"/>
        </w:rPr>
        <w:t>Pasquier</w:t>
      </w:r>
      <w:proofErr w:type="spellEnd"/>
      <w:r w:rsidRPr="00E46BEB">
        <w:rPr>
          <w:rFonts w:ascii="Calibri" w:cs="Calibri"/>
          <w:lang w:val="en-GB"/>
        </w:rPr>
        <w:t xml:space="preserve">, F., </w:t>
      </w:r>
      <w:proofErr w:type="spellStart"/>
      <w:r w:rsidRPr="00E46BEB">
        <w:rPr>
          <w:rFonts w:ascii="Calibri" w:cs="Calibri"/>
          <w:lang w:val="en-GB"/>
        </w:rPr>
        <w:t>Delbeuck</w:t>
      </w:r>
      <w:proofErr w:type="spellEnd"/>
      <w:r w:rsidRPr="00E46BEB">
        <w:rPr>
          <w:rFonts w:ascii="Calibri" w:cs="Calibri"/>
          <w:lang w:val="en-GB"/>
        </w:rPr>
        <w:t xml:space="preserve">, X., </w:t>
      </w:r>
      <w:proofErr w:type="spellStart"/>
      <w:r w:rsidRPr="00E46BEB">
        <w:rPr>
          <w:rFonts w:ascii="Calibri" w:cs="Calibri"/>
          <w:lang w:val="en-GB"/>
        </w:rPr>
        <w:t>Colliot</w:t>
      </w:r>
      <w:proofErr w:type="spellEnd"/>
      <w:r w:rsidRPr="00E46BEB">
        <w:rPr>
          <w:rFonts w:ascii="Calibri" w:cs="Calibri"/>
          <w:lang w:val="en-GB"/>
        </w:rPr>
        <w:t xml:space="preserve">, O., </w:t>
      </w:r>
      <w:proofErr w:type="spellStart"/>
      <w:r w:rsidRPr="00E46BEB">
        <w:rPr>
          <w:rFonts w:ascii="Calibri" w:cs="Calibri"/>
          <w:lang w:val="en-GB"/>
        </w:rPr>
        <w:t>Batrancourt</w:t>
      </w:r>
      <w:proofErr w:type="spellEnd"/>
      <w:r w:rsidRPr="00E46BEB">
        <w:rPr>
          <w:rFonts w:ascii="Calibri" w:cs="Calibri"/>
          <w:lang w:val="en-GB"/>
        </w:rPr>
        <w:t xml:space="preserve">, B., </w:t>
      </w:r>
      <w:proofErr w:type="spellStart"/>
      <w:r w:rsidRPr="00E46BEB">
        <w:rPr>
          <w:rFonts w:ascii="Calibri" w:cs="Calibri"/>
          <w:lang w:val="en-GB"/>
        </w:rPr>
        <w:t>Azuar</w:t>
      </w:r>
      <w:proofErr w:type="spellEnd"/>
      <w:r w:rsidRPr="00E46BEB">
        <w:rPr>
          <w:rFonts w:ascii="Calibri" w:cs="Calibri"/>
          <w:lang w:val="en-GB"/>
        </w:rPr>
        <w:t xml:space="preserve">, C., Lévy, R., Dubois, B., … </w:t>
      </w:r>
      <w:proofErr w:type="spellStart"/>
      <w:r w:rsidRPr="00E46BEB">
        <w:rPr>
          <w:rFonts w:ascii="Calibri" w:cs="Calibri"/>
          <w:lang w:val="en-GB"/>
        </w:rPr>
        <w:t>PrevDemAls</w:t>
      </w:r>
      <w:proofErr w:type="spellEnd"/>
      <w:r w:rsidRPr="00E46BEB">
        <w:rPr>
          <w:rFonts w:ascii="Calibri" w:cs="Calibri"/>
          <w:lang w:val="en-GB"/>
        </w:rPr>
        <w:t xml:space="preserve"> study group. (2020). Cognitive inhibition impairments in </w:t>
      </w:r>
      <w:proofErr w:type="spellStart"/>
      <w:r w:rsidRPr="00E46BEB">
        <w:rPr>
          <w:rFonts w:ascii="Calibri" w:cs="Calibri"/>
          <w:lang w:val="en-GB"/>
        </w:rPr>
        <w:t>presymptomatic</w:t>
      </w:r>
      <w:proofErr w:type="spellEnd"/>
      <w:r w:rsidRPr="00E46BEB">
        <w:rPr>
          <w:rFonts w:ascii="Calibri" w:cs="Calibri"/>
          <w:lang w:val="en-GB"/>
        </w:rPr>
        <w:t xml:space="preserve"> C9orf72 carriers. </w:t>
      </w:r>
      <w:r w:rsidRPr="00E46BEB">
        <w:rPr>
          <w:rFonts w:ascii="Calibri" w:cs="Calibri"/>
          <w:i/>
          <w:iCs/>
          <w:lang w:val="en-GB"/>
        </w:rPr>
        <w:t>Journal of Neurology, Neurosurgery, and Psychiatry</w:t>
      </w:r>
      <w:r w:rsidRPr="00E46BEB">
        <w:rPr>
          <w:rFonts w:ascii="Calibri" w:cs="Calibri"/>
          <w:lang w:val="en-GB"/>
        </w:rPr>
        <w:t xml:space="preserve">, </w:t>
      </w:r>
      <w:r w:rsidRPr="00E46BEB">
        <w:rPr>
          <w:rFonts w:ascii="Calibri" w:cs="Calibri"/>
          <w:i/>
          <w:iCs/>
          <w:lang w:val="en-GB"/>
        </w:rPr>
        <w:t>91</w:t>
      </w:r>
      <w:r w:rsidRPr="00E46BEB">
        <w:rPr>
          <w:rFonts w:ascii="Calibri" w:cs="Calibri"/>
          <w:lang w:val="en-GB"/>
        </w:rPr>
        <w:t>(4), 366–372. https://doi.org/10.1136/jnnp-2019-322242</w:t>
      </w:r>
    </w:p>
    <w:p w14:paraId="0F040FF4" w14:textId="77777777" w:rsidR="00E46BEB" w:rsidRPr="00E46BEB" w:rsidRDefault="00E46BEB" w:rsidP="00E46BEB">
      <w:pPr>
        <w:pStyle w:val="Bibliography"/>
        <w:spacing w:before="120" w:line="360" w:lineRule="auto"/>
        <w:rPr>
          <w:rFonts w:ascii="Calibri" w:cs="Calibri"/>
          <w:lang w:val="en-GB"/>
        </w:rPr>
      </w:pPr>
      <w:r w:rsidRPr="00E46BEB">
        <w:rPr>
          <w:rFonts w:ascii="Calibri" w:cs="Calibri"/>
          <w:lang w:val="en-GB"/>
        </w:rPr>
        <w:lastRenderedPageBreak/>
        <w:t xml:space="preserve">Sheikh, J. I., &amp; </w:t>
      </w:r>
      <w:proofErr w:type="spellStart"/>
      <w:r w:rsidRPr="00E46BEB">
        <w:rPr>
          <w:rFonts w:ascii="Calibri" w:cs="Calibri"/>
          <w:lang w:val="en-GB"/>
        </w:rPr>
        <w:t>Yesavage</w:t>
      </w:r>
      <w:proofErr w:type="spellEnd"/>
      <w:r w:rsidRPr="00E46BEB">
        <w:rPr>
          <w:rFonts w:ascii="Calibri" w:cs="Calibri"/>
          <w:lang w:val="en-GB"/>
        </w:rPr>
        <w:t xml:space="preserve">, J. A. (1986). Geriatric Depression Scale (GDS): Recent evidence and development of a shorter version. </w:t>
      </w:r>
      <w:r w:rsidRPr="00E46BEB">
        <w:rPr>
          <w:rFonts w:ascii="Calibri" w:cs="Calibri"/>
          <w:i/>
          <w:iCs/>
          <w:lang w:val="en-GB"/>
        </w:rPr>
        <w:t>Clinical Gerontologist: The Journal of Aging and Mental Health</w:t>
      </w:r>
      <w:r w:rsidRPr="00E46BEB">
        <w:rPr>
          <w:rFonts w:ascii="Calibri" w:cs="Calibri"/>
          <w:lang w:val="en-GB"/>
        </w:rPr>
        <w:t xml:space="preserve">, </w:t>
      </w:r>
      <w:r w:rsidRPr="00E46BEB">
        <w:rPr>
          <w:rFonts w:ascii="Calibri" w:cs="Calibri"/>
          <w:i/>
          <w:iCs/>
          <w:lang w:val="en-GB"/>
        </w:rPr>
        <w:t>5</w:t>
      </w:r>
      <w:r w:rsidRPr="00E46BEB">
        <w:rPr>
          <w:rFonts w:ascii="Calibri" w:cs="Calibri"/>
          <w:lang w:val="en-GB"/>
        </w:rPr>
        <w:t>(1–2), 165–173. https://doi.org/10.1300/J018v05n01_09</w:t>
      </w:r>
    </w:p>
    <w:p w14:paraId="69C9AA84" w14:textId="08CDEBB7" w:rsidR="00E7614F" w:rsidRPr="009F46F1" w:rsidRDefault="00307138" w:rsidP="00E46BEB">
      <w:pPr>
        <w:spacing w:before="120" w:line="360" w:lineRule="auto"/>
        <w:jc w:val="both"/>
        <w:rPr>
          <w:lang w:val="de-DE"/>
        </w:rPr>
      </w:pPr>
      <w:r>
        <w:rPr>
          <w:lang w:val="de-DE"/>
        </w:rPr>
        <w:fldChar w:fldCharType="end"/>
      </w:r>
    </w:p>
    <w:sectPr w:rsidR="00E7614F" w:rsidRPr="009F46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9CF"/>
    <w:rsid w:val="000049B8"/>
    <w:rsid w:val="00020081"/>
    <w:rsid w:val="0004033C"/>
    <w:rsid w:val="000443E9"/>
    <w:rsid w:val="00053104"/>
    <w:rsid w:val="000549CF"/>
    <w:rsid w:val="000756F3"/>
    <w:rsid w:val="00080BE0"/>
    <w:rsid w:val="00085365"/>
    <w:rsid w:val="000C1438"/>
    <w:rsid w:val="000D721C"/>
    <w:rsid w:val="000F0F89"/>
    <w:rsid w:val="001519AE"/>
    <w:rsid w:val="001A06F7"/>
    <w:rsid w:val="001B0181"/>
    <w:rsid w:val="001D1E6E"/>
    <w:rsid w:val="001E6F45"/>
    <w:rsid w:val="00223F22"/>
    <w:rsid w:val="00236C0F"/>
    <w:rsid w:val="00283C0F"/>
    <w:rsid w:val="002B10DD"/>
    <w:rsid w:val="002D0239"/>
    <w:rsid w:val="002D46BF"/>
    <w:rsid w:val="00305C5F"/>
    <w:rsid w:val="00307138"/>
    <w:rsid w:val="00350E6A"/>
    <w:rsid w:val="00356832"/>
    <w:rsid w:val="003C6758"/>
    <w:rsid w:val="003D7023"/>
    <w:rsid w:val="003F3E9B"/>
    <w:rsid w:val="00403875"/>
    <w:rsid w:val="0044208C"/>
    <w:rsid w:val="0044669D"/>
    <w:rsid w:val="0045661F"/>
    <w:rsid w:val="004617C9"/>
    <w:rsid w:val="0049600A"/>
    <w:rsid w:val="004B4ABF"/>
    <w:rsid w:val="004E6379"/>
    <w:rsid w:val="005124F2"/>
    <w:rsid w:val="00541586"/>
    <w:rsid w:val="00542D94"/>
    <w:rsid w:val="005579A6"/>
    <w:rsid w:val="00593A03"/>
    <w:rsid w:val="005A2064"/>
    <w:rsid w:val="005B7045"/>
    <w:rsid w:val="005F59AC"/>
    <w:rsid w:val="006073D4"/>
    <w:rsid w:val="006366ED"/>
    <w:rsid w:val="00665733"/>
    <w:rsid w:val="006939A6"/>
    <w:rsid w:val="006B2D12"/>
    <w:rsid w:val="006D344E"/>
    <w:rsid w:val="006F092E"/>
    <w:rsid w:val="006F7C6E"/>
    <w:rsid w:val="007209A2"/>
    <w:rsid w:val="00725CA3"/>
    <w:rsid w:val="00740C86"/>
    <w:rsid w:val="007518B9"/>
    <w:rsid w:val="0075618B"/>
    <w:rsid w:val="00784D3A"/>
    <w:rsid w:val="00877FA0"/>
    <w:rsid w:val="00893164"/>
    <w:rsid w:val="008E7D55"/>
    <w:rsid w:val="008F0946"/>
    <w:rsid w:val="008F1E1B"/>
    <w:rsid w:val="008F1E26"/>
    <w:rsid w:val="008F7DD5"/>
    <w:rsid w:val="00907A29"/>
    <w:rsid w:val="0092284E"/>
    <w:rsid w:val="00950400"/>
    <w:rsid w:val="0097383E"/>
    <w:rsid w:val="009A0319"/>
    <w:rsid w:val="009C44CC"/>
    <w:rsid w:val="009D3CA8"/>
    <w:rsid w:val="009F46F1"/>
    <w:rsid w:val="00A541E8"/>
    <w:rsid w:val="00AF5212"/>
    <w:rsid w:val="00B1273B"/>
    <w:rsid w:val="00B17EF5"/>
    <w:rsid w:val="00B47164"/>
    <w:rsid w:val="00B55DD0"/>
    <w:rsid w:val="00B821A7"/>
    <w:rsid w:val="00BD3065"/>
    <w:rsid w:val="00BE0F0C"/>
    <w:rsid w:val="00C11E1A"/>
    <w:rsid w:val="00C251E8"/>
    <w:rsid w:val="00C37819"/>
    <w:rsid w:val="00C430C3"/>
    <w:rsid w:val="00C94888"/>
    <w:rsid w:val="00CF1529"/>
    <w:rsid w:val="00D302E0"/>
    <w:rsid w:val="00D9428F"/>
    <w:rsid w:val="00DC3459"/>
    <w:rsid w:val="00DF362B"/>
    <w:rsid w:val="00E2652E"/>
    <w:rsid w:val="00E33D59"/>
    <w:rsid w:val="00E46BEB"/>
    <w:rsid w:val="00E64FE7"/>
    <w:rsid w:val="00E7614F"/>
    <w:rsid w:val="00EC2831"/>
    <w:rsid w:val="00EE40DB"/>
    <w:rsid w:val="00EF7144"/>
    <w:rsid w:val="00F07168"/>
    <w:rsid w:val="00F13323"/>
    <w:rsid w:val="00F62507"/>
    <w:rsid w:val="00F80CC4"/>
    <w:rsid w:val="00F8657E"/>
    <w:rsid w:val="00F90557"/>
    <w:rsid w:val="00FA229A"/>
    <w:rsid w:val="00FA2592"/>
    <w:rsid w:val="00FD7B1C"/>
    <w:rsid w:val="00FE5C2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DBCA0"/>
  <w15:chartTrackingRefBased/>
  <w15:docId w15:val="{D089661B-3442-A74A-A9FF-6D3D5870E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549CF"/>
    <w:rPr>
      <w:sz w:val="16"/>
      <w:szCs w:val="16"/>
    </w:rPr>
  </w:style>
  <w:style w:type="paragraph" w:styleId="CommentText">
    <w:name w:val="annotation text"/>
    <w:basedOn w:val="Normal"/>
    <w:link w:val="CommentTextChar"/>
    <w:uiPriority w:val="99"/>
    <w:unhideWhenUsed/>
    <w:rsid w:val="000549CF"/>
    <w:rPr>
      <w:rFonts w:ascii="Times New Roman" w:eastAsia="Times New Roman" w:hAnsi="Times New Roman" w:cs="Times New Roman"/>
      <w:sz w:val="20"/>
      <w:szCs w:val="20"/>
      <w:lang w:val="de-DE" w:eastAsia="en-GB"/>
    </w:rPr>
  </w:style>
  <w:style w:type="character" w:customStyle="1" w:styleId="CommentTextChar">
    <w:name w:val="Comment Text Char"/>
    <w:basedOn w:val="DefaultParagraphFont"/>
    <w:link w:val="CommentText"/>
    <w:uiPriority w:val="99"/>
    <w:rsid w:val="000549CF"/>
    <w:rPr>
      <w:rFonts w:ascii="Times New Roman" w:eastAsia="Times New Roman" w:hAnsi="Times New Roman" w:cs="Times New Roman"/>
      <w:sz w:val="20"/>
      <w:szCs w:val="20"/>
      <w:lang w:val="de-DE" w:eastAsia="en-GB"/>
    </w:rPr>
  </w:style>
  <w:style w:type="table" w:styleId="PlainTable2">
    <w:name w:val="Plain Table 2"/>
    <w:basedOn w:val="TableNormal"/>
    <w:uiPriority w:val="42"/>
    <w:rsid w:val="00F8657E"/>
    <w:rPr>
      <w:lang w:val="de-D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E7614F"/>
    <w:pPr>
      <w:suppressAutoHyphens/>
    </w:pPr>
    <w:rPr>
      <w:sz w:val="20"/>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307138"/>
    <w:pPr>
      <w:spacing w:line="480" w:lineRule="auto"/>
      <w:ind w:left="720" w:hanging="720"/>
    </w:pPr>
  </w:style>
  <w:style w:type="paragraph" w:styleId="CommentSubject">
    <w:name w:val="annotation subject"/>
    <w:basedOn w:val="CommentText"/>
    <w:next w:val="CommentText"/>
    <w:link w:val="CommentSubjectChar"/>
    <w:uiPriority w:val="99"/>
    <w:semiHidden/>
    <w:unhideWhenUsed/>
    <w:rsid w:val="005F59AC"/>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5F59AC"/>
    <w:rPr>
      <w:rFonts w:ascii="Times New Roman" w:eastAsia="Times New Roman" w:hAnsi="Times New Roman" w:cs="Times New Roman"/>
      <w:b/>
      <w:bCs/>
      <w:sz w:val="20"/>
      <w:szCs w:val="20"/>
      <w:lang w:val="de-DE" w:eastAsia="en-GB"/>
    </w:rPr>
  </w:style>
  <w:style w:type="paragraph" w:styleId="Revision">
    <w:name w:val="Revision"/>
    <w:hidden/>
    <w:uiPriority w:val="99"/>
    <w:semiHidden/>
    <w:rsid w:val="003F3E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6830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265C3-8FE0-49CD-8938-ED31CD479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8617</Words>
  <Characters>49119</Characters>
  <Application>Microsoft Office Word</Application>
  <DocSecurity>0</DocSecurity>
  <Lines>409</Lines>
  <Paragraphs>115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2023-08-24T18:50:00Z</dcterms:created>
  <dcterms:modified xsi:type="dcterms:W3CDTF">2023-08-24T18:50:00Z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zotero-version="6.0.23"&gt;&lt;session id="OUkU3ad3"/&gt;&lt;style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