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D88AB" w14:textId="77777777" w:rsidR="002C0DB5" w:rsidRDefault="002C0DB5" w:rsidP="00DA45B3">
      <w:r>
        <w:t xml:space="preserve">Supplementary table S1: Performance of </w:t>
      </w:r>
      <w:r>
        <w:rPr>
          <w:i/>
        </w:rPr>
        <w:t>Pf</w:t>
      </w:r>
      <w:r>
        <w:t xml:space="preserve">HRP2-based RDT and </w:t>
      </w:r>
      <w:r>
        <w:rPr>
          <w:i/>
        </w:rPr>
        <w:t>Pf</w:t>
      </w:r>
      <w:r>
        <w:t>HRP2/</w:t>
      </w:r>
      <w:proofErr w:type="spellStart"/>
      <w:r>
        <w:t>pLDH</w:t>
      </w:r>
      <w:proofErr w:type="spellEnd"/>
      <w:r>
        <w:t>-based RDT compared with light microscopy according to malaria transmission season in the subpopulation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1"/>
        <w:gridCol w:w="1743"/>
        <w:gridCol w:w="1928"/>
        <w:gridCol w:w="1927"/>
        <w:gridCol w:w="1928"/>
        <w:gridCol w:w="1927"/>
        <w:gridCol w:w="1928"/>
        <w:gridCol w:w="1928"/>
      </w:tblGrid>
      <w:tr w:rsidR="002C0DB5" w14:paraId="75F2DA81" w14:textId="77777777" w:rsidTr="001E51B8">
        <w:trPr>
          <w:trHeight w:val="892"/>
        </w:trPr>
        <w:tc>
          <w:tcPr>
            <w:tcW w:w="1931" w:type="dxa"/>
            <w:vAlign w:val="center"/>
          </w:tcPr>
          <w:p w14:paraId="0FA0D0BB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Test</w:t>
            </w:r>
          </w:p>
        </w:tc>
        <w:tc>
          <w:tcPr>
            <w:tcW w:w="1743" w:type="dxa"/>
            <w:vAlign w:val="center"/>
          </w:tcPr>
          <w:p w14:paraId="277449C9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Transmission season</w:t>
            </w:r>
          </w:p>
        </w:tc>
        <w:tc>
          <w:tcPr>
            <w:tcW w:w="1928" w:type="dxa"/>
            <w:vAlign w:val="center"/>
          </w:tcPr>
          <w:p w14:paraId="333F722C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Sensitivity % (CI95%)</w:t>
            </w:r>
          </w:p>
        </w:tc>
        <w:tc>
          <w:tcPr>
            <w:tcW w:w="1927" w:type="dxa"/>
            <w:vAlign w:val="center"/>
          </w:tcPr>
          <w:p w14:paraId="240BC6C5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Specificity % (CI95%)</w:t>
            </w:r>
          </w:p>
        </w:tc>
        <w:tc>
          <w:tcPr>
            <w:tcW w:w="1928" w:type="dxa"/>
            <w:vAlign w:val="center"/>
          </w:tcPr>
          <w:p w14:paraId="72D543A9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PPV % (CI95%)</w:t>
            </w:r>
          </w:p>
        </w:tc>
        <w:tc>
          <w:tcPr>
            <w:tcW w:w="1927" w:type="dxa"/>
            <w:vAlign w:val="center"/>
          </w:tcPr>
          <w:p w14:paraId="7A91B143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NPV % (CI95%)</w:t>
            </w:r>
          </w:p>
        </w:tc>
        <w:tc>
          <w:tcPr>
            <w:tcW w:w="1928" w:type="dxa"/>
            <w:vAlign w:val="center"/>
          </w:tcPr>
          <w:p w14:paraId="424A55BE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Accuracy % (CI95%)</w:t>
            </w:r>
          </w:p>
        </w:tc>
        <w:tc>
          <w:tcPr>
            <w:tcW w:w="1928" w:type="dxa"/>
            <w:vAlign w:val="center"/>
          </w:tcPr>
          <w:p w14:paraId="38C84459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Kappa index (CI95%)</w:t>
            </w:r>
          </w:p>
        </w:tc>
      </w:tr>
      <w:tr w:rsidR="002C0DB5" w14:paraId="277D5FE4" w14:textId="77777777" w:rsidTr="001E51B8">
        <w:trPr>
          <w:trHeight w:val="899"/>
        </w:trPr>
        <w:tc>
          <w:tcPr>
            <w:tcW w:w="1931" w:type="dxa"/>
            <w:vMerge w:val="restart"/>
            <w:vAlign w:val="center"/>
          </w:tcPr>
          <w:p w14:paraId="00B56E58" w14:textId="77777777" w:rsidR="002C0DB5" w:rsidRDefault="002C0DB5" w:rsidP="001E51B8">
            <w:pPr>
              <w:pStyle w:val="AbbreviationGroupEnd"/>
              <w:rPr>
                <w:rFonts w:eastAsiaTheme="majorEastAsia"/>
                <w:i/>
                <w:iCs/>
                <w:sz w:val="18"/>
              </w:rPr>
            </w:pPr>
            <w:r>
              <w:rPr>
                <w:i/>
                <w:sz w:val="18"/>
              </w:rPr>
              <w:t>Pf</w:t>
            </w:r>
            <w:r>
              <w:rPr>
                <w:sz w:val="18"/>
              </w:rPr>
              <w:t>HRP2-based RDT</w:t>
            </w:r>
          </w:p>
          <w:p w14:paraId="4B56D39A" w14:textId="77777777" w:rsidR="002C0DB5" w:rsidRDefault="002C0DB5" w:rsidP="001E51B8">
            <w:pPr>
              <w:pStyle w:val="AbbreviationGroupEnd"/>
              <w:rPr>
                <w:sz w:val="18"/>
              </w:rPr>
            </w:pPr>
          </w:p>
        </w:tc>
        <w:tc>
          <w:tcPr>
            <w:tcW w:w="1743" w:type="dxa"/>
            <w:vAlign w:val="center"/>
          </w:tcPr>
          <w:p w14:paraId="5D00862C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All seasons</w:t>
            </w:r>
          </w:p>
        </w:tc>
        <w:tc>
          <w:tcPr>
            <w:tcW w:w="1928" w:type="dxa"/>
            <w:vAlign w:val="center"/>
          </w:tcPr>
          <w:p w14:paraId="7828395F" w14:textId="77777777" w:rsidR="002C0DB5" w:rsidRDefault="002C0DB5" w:rsidP="001E51B8">
            <w:pPr>
              <w:pStyle w:val="AbbreviationGroupEnd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99.3 (97.6–99.9)</w:t>
            </w:r>
          </w:p>
        </w:tc>
        <w:tc>
          <w:tcPr>
            <w:tcW w:w="1927" w:type="dxa"/>
            <w:vAlign w:val="center"/>
          </w:tcPr>
          <w:p w14:paraId="3A2DE73A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37.0 (27.6–47.2)</w:t>
            </w:r>
          </w:p>
        </w:tc>
        <w:tc>
          <w:tcPr>
            <w:tcW w:w="1928" w:type="dxa"/>
            <w:vAlign w:val="center"/>
          </w:tcPr>
          <w:p w14:paraId="0E0C5D56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82.6 (78.3–86.4)</w:t>
            </w:r>
          </w:p>
        </w:tc>
        <w:tc>
          <w:tcPr>
            <w:tcW w:w="1927" w:type="dxa"/>
            <w:vAlign w:val="center"/>
          </w:tcPr>
          <w:p w14:paraId="0B6567BD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94.9 (82.7–99.4)</w:t>
            </w:r>
          </w:p>
        </w:tc>
        <w:tc>
          <w:tcPr>
            <w:tcW w:w="1928" w:type="dxa"/>
            <w:vAlign w:val="center"/>
          </w:tcPr>
          <w:p w14:paraId="4C4979AD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83.8 (79.8–87.3)</w:t>
            </w:r>
          </w:p>
        </w:tc>
        <w:tc>
          <w:tcPr>
            <w:tcW w:w="1928" w:type="dxa"/>
            <w:vAlign w:val="center"/>
          </w:tcPr>
          <w:p w14:paraId="39CDCEA5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0.46 (0.35–0.56)</w:t>
            </w:r>
          </w:p>
        </w:tc>
      </w:tr>
      <w:tr w:rsidR="002C0DB5" w14:paraId="600D23F2" w14:textId="77777777" w:rsidTr="001E51B8">
        <w:trPr>
          <w:trHeight w:val="899"/>
        </w:trPr>
        <w:tc>
          <w:tcPr>
            <w:tcW w:w="1931" w:type="dxa"/>
            <w:vMerge/>
            <w:vAlign w:val="center"/>
          </w:tcPr>
          <w:p w14:paraId="0FD48067" w14:textId="77777777" w:rsidR="002C0DB5" w:rsidRDefault="002C0DB5" w:rsidP="001E51B8">
            <w:pPr>
              <w:pStyle w:val="AbbreviationGroupEnd"/>
              <w:rPr>
                <w:i/>
                <w:sz w:val="18"/>
              </w:rPr>
            </w:pPr>
          </w:p>
        </w:tc>
        <w:tc>
          <w:tcPr>
            <w:tcW w:w="1743" w:type="dxa"/>
            <w:vAlign w:val="center"/>
          </w:tcPr>
          <w:p w14:paraId="664EA956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928" w:type="dxa"/>
            <w:vAlign w:val="center"/>
          </w:tcPr>
          <w:p w14:paraId="72C331BD" w14:textId="77777777" w:rsidR="002C0DB5" w:rsidRDefault="002C0DB5" w:rsidP="001E51B8">
            <w:pPr>
              <w:pStyle w:val="AbbreviationGroupEnd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100 (98.6–100)</w:t>
            </w:r>
          </w:p>
        </w:tc>
        <w:tc>
          <w:tcPr>
            <w:tcW w:w="1927" w:type="dxa"/>
            <w:vAlign w:val="center"/>
          </w:tcPr>
          <w:p w14:paraId="45581646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29.4 (19.0-41.7)</w:t>
            </w:r>
          </w:p>
        </w:tc>
        <w:tc>
          <w:tcPr>
            <w:tcW w:w="1928" w:type="dxa"/>
            <w:vAlign w:val="center"/>
          </w:tcPr>
          <w:p w14:paraId="5F5B4396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84.1 (79.5–88.0)</w:t>
            </w:r>
          </w:p>
        </w:tc>
        <w:tc>
          <w:tcPr>
            <w:tcW w:w="1927" w:type="dxa"/>
            <w:vAlign w:val="center"/>
          </w:tcPr>
          <w:p w14:paraId="4B3CA842" w14:textId="77777777" w:rsidR="002C0DB5" w:rsidRDefault="002C0DB5" w:rsidP="001E51B8">
            <w:pPr>
              <w:pStyle w:val="AbbreviationGroupEnd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100 (83.2–100)</w:t>
            </w:r>
          </w:p>
        </w:tc>
        <w:tc>
          <w:tcPr>
            <w:tcW w:w="1928" w:type="dxa"/>
            <w:vAlign w:val="center"/>
          </w:tcPr>
          <w:p w14:paraId="710FD2DA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85.1 (80.7–88.8)</w:t>
            </w:r>
          </w:p>
        </w:tc>
        <w:tc>
          <w:tcPr>
            <w:tcW w:w="1928" w:type="dxa"/>
            <w:vAlign w:val="center"/>
          </w:tcPr>
          <w:p w14:paraId="0718DE19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0.4 (0.27–0.52)</w:t>
            </w:r>
          </w:p>
        </w:tc>
      </w:tr>
      <w:tr w:rsidR="002C0DB5" w14:paraId="4C0B0979" w14:textId="77777777" w:rsidTr="001E51B8">
        <w:trPr>
          <w:trHeight w:val="918"/>
        </w:trPr>
        <w:tc>
          <w:tcPr>
            <w:tcW w:w="1931" w:type="dxa"/>
            <w:vMerge/>
            <w:vAlign w:val="center"/>
          </w:tcPr>
          <w:p w14:paraId="7328E3F6" w14:textId="77777777" w:rsidR="002C0DB5" w:rsidRDefault="002C0DB5" w:rsidP="001E51B8">
            <w:pPr>
              <w:pStyle w:val="AbbreviationGroupEnd"/>
              <w:rPr>
                <w:sz w:val="18"/>
              </w:rPr>
            </w:pPr>
          </w:p>
        </w:tc>
        <w:tc>
          <w:tcPr>
            <w:tcW w:w="1743" w:type="dxa"/>
            <w:vAlign w:val="center"/>
          </w:tcPr>
          <w:p w14:paraId="02BE4789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928" w:type="dxa"/>
            <w:vAlign w:val="center"/>
          </w:tcPr>
          <w:p w14:paraId="58CB0D4A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95.7 (85.5–99.5)</w:t>
            </w:r>
          </w:p>
        </w:tc>
        <w:tc>
          <w:tcPr>
            <w:tcW w:w="1927" w:type="dxa"/>
            <w:vAlign w:val="center"/>
          </w:tcPr>
          <w:p w14:paraId="00C9A469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53.1 (34.7–70.9)</w:t>
            </w:r>
          </w:p>
        </w:tc>
        <w:tc>
          <w:tcPr>
            <w:tcW w:w="1928" w:type="dxa"/>
            <w:vAlign w:val="center"/>
          </w:tcPr>
          <w:p w14:paraId="52B4F010" w14:textId="77777777" w:rsidR="002C0DB5" w:rsidRDefault="002C0DB5" w:rsidP="001E51B8">
            <w:pPr>
              <w:pStyle w:val="AbbreviationGroupEnd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75.0 (62.1–85.3)</w:t>
            </w:r>
          </w:p>
        </w:tc>
        <w:tc>
          <w:tcPr>
            <w:tcW w:w="1927" w:type="dxa"/>
            <w:vAlign w:val="center"/>
          </w:tcPr>
          <w:p w14:paraId="026A7E31" w14:textId="77777777" w:rsidR="002C0DB5" w:rsidRDefault="002C0DB5" w:rsidP="001E51B8">
            <w:pPr>
              <w:pStyle w:val="AbbreviationGroupEnd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89.5 (66.9–98.7)</w:t>
            </w:r>
          </w:p>
        </w:tc>
        <w:tc>
          <w:tcPr>
            <w:tcW w:w="1928" w:type="dxa"/>
            <w:vAlign w:val="center"/>
          </w:tcPr>
          <w:p w14:paraId="4A77DDB7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78.5 (67.8–86.9)</w:t>
            </w:r>
          </w:p>
        </w:tc>
        <w:tc>
          <w:tcPr>
            <w:tcW w:w="1928" w:type="dxa"/>
            <w:vAlign w:val="center"/>
          </w:tcPr>
          <w:p w14:paraId="73818CFF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0.52 (0.34–0.71)</w:t>
            </w:r>
          </w:p>
        </w:tc>
      </w:tr>
      <w:tr w:rsidR="002C0DB5" w14:paraId="3D26F79C" w14:textId="77777777" w:rsidTr="001E51B8">
        <w:trPr>
          <w:trHeight w:val="892"/>
        </w:trPr>
        <w:tc>
          <w:tcPr>
            <w:tcW w:w="1931" w:type="dxa"/>
            <w:vMerge w:val="restart"/>
            <w:vAlign w:val="center"/>
          </w:tcPr>
          <w:p w14:paraId="5E774417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i/>
                <w:sz w:val="18"/>
              </w:rPr>
              <w:t>Pf</w:t>
            </w:r>
            <w:r>
              <w:rPr>
                <w:sz w:val="18"/>
              </w:rPr>
              <w:t>HRP2/</w:t>
            </w:r>
            <w:proofErr w:type="spellStart"/>
            <w:r>
              <w:rPr>
                <w:sz w:val="18"/>
              </w:rPr>
              <w:t>pLDH</w:t>
            </w:r>
            <w:proofErr w:type="spellEnd"/>
            <w:r>
              <w:rPr>
                <w:sz w:val="18"/>
              </w:rPr>
              <w:t>-based RDT</w:t>
            </w:r>
          </w:p>
        </w:tc>
        <w:tc>
          <w:tcPr>
            <w:tcW w:w="1743" w:type="dxa"/>
            <w:vAlign w:val="center"/>
          </w:tcPr>
          <w:p w14:paraId="207C1E18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All seasons</w:t>
            </w:r>
          </w:p>
        </w:tc>
        <w:tc>
          <w:tcPr>
            <w:tcW w:w="1928" w:type="dxa"/>
            <w:vAlign w:val="center"/>
          </w:tcPr>
          <w:p w14:paraId="549B3C3C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92.7 (89.1–95.4)</w:t>
            </w:r>
          </w:p>
        </w:tc>
        <w:tc>
          <w:tcPr>
            <w:tcW w:w="1927" w:type="dxa"/>
            <w:vAlign w:val="center"/>
          </w:tcPr>
          <w:p w14:paraId="6262A881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78.0 (68.6–85.7)</w:t>
            </w:r>
          </w:p>
        </w:tc>
        <w:tc>
          <w:tcPr>
            <w:tcW w:w="1928" w:type="dxa"/>
            <w:vAlign w:val="center"/>
          </w:tcPr>
          <w:p w14:paraId="7DE74D7A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92.7 (89.1–95.4)</w:t>
            </w:r>
          </w:p>
        </w:tc>
        <w:tc>
          <w:tcPr>
            <w:tcW w:w="1927" w:type="dxa"/>
            <w:vAlign w:val="center"/>
          </w:tcPr>
          <w:p w14:paraId="2D9441C0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78.0 (68.6–85.7)</w:t>
            </w:r>
          </w:p>
        </w:tc>
        <w:tc>
          <w:tcPr>
            <w:tcW w:w="1928" w:type="dxa"/>
            <w:vAlign w:val="center"/>
          </w:tcPr>
          <w:p w14:paraId="2BAB231D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89.0 (85.6–91.9)</w:t>
            </w:r>
          </w:p>
        </w:tc>
        <w:tc>
          <w:tcPr>
            <w:tcW w:w="1928" w:type="dxa"/>
            <w:vAlign w:val="center"/>
          </w:tcPr>
          <w:p w14:paraId="5F6EEA7F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0.71 (0.63–0.79)</w:t>
            </w:r>
          </w:p>
        </w:tc>
      </w:tr>
      <w:tr w:rsidR="002C0DB5" w14:paraId="45A95A4E" w14:textId="77777777" w:rsidTr="001E51B8">
        <w:trPr>
          <w:trHeight w:val="892"/>
        </w:trPr>
        <w:tc>
          <w:tcPr>
            <w:tcW w:w="1931" w:type="dxa"/>
            <w:vMerge/>
            <w:vAlign w:val="center"/>
          </w:tcPr>
          <w:p w14:paraId="1AF5DD9D" w14:textId="77777777" w:rsidR="002C0DB5" w:rsidRDefault="002C0DB5" w:rsidP="001E51B8">
            <w:pPr>
              <w:pStyle w:val="AbbreviationGroupEnd"/>
              <w:rPr>
                <w:i/>
                <w:sz w:val="18"/>
              </w:rPr>
            </w:pPr>
          </w:p>
        </w:tc>
        <w:tc>
          <w:tcPr>
            <w:tcW w:w="1743" w:type="dxa"/>
            <w:vAlign w:val="center"/>
          </w:tcPr>
          <w:p w14:paraId="65437D84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928" w:type="dxa"/>
            <w:vAlign w:val="center"/>
          </w:tcPr>
          <w:p w14:paraId="6933149B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92.5 (88.6–95.4)</w:t>
            </w:r>
          </w:p>
        </w:tc>
        <w:tc>
          <w:tcPr>
            <w:tcW w:w="1927" w:type="dxa"/>
            <w:vAlign w:val="center"/>
          </w:tcPr>
          <w:p w14:paraId="67AA6E79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75.0 (63.0-84.7)</w:t>
            </w:r>
          </w:p>
        </w:tc>
        <w:tc>
          <w:tcPr>
            <w:tcW w:w="1928" w:type="dxa"/>
            <w:vAlign w:val="center"/>
          </w:tcPr>
          <w:p w14:paraId="105D14F1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93.3 (89.4–96.0)</w:t>
            </w:r>
          </w:p>
        </w:tc>
        <w:tc>
          <w:tcPr>
            <w:tcW w:w="1927" w:type="dxa"/>
            <w:vAlign w:val="center"/>
          </w:tcPr>
          <w:p w14:paraId="5DF91420" w14:textId="77777777" w:rsidR="002C0DB5" w:rsidRDefault="002C0DB5" w:rsidP="001E51B8">
            <w:pPr>
              <w:pStyle w:val="AbbreviationGroupEnd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72.9 (60.9–82.8)</w:t>
            </w:r>
          </w:p>
        </w:tc>
        <w:tc>
          <w:tcPr>
            <w:tcW w:w="1928" w:type="dxa"/>
            <w:vAlign w:val="center"/>
          </w:tcPr>
          <w:p w14:paraId="378600C4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88.8 (84.9–92.0)</w:t>
            </w:r>
          </w:p>
        </w:tc>
        <w:tc>
          <w:tcPr>
            <w:tcW w:w="1928" w:type="dxa"/>
            <w:vAlign w:val="center"/>
          </w:tcPr>
          <w:p w14:paraId="2AD843AF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0.67 (0.57–0.77)</w:t>
            </w:r>
          </w:p>
        </w:tc>
      </w:tr>
      <w:tr w:rsidR="002C0DB5" w14:paraId="76857A70" w14:textId="77777777" w:rsidTr="001E51B8">
        <w:trPr>
          <w:trHeight w:val="944"/>
        </w:trPr>
        <w:tc>
          <w:tcPr>
            <w:tcW w:w="1931" w:type="dxa"/>
            <w:vMerge/>
            <w:vAlign w:val="center"/>
          </w:tcPr>
          <w:p w14:paraId="0CFA31FD" w14:textId="77777777" w:rsidR="002C0DB5" w:rsidRDefault="002C0DB5" w:rsidP="001E51B8">
            <w:pPr>
              <w:pStyle w:val="AbbreviationGroupEnd"/>
              <w:rPr>
                <w:sz w:val="18"/>
              </w:rPr>
            </w:pPr>
          </w:p>
        </w:tc>
        <w:tc>
          <w:tcPr>
            <w:tcW w:w="1743" w:type="dxa"/>
            <w:vAlign w:val="center"/>
          </w:tcPr>
          <w:p w14:paraId="755C6D9B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928" w:type="dxa"/>
            <w:vAlign w:val="center"/>
          </w:tcPr>
          <w:p w14:paraId="75E5C413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93.6 (82.5–98.7)</w:t>
            </w:r>
          </w:p>
        </w:tc>
        <w:tc>
          <w:tcPr>
            <w:tcW w:w="1927" w:type="dxa"/>
            <w:vAlign w:val="center"/>
          </w:tcPr>
          <w:p w14:paraId="0A9FF4FB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84.4 (67.2–94.7)</w:t>
            </w:r>
          </w:p>
        </w:tc>
        <w:tc>
          <w:tcPr>
            <w:tcW w:w="1928" w:type="dxa"/>
            <w:vAlign w:val="center"/>
          </w:tcPr>
          <w:p w14:paraId="35860033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89.8 (77.8–96.6)</w:t>
            </w:r>
          </w:p>
        </w:tc>
        <w:tc>
          <w:tcPr>
            <w:tcW w:w="1927" w:type="dxa"/>
            <w:vAlign w:val="center"/>
          </w:tcPr>
          <w:p w14:paraId="70C27526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90.0 (73.5–97.9)</w:t>
            </w:r>
          </w:p>
        </w:tc>
        <w:tc>
          <w:tcPr>
            <w:tcW w:w="1928" w:type="dxa"/>
            <w:vAlign w:val="center"/>
          </w:tcPr>
          <w:p w14:paraId="6F151DBA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89.9 (81.0-95.5)</w:t>
            </w:r>
          </w:p>
        </w:tc>
        <w:tc>
          <w:tcPr>
            <w:tcW w:w="1928" w:type="dxa"/>
            <w:vAlign w:val="center"/>
          </w:tcPr>
          <w:p w14:paraId="18224A34" w14:textId="77777777" w:rsidR="002C0DB5" w:rsidRDefault="002C0DB5" w:rsidP="001E51B8">
            <w:pPr>
              <w:pStyle w:val="AbbreviationGroupEnd"/>
              <w:rPr>
                <w:sz w:val="18"/>
              </w:rPr>
            </w:pPr>
            <w:r>
              <w:rPr>
                <w:sz w:val="18"/>
              </w:rPr>
              <w:t>0.79 (0.65–0.93)</w:t>
            </w:r>
          </w:p>
        </w:tc>
      </w:tr>
    </w:tbl>
    <w:p w14:paraId="79B71AD0" w14:textId="77777777" w:rsidR="002C0DB5" w:rsidRDefault="002C0DB5" w:rsidP="002C0DB5">
      <w:pPr>
        <w:pStyle w:val="AbbreviationGroupEnd"/>
      </w:pPr>
    </w:p>
    <w:p w14:paraId="1AE5982F" w14:textId="77777777" w:rsidR="003D3489" w:rsidRDefault="003D3489" w:rsidP="002C0DB5"/>
    <w:sectPr w:rsidR="003D348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B5"/>
    <w:rsid w:val="002C0DB5"/>
    <w:rsid w:val="003D3489"/>
    <w:rsid w:val="004A7C6B"/>
    <w:rsid w:val="00DA45B3"/>
    <w:rsid w:val="00DD1014"/>
    <w:rsid w:val="00F9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549B5"/>
  <w15:chartTrackingRefBased/>
  <w15:docId w15:val="{F85F164B-6BEF-484E-B633-718A5068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aption">
    <w:name w:val="Table_caption"/>
    <w:autoRedefine/>
    <w:rsid w:val="002C0DB5"/>
    <w:pPr>
      <w:spacing w:before="320" w:after="60" w:line="320" w:lineRule="atLeast"/>
    </w:pPr>
    <w:rPr>
      <w:rFonts w:ascii="Arial Unicode MS" w:eastAsia="Times New Roman" w:hAnsi="Arial Unicode MS" w:cs="Courier New"/>
      <w:color w:val="436951"/>
      <w:sz w:val="24"/>
      <w:szCs w:val="20"/>
      <w:lang w:val="en-US"/>
    </w:rPr>
  </w:style>
  <w:style w:type="paragraph" w:customStyle="1" w:styleId="AbbreviationGroupEnd">
    <w:name w:val="AbbreviationGroup_End"/>
    <w:basedOn w:val="Normal"/>
    <w:qFormat/>
    <w:rsid w:val="002C0DB5"/>
    <w:pPr>
      <w:spacing w:after="120" w:line="360" w:lineRule="auto"/>
      <w:ind w:left="360"/>
    </w:pPr>
    <w:rPr>
      <w:rFonts w:ascii="Arial Unicode MS" w:eastAsia="Arial Unicode MS" w:hAnsi="Arial Unicode MS" w:cs="Arial Unicode MS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Arputharaj (Integra)</dc:creator>
  <cp:keywords/>
  <dc:description/>
  <cp:lastModifiedBy>Esther Arputharaj (Integra)</cp:lastModifiedBy>
  <cp:revision>2</cp:revision>
  <dcterms:created xsi:type="dcterms:W3CDTF">2025-05-27T11:05:00Z</dcterms:created>
  <dcterms:modified xsi:type="dcterms:W3CDTF">2025-05-27T12:09:00Z</dcterms:modified>
</cp:coreProperties>
</file>