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DC1" w:rsidRPr="002A4881" w:rsidRDefault="004C3DC1" w:rsidP="00D212ED">
      <w:pPr>
        <w:jc w:val="center"/>
        <w:rPr>
          <w:rFonts w:ascii="Times New Roman" w:hAnsi="Times New Roman" w:cs="Times New Roman"/>
          <w:b/>
          <w:bCs/>
          <w:sz w:val="28"/>
          <w:szCs w:val="28"/>
        </w:rPr>
      </w:pPr>
      <w:r w:rsidRPr="002A4881">
        <w:rPr>
          <w:rFonts w:ascii="Times New Roman" w:hAnsi="Times New Roman" w:cs="Times New Roman"/>
          <w:b/>
          <w:bCs/>
          <w:sz w:val="28"/>
          <w:szCs w:val="28"/>
        </w:rPr>
        <w:t>Supplemental material for the manuscript</w:t>
      </w:r>
    </w:p>
    <w:p w:rsidR="004C3DC1" w:rsidRPr="00183A17" w:rsidRDefault="004C3DC1" w:rsidP="00D212ED">
      <w:pPr>
        <w:spacing w:line="480" w:lineRule="auto"/>
        <w:jc w:val="center"/>
        <w:rPr>
          <w:rFonts w:ascii="Times New Roman" w:hAnsi="Times New Roman" w:cs="Times New Roman"/>
          <w:b/>
          <w:bCs/>
          <w:sz w:val="28"/>
          <w:szCs w:val="28"/>
        </w:rPr>
      </w:pPr>
      <w:r w:rsidRPr="00183A17">
        <w:rPr>
          <w:rFonts w:ascii="Times New Roman" w:hAnsi="Times New Roman" w:cs="Times New Roman"/>
          <w:b/>
          <w:bCs/>
          <w:sz w:val="28"/>
          <w:szCs w:val="28"/>
        </w:rPr>
        <w:t>Bariatric surgery can lead to net cost saving</w:t>
      </w:r>
      <w:r>
        <w:rPr>
          <w:rFonts w:ascii="Times New Roman" w:hAnsi="Times New Roman" w:cs="Times New Roman"/>
          <w:b/>
          <w:bCs/>
          <w:sz w:val="28"/>
          <w:szCs w:val="28"/>
        </w:rPr>
        <w:t>s</w:t>
      </w:r>
      <w:r w:rsidRPr="00183A17">
        <w:rPr>
          <w:rFonts w:ascii="Times New Roman" w:hAnsi="Times New Roman" w:cs="Times New Roman"/>
          <w:b/>
          <w:bCs/>
          <w:sz w:val="28"/>
          <w:szCs w:val="28"/>
        </w:rPr>
        <w:t xml:space="preserve"> </w:t>
      </w:r>
      <w:r>
        <w:rPr>
          <w:rFonts w:ascii="Times New Roman" w:hAnsi="Times New Roman" w:cs="Times New Roman"/>
          <w:b/>
          <w:bCs/>
          <w:sz w:val="28"/>
          <w:szCs w:val="28"/>
        </w:rPr>
        <w:t xml:space="preserve">to </w:t>
      </w:r>
      <w:r w:rsidRPr="00183A17">
        <w:rPr>
          <w:rFonts w:ascii="Times New Roman" w:hAnsi="Times New Roman" w:cs="Times New Roman"/>
          <w:b/>
          <w:bCs/>
          <w:sz w:val="28"/>
          <w:szCs w:val="28"/>
        </w:rPr>
        <w:t>health care systems: results from a comprehensive European decision analytic model</w:t>
      </w:r>
    </w:p>
    <w:p w:rsidR="004C3DC1" w:rsidRPr="002A4881" w:rsidRDefault="004C3DC1" w:rsidP="00D212ED">
      <w:pPr>
        <w:spacing w:line="480" w:lineRule="auto"/>
        <w:rPr>
          <w:rFonts w:ascii="Times New Roman" w:hAnsi="Times New Roman" w:cs="Times New Roman"/>
          <w:b/>
          <w:sz w:val="24"/>
          <w:szCs w:val="24"/>
          <w:lang w:val="en-US"/>
        </w:rPr>
      </w:pPr>
      <w:r w:rsidRPr="002A4881">
        <w:rPr>
          <w:rFonts w:ascii="Times New Roman" w:hAnsi="Times New Roman" w:cs="Times New Roman"/>
          <w:b/>
          <w:sz w:val="24"/>
          <w:szCs w:val="24"/>
        </w:rPr>
        <w:t>Section</w:t>
      </w:r>
      <w:r>
        <w:rPr>
          <w:rFonts w:ascii="Times New Roman" w:hAnsi="Times New Roman" w:cs="Times New Roman"/>
          <w:b/>
          <w:sz w:val="24"/>
          <w:szCs w:val="24"/>
        </w:rPr>
        <w:t xml:space="preserve"> S1</w:t>
      </w:r>
      <w:r w:rsidRPr="002A4881">
        <w:rPr>
          <w:rFonts w:ascii="Times New Roman" w:hAnsi="Times New Roman" w:cs="Times New Roman"/>
          <w:b/>
          <w:sz w:val="24"/>
          <w:szCs w:val="24"/>
        </w:rPr>
        <w:t>.</w:t>
      </w:r>
      <w:r w:rsidRPr="002A4881">
        <w:rPr>
          <w:rFonts w:ascii="Times New Roman" w:hAnsi="Times New Roman" w:cs="Times New Roman"/>
          <w:sz w:val="24"/>
          <w:szCs w:val="24"/>
        </w:rPr>
        <w:t xml:space="preserve"> </w:t>
      </w:r>
      <w:r w:rsidRPr="002A4881">
        <w:rPr>
          <w:rFonts w:ascii="Times New Roman" w:hAnsi="Times New Roman" w:cs="Times New Roman"/>
          <w:b/>
          <w:sz w:val="24"/>
          <w:szCs w:val="24"/>
          <w:lang w:val="en-US"/>
        </w:rPr>
        <w:t>Additional Description of Methods</w:t>
      </w:r>
    </w:p>
    <w:p w:rsidR="004C3DC1" w:rsidRPr="003D77F8" w:rsidRDefault="004C3DC1" w:rsidP="00D212ED">
      <w:pPr>
        <w:spacing w:line="480" w:lineRule="auto"/>
        <w:jc w:val="both"/>
        <w:rPr>
          <w:rFonts w:ascii="Times New Roman" w:hAnsi="Times New Roman" w:cs="Times New Roman"/>
          <w:sz w:val="24"/>
          <w:szCs w:val="24"/>
          <w:lang w:val="en-US"/>
        </w:rPr>
      </w:pPr>
      <w:r w:rsidRPr="003D77F8">
        <w:rPr>
          <w:rFonts w:ascii="Times New Roman" w:hAnsi="Times New Roman" w:cs="Times New Roman"/>
          <w:sz w:val="24"/>
          <w:szCs w:val="24"/>
          <w:lang w:val="en-US"/>
        </w:rPr>
        <w:t>Methods and results are reported in accordance with the Consolidated Health Economic Evaluation Reporting Standards (CHEERS</w:t>
      </w:r>
      <w:proofErr w:type="gramStart"/>
      <w:r w:rsidRPr="003D77F8">
        <w:rPr>
          <w:rFonts w:ascii="Times New Roman" w:hAnsi="Times New Roman" w:cs="Times New Roman"/>
          <w:sz w:val="24"/>
          <w:szCs w:val="24"/>
          <w:lang w:val="en-US"/>
        </w:rPr>
        <w:t>)</w:t>
      </w:r>
      <w:r>
        <w:rPr>
          <w:rFonts w:ascii="Times New Roman" w:hAnsi="Times New Roman" w:cs="Times New Roman"/>
          <w:noProof/>
          <w:sz w:val="24"/>
          <w:szCs w:val="24"/>
          <w:vertAlign w:val="superscript"/>
        </w:rPr>
        <w:t>(</w:t>
      </w:r>
      <w:proofErr w:type="gramEnd"/>
      <w:r>
        <w:rPr>
          <w:rFonts w:ascii="Times New Roman" w:hAnsi="Times New Roman" w:cs="Times New Roman"/>
          <w:noProof/>
          <w:sz w:val="24"/>
          <w:szCs w:val="24"/>
          <w:vertAlign w:val="superscript"/>
        </w:rPr>
        <w:t>61)</w:t>
      </w:r>
      <w:r w:rsidRPr="003D77F8">
        <w:rPr>
          <w:rFonts w:ascii="Times New Roman" w:hAnsi="Times New Roman" w:cs="Times New Roman"/>
          <w:sz w:val="24"/>
          <w:szCs w:val="24"/>
          <w:lang w:val="en-US"/>
        </w:rPr>
        <w:t>.</w:t>
      </w:r>
    </w:p>
    <w:p w:rsidR="004C3DC1" w:rsidRPr="003D77F8" w:rsidRDefault="004C3DC1">
      <w:pPr>
        <w:spacing w:after="0" w:line="480" w:lineRule="auto"/>
        <w:jc w:val="both"/>
        <w:rPr>
          <w:rFonts w:ascii="Times New Roman" w:hAnsi="Times New Roman" w:cs="Times New Roman"/>
          <w:sz w:val="24"/>
          <w:szCs w:val="24"/>
          <w:lang w:val="en-US"/>
        </w:rPr>
      </w:pPr>
      <w:r w:rsidRPr="003D77F8">
        <w:rPr>
          <w:rFonts w:ascii="Times New Roman" w:hAnsi="Times New Roman" w:cs="Times New Roman"/>
          <w:sz w:val="24"/>
          <w:szCs w:val="24"/>
          <w:lang w:val="en-US"/>
        </w:rPr>
        <w:t xml:space="preserve">Inputs to the model are presented for base-case (main; with structure, clinical and cost inputs defined as primary ones) analysis and scenario analysis – analysis in which the major elements of the model are changed to evaluate their impact on the results of the analysis.   </w:t>
      </w:r>
    </w:p>
    <w:p w:rsidR="004C3DC1" w:rsidRPr="003D77F8" w:rsidRDefault="004C3DC1">
      <w:pPr>
        <w:spacing w:after="0" w:line="480" w:lineRule="auto"/>
        <w:jc w:val="both"/>
        <w:rPr>
          <w:rFonts w:ascii="Times New Roman" w:hAnsi="Times New Roman" w:cs="Times New Roman"/>
          <w:b/>
          <w:bCs/>
          <w:sz w:val="24"/>
          <w:szCs w:val="24"/>
          <w:lang w:val="en-US"/>
        </w:rPr>
      </w:pPr>
      <w:r w:rsidRPr="003D77F8">
        <w:rPr>
          <w:rFonts w:ascii="Times New Roman" w:hAnsi="Times New Roman" w:cs="Times New Roman"/>
          <w:b/>
          <w:bCs/>
          <w:sz w:val="24"/>
          <w:szCs w:val="24"/>
          <w:lang w:val="en-US"/>
        </w:rPr>
        <w:t>Clinical Effectiveness and Safety Data</w:t>
      </w:r>
    </w:p>
    <w:p w:rsidR="004C3DC1" w:rsidRPr="002A4881" w:rsidRDefault="004C3DC1" w:rsidP="00D212ED">
      <w:pPr>
        <w:spacing w:line="480" w:lineRule="auto"/>
        <w:jc w:val="both"/>
        <w:rPr>
          <w:rFonts w:ascii="Times New Roman" w:hAnsi="Times New Roman" w:cs="Times New Roman"/>
          <w:sz w:val="24"/>
          <w:szCs w:val="24"/>
          <w:lang w:val="en-US"/>
        </w:rPr>
      </w:pPr>
      <w:r w:rsidRPr="003D77F8">
        <w:rPr>
          <w:rFonts w:ascii="Times New Roman" w:hAnsi="Times New Roman" w:cs="Times New Roman"/>
          <w:sz w:val="24"/>
          <w:szCs w:val="24"/>
          <w:lang w:val="en-US"/>
        </w:rPr>
        <w:t xml:space="preserve">The risk equation from the Framingham Heart Study was used to determine the 10-year risk of cardiovascular events, which was re-calculated into monthly </w:t>
      </w:r>
      <w:proofErr w:type="gramStart"/>
      <w:r w:rsidRPr="003D77F8">
        <w:rPr>
          <w:rFonts w:ascii="Times New Roman" w:hAnsi="Times New Roman" w:cs="Times New Roman"/>
          <w:sz w:val="24"/>
          <w:szCs w:val="24"/>
          <w:lang w:val="en-US"/>
        </w:rPr>
        <w:t>risk</w:t>
      </w:r>
      <w:r w:rsidRPr="00654BDE">
        <w:rPr>
          <w:rFonts w:ascii="Times New Roman" w:hAnsi="Times New Roman" w:cs="Times New Roman"/>
          <w:noProof/>
          <w:sz w:val="24"/>
          <w:szCs w:val="24"/>
          <w:vertAlign w:val="superscript"/>
          <w:lang w:val="en-US"/>
        </w:rPr>
        <w:t>(</w:t>
      </w:r>
      <w:proofErr w:type="gramEnd"/>
      <w:r w:rsidRPr="00654BDE">
        <w:rPr>
          <w:rFonts w:ascii="Times New Roman" w:hAnsi="Times New Roman" w:cs="Times New Roman"/>
          <w:noProof/>
          <w:sz w:val="24"/>
          <w:szCs w:val="24"/>
          <w:vertAlign w:val="superscript"/>
          <w:lang w:val="en-US"/>
        </w:rPr>
        <w:t>5, 6)</w:t>
      </w:r>
      <w:r w:rsidRPr="003D77F8">
        <w:rPr>
          <w:rFonts w:ascii="Times New Roman" w:hAnsi="Times New Roman" w:cs="Times New Roman"/>
          <w:sz w:val="24"/>
          <w:szCs w:val="24"/>
          <w:lang w:val="en-US"/>
        </w:rPr>
        <w:t xml:space="preserve">. In the model, cardiovascular risk was re-calculated annually for the initial 8 years (the longest follow-up reported in the included studies) and, subsequently, every 10 years. The incidence of diabetes was BMI-related and determined by polynomial regression as reported by Picot </w:t>
      </w:r>
      <w:r w:rsidRPr="003D77F8">
        <w:rPr>
          <w:rFonts w:ascii="Times New Roman" w:hAnsi="Times New Roman" w:cs="Times New Roman"/>
          <w:i/>
          <w:iCs/>
          <w:sz w:val="24"/>
          <w:szCs w:val="24"/>
          <w:lang w:val="en-US"/>
        </w:rPr>
        <w:t>et al</w:t>
      </w:r>
      <w:proofErr w:type="gramStart"/>
      <w:r w:rsidRPr="003D77F8">
        <w:rPr>
          <w:rFonts w:ascii="Times New Roman" w:hAnsi="Times New Roman" w:cs="Times New Roman"/>
          <w:i/>
          <w:iCs/>
          <w:sz w:val="24"/>
          <w:szCs w:val="24"/>
          <w:lang w:val="en-US"/>
        </w:rPr>
        <w:t>.</w:t>
      </w:r>
      <w:r w:rsidRPr="00654BDE">
        <w:rPr>
          <w:rFonts w:ascii="Times New Roman" w:hAnsi="Times New Roman" w:cs="Times New Roman"/>
          <w:noProof/>
          <w:sz w:val="24"/>
          <w:szCs w:val="24"/>
          <w:vertAlign w:val="superscript"/>
          <w:lang w:val="en-US"/>
        </w:rPr>
        <w:t>(</w:t>
      </w:r>
      <w:proofErr w:type="gramEnd"/>
      <w:r w:rsidRPr="00654BDE">
        <w:rPr>
          <w:rFonts w:ascii="Times New Roman" w:hAnsi="Times New Roman" w:cs="Times New Roman"/>
          <w:noProof/>
          <w:sz w:val="24"/>
          <w:szCs w:val="24"/>
          <w:vertAlign w:val="superscript"/>
          <w:lang w:val="en-US"/>
        </w:rPr>
        <w:t>7)</w:t>
      </w:r>
      <w:r w:rsidRPr="003D77F8">
        <w:rPr>
          <w:rFonts w:ascii="Times New Roman" w:hAnsi="Times New Roman" w:cs="Times New Roman"/>
          <w:sz w:val="24"/>
          <w:szCs w:val="24"/>
          <w:lang w:val="en-US"/>
        </w:rPr>
        <w:t xml:space="preserve">, and based on estimates from Colditz </w:t>
      </w:r>
      <w:r w:rsidRPr="003D77F8">
        <w:rPr>
          <w:rFonts w:ascii="Times New Roman" w:hAnsi="Times New Roman" w:cs="Times New Roman"/>
          <w:i/>
          <w:iCs/>
          <w:sz w:val="24"/>
          <w:szCs w:val="24"/>
          <w:lang w:val="en-US"/>
        </w:rPr>
        <w:t>et al.</w:t>
      </w:r>
      <w:r w:rsidRPr="00654BDE">
        <w:rPr>
          <w:rFonts w:ascii="Times New Roman" w:hAnsi="Times New Roman" w:cs="Times New Roman"/>
          <w:noProof/>
          <w:sz w:val="24"/>
          <w:szCs w:val="24"/>
          <w:vertAlign w:val="superscript"/>
          <w:lang w:val="en-US"/>
        </w:rPr>
        <w:t>(8)</w:t>
      </w:r>
      <w:r w:rsidRPr="003D77F8">
        <w:rPr>
          <w:rFonts w:ascii="Times New Roman" w:hAnsi="Times New Roman" w:cs="Times New Roman"/>
          <w:sz w:val="24"/>
          <w:szCs w:val="24"/>
          <w:lang w:val="en-US"/>
        </w:rPr>
        <w:t xml:space="preserve">. Data on remission of diabetes were obtained from the 2- and 10-year data from the Swedish Obesity Subjects </w:t>
      </w:r>
      <w:proofErr w:type="gramStart"/>
      <w:r w:rsidRPr="003D77F8">
        <w:rPr>
          <w:rFonts w:ascii="Times New Roman" w:hAnsi="Times New Roman" w:cs="Times New Roman"/>
          <w:sz w:val="24"/>
          <w:szCs w:val="24"/>
          <w:lang w:val="en-US"/>
        </w:rPr>
        <w:t>study</w:t>
      </w:r>
      <w:r w:rsidRPr="00654BDE">
        <w:rPr>
          <w:rFonts w:ascii="Times New Roman" w:hAnsi="Times New Roman" w:cs="Times New Roman"/>
          <w:noProof/>
          <w:sz w:val="24"/>
          <w:szCs w:val="24"/>
          <w:vertAlign w:val="superscript"/>
          <w:lang w:val="en-US"/>
        </w:rPr>
        <w:t>(</w:t>
      </w:r>
      <w:proofErr w:type="gramEnd"/>
      <w:r w:rsidRPr="00654BDE">
        <w:rPr>
          <w:rFonts w:ascii="Times New Roman" w:hAnsi="Times New Roman" w:cs="Times New Roman"/>
          <w:noProof/>
          <w:sz w:val="24"/>
          <w:szCs w:val="24"/>
          <w:vertAlign w:val="superscript"/>
          <w:lang w:val="en-US"/>
        </w:rPr>
        <w:t>9)</w:t>
      </w:r>
      <w:r w:rsidRPr="003D77F8">
        <w:rPr>
          <w:rFonts w:ascii="Times New Roman" w:hAnsi="Times New Roman" w:cs="Times New Roman"/>
          <w:sz w:val="24"/>
          <w:szCs w:val="24"/>
          <w:vertAlign w:val="superscript"/>
          <w:lang w:val="en-US"/>
        </w:rPr>
        <w:t xml:space="preserve">. </w:t>
      </w:r>
      <w:r w:rsidRPr="003D77F8">
        <w:rPr>
          <w:rFonts w:ascii="Times New Roman" w:hAnsi="Times New Roman" w:cs="Times New Roman"/>
          <w:sz w:val="24"/>
          <w:szCs w:val="24"/>
          <w:lang w:val="en-US"/>
        </w:rPr>
        <w:t xml:space="preserve"> No new episodes of remission were assumed after 10 years post-surgery.</w:t>
      </w:r>
    </w:p>
    <w:p w:rsidR="004C3DC1" w:rsidRPr="003D77F8" w:rsidRDefault="004C3DC1">
      <w:pPr>
        <w:tabs>
          <w:tab w:val="left" w:pos="7371"/>
        </w:tabs>
        <w:spacing w:after="0" w:line="480" w:lineRule="auto"/>
        <w:jc w:val="both"/>
        <w:rPr>
          <w:rFonts w:ascii="Times New Roman" w:hAnsi="Times New Roman" w:cs="Times New Roman"/>
          <w:sz w:val="24"/>
          <w:szCs w:val="24"/>
          <w:lang w:val="en-US"/>
        </w:rPr>
      </w:pPr>
      <w:r w:rsidRPr="003D77F8">
        <w:rPr>
          <w:rFonts w:ascii="Times New Roman" w:hAnsi="Times New Roman" w:cs="Times New Roman"/>
          <w:sz w:val="24"/>
          <w:szCs w:val="24"/>
          <w:lang w:val="en-US"/>
        </w:rPr>
        <w:t>The risk of short-term (30-day) mortality and serious adverse events in base-case analysis was based on the Michigan Bariatric Surgery Registry data, which allowed analysis of volume-outcome relationships (e.g., lower rate of complications with increased hospital volume</w:t>
      </w:r>
      <w:proofErr w:type="gramStart"/>
      <w:r w:rsidRPr="003D77F8">
        <w:rPr>
          <w:rFonts w:ascii="Times New Roman" w:hAnsi="Times New Roman" w:cs="Times New Roman"/>
          <w:sz w:val="24"/>
          <w:szCs w:val="24"/>
          <w:lang w:val="en-US"/>
        </w:rPr>
        <w:t>)</w:t>
      </w:r>
      <w:r w:rsidRPr="003D77F8">
        <w:rPr>
          <w:rFonts w:ascii="Times New Roman" w:hAnsi="Times New Roman" w:cs="Times New Roman"/>
          <w:noProof/>
          <w:sz w:val="24"/>
          <w:szCs w:val="24"/>
          <w:vertAlign w:val="superscript"/>
          <w:lang w:val="en-US"/>
        </w:rPr>
        <w:t>(</w:t>
      </w:r>
      <w:proofErr w:type="gramEnd"/>
      <w:r w:rsidRPr="003D77F8">
        <w:rPr>
          <w:rFonts w:ascii="Times New Roman" w:hAnsi="Times New Roman" w:cs="Times New Roman"/>
          <w:noProof/>
          <w:sz w:val="24"/>
          <w:szCs w:val="24"/>
          <w:vertAlign w:val="superscript"/>
          <w:lang w:val="en-US"/>
        </w:rPr>
        <w:t>10, 11)</w:t>
      </w:r>
      <w:r w:rsidRPr="003D77F8">
        <w:rPr>
          <w:rFonts w:ascii="Times New Roman" w:hAnsi="Times New Roman" w:cs="Times New Roman"/>
          <w:sz w:val="24"/>
          <w:szCs w:val="24"/>
          <w:lang w:val="en-US"/>
        </w:rPr>
        <w:t xml:space="preserve">. In the scenario analysis, estimates from the Scandinavian Obesity Surgery Registry (SOREG) were </w:t>
      </w:r>
      <w:proofErr w:type="gramStart"/>
      <w:r w:rsidRPr="003D77F8">
        <w:rPr>
          <w:rFonts w:ascii="Times New Roman" w:hAnsi="Times New Roman" w:cs="Times New Roman"/>
          <w:sz w:val="24"/>
          <w:szCs w:val="24"/>
          <w:lang w:val="en-US"/>
        </w:rPr>
        <w:t>used</w:t>
      </w:r>
      <w:r w:rsidRPr="003D77F8">
        <w:rPr>
          <w:rFonts w:ascii="Times New Roman" w:hAnsi="Times New Roman" w:cs="Times New Roman"/>
          <w:noProof/>
          <w:sz w:val="24"/>
          <w:szCs w:val="24"/>
          <w:vertAlign w:val="superscript"/>
          <w:lang w:val="en-US"/>
        </w:rPr>
        <w:t>(</w:t>
      </w:r>
      <w:proofErr w:type="gramEnd"/>
      <w:r w:rsidRPr="003D77F8">
        <w:rPr>
          <w:rFonts w:ascii="Times New Roman" w:hAnsi="Times New Roman" w:cs="Times New Roman"/>
          <w:noProof/>
          <w:sz w:val="24"/>
          <w:szCs w:val="24"/>
          <w:vertAlign w:val="superscript"/>
          <w:lang w:val="en-US"/>
        </w:rPr>
        <w:t>12)</w:t>
      </w:r>
      <w:r w:rsidRPr="003D77F8">
        <w:rPr>
          <w:rFonts w:ascii="Times New Roman" w:hAnsi="Times New Roman" w:cs="Times New Roman"/>
          <w:sz w:val="24"/>
          <w:szCs w:val="24"/>
          <w:lang w:val="en-US"/>
        </w:rPr>
        <w:t xml:space="preserve">. The SOREG 2011 data were also used to estimate the 2-year risk of complications of surgery and the consequences of rapid weight loss (cholecystectomy, abdominal hernia </w:t>
      </w:r>
      <w:r w:rsidRPr="003D77F8">
        <w:rPr>
          <w:rFonts w:ascii="Times New Roman" w:hAnsi="Times New Roman" w:cs="Times New Roman"/>
          <w:sz w:val="24"/>
          <w:szCs w:val="24"/>
          <w:lang w:val="en-US"/>
        </w:rPr>
        <w:lastRenderedPageBreak/>
        <w:t>repair, leakage and abscess, gastric stricture, gastric ulcer)</w:t>
      </w:r>
      <w:r w:rsidRPr="003D77F8">
        <w:rPr>
          <w:rFonts w:ascii="Times New Roman" w:hAnsi="Times New Roman" w:cs="Times New Roman"/>
          <w:noProof/>
          <w:sz w:val="24"/>
          <w:szCs w:val="24"/>
          <w:vertAlign w:val="superscript"/>
          <w:lang w:val="en-US"/>
        </w:rPr>
        <w:t>(12)</w:t>
      </w:r>
      <w:r w:rsidRPr="003D77F8">
        <w:rPr>
          <w:rFonts w:ascii="Times New Roman" w:hAnsi="Times New Roman" w:cs="Times New Roman"/>
          <w:sz w:val="24"/>
          <w:szCs w:val="24"/>
          <w:lang w:val="en-US"/>
        </w:rPr>
        <w:t xml:space="preserve">. Skin surgery due to rapid weight loss was also considered, and data were obtained from SOREG. The rate of conversion surgery was obtained from a controlled study of gastric bypass and adjustable gastric banding over 4.2 and 3.6 years of follow-up, </w:t>
      </w:r>
      <w:proofErr w:type="gramStart"/>
      <w:r w:rsidRPr="003D77F8">
        <w:rPr>
          <w:rFonts w:ascii="Times New Roman" w:hAnsi="Times New Roman" w:cs="Times New Roman"/>
          <w:sz w:val="24"/>
          <w:szCs w:val="24"/>
          <w:lang w:val="en-US"/>
        </w:rPr>
        <w:t>respectively</w:t>
      </w:r>
      <w:r>
        <w:rPr>
          <w:rFonts w:ascii="Times New Roman" w:hAnsi="Times New Roman" w:cs="Times New Roman"/>
          <w:noProof/>
          <w:sz w:val="24"/>
          <w:szCs w:val="24"/>
          <w:vertAlign w:val="superscript"/>
        </w:rPr>
        <w:t>(</w:t>
      </w:r>
      <w:proofErr w:type="gramEnd"/>
      <w:r>
        <w:rPr>
          <w:rFonts w:ascii="Times New Roman" w:hAnsi="Times New Roman" w:cs="Times New Roman"/>
          <w:noProof/>
          <w:sz w:val="24"/>
          <w:szCs w:val="24"/>
          <w:vertAlign w:val="superscript"/>
        </w:rPr>
        <w:t>50)</w:t>
      </w:r>
      <w:r w:rsidRPr="003D77F8">
        <w:rPr>
          <w:rFonts w:ascii="Times New Roman" w:hAnsi="Times New Roman" w:cs="Times New Roman"/>
          <w:sz w:val="24"/>
          <w:szCs w:val="24"/>
          <w:lang w:val="en-US"/>
        </w:rPr>
        <w:t>. The probability of conversion surgery after sleeve gastrectomy was assumed the same as for gastric bypass.</w:t>
      </w:r>
    </w:p>
    <w:p w:rsidR="004C3DC1" w:rsidRPr="002A4881" w:rsidRDefault="004C3DC1" w:rsidP="00D212ED">
      <w:pPr>
        <w:spacing w:after="0" w:line="480" w:lineRule="auto"/>
        <w:ind w:firstLine="720"/>
        <w:jc w:val="both"/>
        <w:rPr>
          <w:rFonts w:ascii="Times New Roman" w:hAnsi="Times New Roman" w:cs="Times New Roman"/>
          <w:sz w:val="24"/>
          <w:szCs w:val="24"/>
          <w:lang w:val="en-US"/>
        </w:rPr>
      </w:pPr>
      <w:r w:rsidRPr="003D77F8">
        <w:rPr>
          <w:rFonts w:ascii="Times New Roman" w:hAnsi="Times New Roman" w:cs="Times New Roman"/>
          <w:sz w:val="24"/>
          <w:szCs w:val="24"/>
          <w:lang w:val="en-US"/>
        </w:rPr>
        <w:t>Gender-specific Swedish life tables provided the mortality rate in the general population. The non-</w:t>
      </w:r>
      <w:proofErr w:type="spellStart"/>
      <w:r w:rsidRPr="003D77F8">
        <w:rPr>
          <w:rFonts w:ascii="Times New Roman" w:hAnsi="Times New Roman" w:cs="Times New Roman"/>
          <w:sz w:val="24"/>
          <w:szCs w:val="24"/>
          <w:lang w:val="en-US"/>
        </w:rPr>
        <w:t>ischaemic</w:t>
      </w:r>
      <w:proofErr w:type="spellEnd"/>
      <w:r w:rsidRPr="003D77F8">
        <w:rPr>
          <w:rFonts w:ascii="Times New Roman" w:hAnsi="Times New Roman" w:cs="Times New Roman"/>
          <w:sz w:val="24"/>
          <w:szCs w:val="24"/>
          <w:lang w:val="en-US"/>
        </w:rPr>
        <w:t xml:space="preserve"> heart disease mortality rate in the general population was calculated by subtracting the mortality due to </w:t>
      </w:r>
      <w:proofErr w:type="spellStart"/>
      <w:r w:rsidRPr="003D77F8">
        <w:rPr>
          <w:rFonts w:ascii="Times New Roman" w:hAnsi="Times New Roman" w:cs="Times New Roman"/>
          <w:sz w:val="24"/>
          <w:szCs w:val="24"/>
          <w:lang w:val="en-US"/>
        </w:rPr>
        <w:t>ischaemic</w:t>
      </w:r>
      <w:proofErr w:type="spellEnd"/>
      <w:r w:rsidRPr="003D77F8">
        <w:rPr>
          <w:rFonts w:ascii="Times New Roman" w:hAnsi="Times New Roman" w:cs="Times New Roman"/>
          <w:sz w:val="24"/>
          <w:szCs w:val="24"/>
          <w:lang w:val="en-US"/>
        </w:rPr>
        <w:t xml:space="preserve"> heart disease (ICD-10 codes I20-I25) from all-cause mortality. Based on data from numerous epidemiological studies, the presence of one cardiovascular disease state or diabetes influences the risk of having associated conditions (e.g., the risk of stroke is higher in patients who have heart failure) and, consequently, mortality.</w:t>
      </w:r>
    </w:p>
    <w:p w:rsidR="004C3DC1" w:rsidRPr="002A4881" w:rsidRDefault="004C3DC1" w:rsidP="00D212ED">
      <w:pPr>
        <w:spacing w:after="0" w:line="480" w:lineRule="auto"/>
        <w:ind w:firstLine="720"/>
        <w:jc w:val="both"/>
        <w:rPr>
          <w:rFonts w:ascii="Times New Roman" w:hAnsi="Times New Roman" w:cs="Times New Roman"/>
          <w:sz w:val="24"/>
          <w:szCs w:val="24"/>
          <w:lang w:val="en-US"/>
        </w:rPr>
      </w:pPr>
      <w:r w:rsidRPr="003D77F8">
        <w:rPr>
          <w:rFonts w:ascii="Times New Roman" w:hAnsi="Times New Roman" w:cs="Times New Roman"/>
          <w:sz w:val="24"/>
          <w:szCs w:val="24"/>
          <w:lang w:val="en-US"/>
        </w:rPr>
        <w:t xml:space="preserve">For non-diabetic patients, changes in SBP were derived from the SOS </w:t>
      </w:r>
      <w:proofErr w:type="gramStart"/>
      <w:r w:rsidRPr="003D77F8">
        <w:rPr>
          <w:rFonts w:ascii="Times New Roman" w:hAnsi="Times New Roman" w:cs="Times New Roman"/>
          <w:sz w:val="24"/>
          <w:szCs w:val="24"/>
          <w:lang w:val="en-US"/>
        </w:rPr>
        <w:t>study</w:t>
      </w:r>
      <w:r w:rsidRPr="003D77F8">
        <w:rPr>
          <w:rFonts w:ascii="Times New Roman" w:hAnsi="Times New Roman" w:cs="Times New Roman"/>
          <w:noProof/>
          <w:sz w:val="24"/>
          <w:szCs w:val="24"/>
          <w:vertAlign w:val="superscript"/>
          <w:lang w:val="en-US"/>
        </w:rPr>
        <w:t>(</w:t>
      </w:r>
      <w:proofErr w:type="gramEnd"/>
      <w:r w:rsidRPr="003D77F8">
        <w:rPr>
          <w:rFonts w:ascii="Times New Roman" w:hAnsi="Times New Roman" w:cs="Times New Roman"/>
          <w:noProof/>
          <w:sz w:val="24"/>
          <w:szCs w:val="24"/>
          <w:vertAlign w:val="superscript"/>
          <w:lang w:val="en-US"/>
        </w:rPr>
        <w:t>9)</w:t>
      </w:r>
      <w:r w:rsidRPr="003D77F8">
        <w:rPr>
          <w:rFonts w:ascii="Times New Roman" w:hAnsi="Times New Roman" w:cs="Times New Roman"/>
          <w:sz w:val="24"/>
          <w:szCs w:val="24"/>
          <w:lang w:val="en-US"/>
        </w:rPr>
        <w:t xml:space="preserve"> while, for diabetic patients, they were derived from the study of Ikramuddin </w:t>
      </w:r>
      <w:r w:rsidRPr="003D77F8">
        <w:rPr>
          <w:rFonts w:ascii="Times New Roman" w:hAnsi="Times New Roman" w:cs="Times New Roman"/>
          <w:i/>
          <w:iCs/>
          <w:sz w:val="24"/>
          <w:szCs w:val="24"/>
          <w:lang w:val="en-US"/>
        </w:rPr>
        <w:t>et al.</w:t>
      </w:r>
      <w:r>
        <w:rPr>
          <w:rFonts w:ascii="Times New Roman" w:hAnsi="Times New Roman" w:cs="Times New Roman"/>
          <w:noProof/>
          <w:sz w:val="24"/>
          <w:szCs w:val="24"/>
          <w:vertAlign w:val="superscript"/>
        </w:rPr>
        <w:t>(62)</w:t>
      </w:r>
      <w:r w:rsidRPr="003D77F8">
        <w:rPr>
          <w:rFonts w:ascii="Times New Roman" w:hAnsi="Times New Roman" w:cs="Times New Roman"/>
          <w:sz w:val="24"/>
          <w:szCs w:val="24"/>
          <w:lang w:val="en-US"/>
        </w:rPr>
        <w:t xml:space="preserve">. Based on the latest follow-up observation available, the level of SBP was assumed stable for the rest of the patient’s life. For the analysis in different cohorts of patients, the BMI change was retrieved from individual </w:t>
      </w:r>
      <w:proofErr w:type="gramStart"/>
      <w:r w:rsidRPr="003D77F8">
        <w:rPr>
          <w:rFonts w:ascii="Times New Roman" w:hAnsi="Times New Roman" w:cs="Times New Roman"/>
          <w:sz w:val="24"/>
          <w:szCs w:val="24"/>
          <w:lang w:val="en-US"/>
        </w:rPr>
        <w:t>studies</w:t>
      </w:r>
      <w:r>
        <w:rPr>
          <w:rFonts w:ascii="Times New Roman" w:hAnsi="Times New Roman" w:cs="Times New Roman"/>
          <w:noProof/>
          <w:sz w:val="24"/>
          <w:szCs w:val="24"/>
          <w:vertAlign w:val="superscript"/>
        </w:rPr>
        <w:t>(</w:t>
      </w:r>
      <w:proofErr w:type="gramEnd"/>
      <w:r>
        <w:rPr>
          <w:rFonts w:ascii="Times New Roman" w:hAnsi="Times New Roman" w:cs="Times New Roman"/>
          <w:noProof/>
          <w:sz w:val="24"/>
          <w:szCs w:val="24"/>
          <w:vertAlign w:val="superscript"/>
        </w:rPr>
        <w:t>50, 63-71)</w:t>
      </w:r>
      <w:r w:rsidRPr="003D77F8">
        <w:rPr>
          <w:rFonts w:ascii="Times New Roman" w:hAnsi="Times New Roman" w:cs="Times New Roman"/>
          <w:sz w:val="24"/>
          <w:szCs w:val="24"/>
          <w:lang w:val="en-US"/>
        </w:rPr>
        <w:t>.</w:t>
      </w:r>
    </w:p>
    <w:p w:rsidR="004C3DC1" w:rsidRPr="003D77F8" w:rsidRDefault="004C3DC1">
      <w:pPr>
        <w:pStyle w:val="NoSpacing"/>
        <w:spacing w:line="480" w:lineRule="auto"/>
        <w:ind w:firstLine="720"/>
        <w:jc w:val="both"/>
        <w:rPr>
          <w:rFonts w:ascii="Times New Roman" w:hAnsi="Times New Roman" w:cs="Times New Roman"/>
          <w:sz w:val="24"/>
          <w:szCs w:val="24"/>
        </w:rPr>
      </w:pPr>
      <w:r w:rsidRPr="003D77F8">
        <w:rPr>
          <w:rFonts w:ascii="Times New Roman" w:hAnsi="Times New Roman" w:cs="Times New Roman"/>
          <w:sz w:val="24"/>
          <w:szCs w:val="24"/>
        </w:rPr>
        <w:t xml:space="preserve">The transformation of transition probabilities into monthly probabilities for different time horizons was performed using a standard </w:t>
      </w:r>
      <w:proofErr w:type="gramStart"/>
      <w:r w:rsidRPr="003D77F8">
        <w:rPr>
          <w:rFonts w:ascii="Times New Roman" w:hAnsi="Times New Roman" w:cs="Times New Roman"/>
          <w:sz w:val="24"/>
          <w:szCs w:val="24"/>
        </w:rPr>
        <w:t>approach</w:t>
      </w:r>
      <w:r>
        <w:rPr>
          <w:rFonts w:ascii="Times New Roman" w:hAnsi="Times New Roman" w:cs="Times New Roman"/>
          <w:noProof/>
          <w:sz w:val="24"/>
          <w:szCs w:val="24"/>
          <w:vertAlign w:val="superscript"/>
        </w:rPr>
        <w:t>(</w:t>
      </w:r>
      <w:proofErr w:type="gramEnd"/>
      <w:r>
        <w:rPr>
          <w:rFonts w:ascii="Times New Roman" w:hAnsi="Times New Roman" w:cs="Times New Roman"/>
          <w:noProof/>
          <w:sz w:val="24"/>
          <w:szCs w:val="24"/>
          <w:vertAlign w:val="superscript"/>
        </w:rPr>
        <w:t>31)</w:t>
      </w:r>
      <w:r w:rsidRPr="003D77F8">
        <w:rPr>
          <w:rFonts w:ascii="Times New Roman" w:hAnsi="Times New Roman" w:cs="Times New Roman"/>
          <w:sz w:val="24"/>
          <w:szCs w:val="24"/>
        </w:rPr>
        <w:t>.</w:t>
      </w:r>
    </w:p>
    <w:p w:rsidR="004C3DC1" w:rsidRPr="003D77F8" w:rsidRDefault="004C3DC1">
      <w:pPr>
        <w:pStyle w:val="NoSpacing"/>
        <w:spacing w:line="480" w:lineRule="auto"/>
        <w:jc w:val="both"/>
        <w:rPr>
          <w:rFonts w:ascii="Times New Roman" w:hAnsi="Times New Roman" w:cs="Times New Roman"/>
          <w:b/>
          <w:bCs/>
          <w:sz w:val="24"/>
          <w:szCs w:val="24"/>
        </w:rPr>
      </w:pPr>
      <w:r w:rsidRPr="003D77F8">
        <w:rPr>
          <w:rFonts w:ascii="Times New Roman" w:hAnsi="Times New Roman" w:cs="Times New Roman"/>
          <w:b/>
          <w:bCs/>
          <w:sz w:val="24"/>
          <w:szCs w:val="24"/>
        </w:rPr>
        <w:t>Resource Utilization and Cost Data</w:t>
      </w:r>
    </w:p>
    <w:p w:rsidR="004C3DC1" w:rsidRPr="002A4881" w:rsidRDefault="004C3DC1" w:rsidP="00D212ED">
      <w:pPr>
        <w:autoSpaceDE w:val="0"/>
        <w:autoSpaceDN w:val="0"/>
        <w:adjustRightInd w:val="0"/>
        <w:spacing w:after="0" w:line="480" w:lineRule="auto"/>
        <w:jc w:val="both"/>
        <w:rPr>
          <w:rFonts w:ascii="Times New Roman" w:hAnsi="Times New Roman" w:cs="Times New Roman"/>
          <w:sz w:val="24"/>
          <w:szCs w:val="24"/>
          <w:lang w:val="en-US"/>
        </w:rPr>
      </w:pPr>
      <w:r w:rsidRPr="003D77F8">
        <w:rPr>
          <w:rFonts w:ascii="Times New Roman" w:hAnsi="Times New Roman" w:cs="Times New Roman"/>
          <w:sz w:val="24"/>
          <w:szCs w:val="24"/>
          <w:lang w:val="en-US"/>
        </w:rPr>
        <w:t xml:space="preserve">The cost of bariatric surgery procedure was set as that of the Swedish national DRG tariff from 2012 (DRG L08E). Cases with serious in-hospital complications were assigned higher DRG tariff (DRG L08C). Post-surgery care was derived from European </w:t>
      </w:r>
      <w:proofErr w:type="gramStart"/>
      <w:r w:rsidRPr="003D77F8">
        <w:rPr>
          <w:rFonts w:ascii="Times New Roman" w:hAnsi="Times New Roman" w:cs="Times New Roman"/>
          <w:sz w:val="24"/>
          <w:szCs w:val="24"/>
          <w:lang w:val="en-US"/>
        </w:rPr>
        <w:t>guidelines</w:t>
      </w:r>
      <w:r>
        <w:rPr>
          <w:rFonts w:ascii="Times New Roman" w:hAnsi="Times New Roman" w:cs="Times New Roman"/>
          <w:noProof/>
          <w:sz w:val="24"/>
          <w:szCs w:val="24"/>
          <w:vertAlign w:val="superscript"/>
        </w:rPr>
        <w:t>(</w:t>
      </w:r>
      <w:proofErr w:type="gramEnd"/>
      <w:r>
        <w:rPr>
          <w:rFonts w:ascii="Times New Roman" w:hAnsi="Times New Roman" w:cs="Times New Roman"/>
          <w:noProof/>
          <w:sz w:val="24"/>
          <w:szCs w:val="24"/>
          <w:vertAlign w:val="superscript"/>
        </w:rPr>
        <w:t>72)</w:t>
      </w:r>
      <w:r w:rsidRPr="003D77F8">
        <w:rPr>
          <w:rFonts w:ascii="Times New Roman" w:hAnsi="Times New Roman" w:cs="Times New Roman"/>
          <w:sz w:val="24"/>
          <w:szCs w:val="24"/>
          <w:lang w:val="en-US"/>
        </w:rPr>
        <w:t xml:space="preserve"> and validated by a clinical expert. It was assumed that surgical candidates who did not undergo surgery </w:t>
      </w:r>
      <w:r w:rsidRPr="003D77F8">
        <w:rPr>
          <w:rFonts w:ascii="Times New Roman" w:hAnsi="Times New Roman" w:cs="Times New Roman"/>
          <w:sz w:val="24"/>
          <w:szCs w:val="24"/>
          <w:lang w:val="en-US"/>
        </w:rPr>
        <w:lastRenderedPageBreak/>
        <w:t xml:space="preserve">required an annual visit to a surgeon in 5% of cases. The unit cost of out-patient nurse and physician visits was obtained from the Västra Götaland Regional Health </w:t>
      </w:r>
      <w:proofErr w:type="gramStart"/>
      <w:r w:rsidRPr="003D77F8">
        <w:rPr>
          <w:rFonts w:ascii="Times New Roman" w:hAnsi="Times New Roman" w:cs="Times New Roman"/>
          <w:sz w:val="24"/>
          <w:szCs w:val="24"/>
          <w:lang w:val="en-US"/>
        </w:rPr>
        <w:t>Authority</w:t>
      </w:r>
      <w:r>
        <w:rPr>
          <w:rFonts w:ascii="Times New Roman" w:hAnsi="Times New Roman" w:cs="Times New Roman"/>
          <w:noProof/>
          <w:sz w:val="24"/>
          <w:szCs w:val="24"/>
          <w:vertAlign w:val="superscript"/>
        </w:rPr>
        <w:t>(</w:t>
      </w:r>
      <w:proofErr w:type="gramEnd"/>
      <w:r>
        <w:rPr>
          <w:rFonts w:ascii="Times New Roman" w:hAnsi="Times New Roman" w:cs="Times New Roman"/>
          <w:noProof/>
          <w:sz w:val="24"/>
          <w:szCs w:val="24"/>
          <w:vertAlign w:val="superscript"/>
        </w:rPr>
        <w:t>73)</w:t>
      </w:r>
      <w:r w:rsidRPr="003D77F8">
        <w:rPr>
          <w:rFonts w:ascii="Times New Roman" w:hAnsi="Times New Roman" w:cs="Times New Roman"/>
          <w:sz w:val="24"/>
          <w:szCs w:val="24"/>
          <w:lang w:val="en-US"/>
        </w:rPr>
        <w:t>.</w:t>
      </w:r>
    </w:p>
    <w:p w:rsidR="004C3DC1" w:rsidRPr="003D77F8" w:rsidRDefault="004C3DC1">
      <w:pPr>
        <w:autoSpaceDE w:val="0"/>
        <w:autoSpaceDN w:val="0"/>
        <w:adjustRightInd w:val="0"/>
        <w:spacing w:after="0" w:line="480" w:lineRule="auto"/>
        <w:ind w:firstLine="851"/>
        <w:jc w:val="both"/>
        <w:rPr>
          <w:rFonts w:ascii="Times New Roman" w:hAnsi="Times New Roman" w:cs="Times New Roman"/>
          <w:sz w:val="24"/>
          <w:szCs w:val="24"/>
          <w:lang w:val="en-US"/>
        </w:rPr>
      </w:pPr>
      <w:r w:rsidRPr="003D77F8">
        <w:rPr>
          <w:rFonts w:ascii="Times New Roman" w:hAnsi="Times New Roman" w:cs="Times New Roman"/>
          <w:sz w:val="24"/>
          <w:szCs w:val="24"/>
          <w:lang w:val="en-US"/>
        </w:rPr>
        <w:t xml:space="preserve">The number of high- (more than 250 cases annually), medium- (between 100 and 250 cases) and low-volume (less than 100 cases) </w:t>
      </w:r>
      <w:proofErr w:type="spellStart"/>
      <w:r w:rsidRPr="003D77F8">
        <w:rPr>
          <w:rFonts w:ascii="Times New Roman" w:hAnsi="Times New Roman" w:cs="Times New Roman"/>
          <w:sz w:val="24"/>
          <w:szCs w:val="24"/>
          <w:lang w:val="en-US"/>
        </w:rPr>
        <w:t>centres</w:t>
      </w:r>
      <w:proofErr w:type="spellEnd"/>
      <w:r w:rsidRPr="003D77F8">
        <w:rPr>
          <w:rFonts w:ascii="Times New Roman" w:hAnsi="Times New Roman" w:cs="Times New Roman"/>
          <w:sz w:val="24"/>
          <w:szCs w:val="24"/>
          <w:lang w:val="en-US"/>
        </w:rPr>
        <w:t xml:space="preserve"> was obtained from the SOREG </w:t>
      </w:r>
      <w:proofErr w:type="gramStart"/>
      <w:r w:rsidRPr="003D77F8">
        <w:rPr>
          <w:rFonts w:ascii="Times New Roman" w:hAnsi="Times New Roman" w:cs="Times New Roman"/>
          <w:sz w:val="24"/>
          <w:szCs w:val="24"/>
          <w:lang w:val="en-US"/>
        </w:rPr>
        <w:t>report</w:t>
      </w:r>
      <w:r w:rsidRPr="003D77F8">
        <w:rPr>
          <w:rFonts w:ascii="Times New Roman" w:hAnsi="Times New Roman" w:cs="Times New Roman"/>
          <w:noProof/>
          <w:sz w:val="24"/>
          <w:szCs w:val="24"/>
          <w:vertAlign w:val="superscript"/>
          <w:lang w:val="en-US"/>
        </w:rPr>
        <w:t>(</w:t>
      </w:r>
      <w:proofErr w:type="gramEnd"/>
      <w:r w:rsidRPr="003D77F8">
        <w:rPr>
          <w:rFonts w:ascii="Times New Roman" w:hAnsi="Times New Roman" w:cs="Times New Roman"/>
          <w:noProof/>
          <w:sz w:val="24"/>
          <w:szCs w:val="24"/>
          <w:vertAlign w:val="superscript"/>
          <w:lang w:val="en-US"/>
        </w:rPr>
        <w:t>12)</w:t>
      </w:r>
      <w:r w:rsidRPr="003D77F8">
        <w:rPr>
          <w:rFonts w:ascii="Times New Roman" w:hAnsi="Times New Roman" w:cs="Times New Roman"/>
          <w:sz w:val="24"/>
          <w:szCs w:val="24"/>
          <w:lang w:val="en-US"/>
        </w:rPr>
        <w:t>.</w:t>
      </w:r>
    </w:p>
    <w:p w:rsidR="004C3DC1" w:rsidRPr="002A4881" w:rsidRDefault="004C3DC1" w:rsidP="00D212ED">
      <w:pPr>
        <w:spacing w:after="0" w:line="480" w:lineRule="auto"/>
        <w:ind w:firstLine="720"/>
        <w:jc w:val="both"/>
        <w:rPr>
          <w:rFonts w:ascii="Times New Roman" w:hAnsi="Times New Roman" w:cs="Times New Roman"/>
          <w:sz w:val="24"/>
          <w:szCs w:val="24"/>
          <w:lang w:val="en-US"/>
        </w:rPr>
      </w:pPr>
      <w:r w:rsidRPr="003D77F8">
        <w:rPr>
          <w:rFonts w:ascii="Times New Roman" w:hAnsi="Times New Roman" w:cs="Times New Roman"/>
          <w:sz w:val="24"/>
          <w:szCs w:val="24"/>
          <w:lang w:val="en-US"/>
        </w:rPr>
        <w:t xml:space="preserve">For indirect costs, the loss of productivity from paid and unpaid work due to acute illness and from early retirement was considered, and based on the available </w:t>
      </w:r>
      <w:proofErr w:type="gramStart"/>
      <w:r w:rsidRPr="003D77F8">
        <w:rPr>
          <w:rFonts w:ascii="Times New Roman" w:hAnsi="Times New Roman" w:cs="Times New Roman"/>
          <w:sz w:val="24"/>
          <w:szCs w:val="24"/>
          <w:lang w:val="en-US"/>
        </w:rPr>
        <w:t>literature</w:t>
      </w:r>
      <w:r>
        <w:rPr>
          <w:rFonts w:ascii="Times New Roman" w:hAnsi="Times New Roman" w:cs="Times New Roman"/>
          <w:noProof/>
          <w:sz w:val="24"/>
          <w:szCs w:val="24"/>
          <w:vertAlign w:val="superscript"/>
        </w:rPr>
        <w:t>(</w:t>
      </w:r>
      <w:proofErr w:type="gramEnd"/>
      <w:r>
        <w:rPr>
          <w:rFonts w:ascii="Times New Roman" w:hAnsi="Times New Roman" w:cs="Times New Roman"/>
          <w:noProof/>
          <w:sz w:val="24"/>
          <w:szCs w:val="24"/>
          <w:vertAlign w:val="superscript"/>
        </w:rPr>
        <w:t>21, 74-76)</w:t>
      </w:r>
      <w:r w:rsidRPr="003D77F8">
        <w:rPr>
          <w:rFonts w:ascii="Times New Roman" w:hAnsi="Times New Roman" w:cs="Times New Roman"/>
          <w:sz w:val="24"/>
          <w:szCs w:val="24"/>
          <w:lang w:val="en-US"/>
        </w:rPr>
        <w:t>. As the data were limited to a 1-year time horizon, they were extrapolated to further years unless the patient reached the age of 65 years, which is the standard retirement age in Sweden.</w:t>
      </w:r>
    </w:p>
    <w:p w:rsidR="004C3DC1" w:rsidRPr="003D77F8" w:rsidRDefault="004C3DC1">
      <w:pPr>
        <w:spacing w:after="0" w:line="480" w:lineRule="auto"/>
        <w:jc w:val="both"/>
        <w:rPr>
          <w:rFonts w:ascii="Times New Roman" w:hAnsi="Times New Roman" w:cs="Times New Roman"/>
          <w:b/>
          <w:bCs/>
          <w:sz w:val="24"/>
          <w:szCs w:val="24"/>
          <w:lang w:val="en-US"/>
        </w:rPr>
      </w:pPr>
      <w:r w:rsidRPr="003D77F8">
        <w:rPr>
          <w:rFonts w:ascii="Times New Roman" w:hAnsi="Times New Roman" w:cs="Times New Roman"/>
          <w:b/>
          <w:bCs/>
          <w:sz w:val="24"/>
          <w:szCs w:val="24"/>
          <w:lang w:val="en-US"/>
        </w:rPr>
        <w:t>Model Validation</w:t>
      </w:r>
    </w:p>
    <w:p w:rsidR="004C3DC1" w:rsidRPr="003D77F8" w:rsidRDefault="004C3DC1">
      <w:pPr>
        <w:spacing w:after="0" w:line="480" w:lineRule="auto"/>
        <w:jc w:val="both"/>
        <w:rPr>
          <w:rFonts w:ascii="Times New Roman" w:hAnsi="Times New Roman" w:cs="Times New Roman"/>
          <w:sz w:val="24"/>
          <w:szCs w:val="24"/>
          <w:lang w:val="en-US"/>
        </w:rPr>
      </w:pPr>
      <w:r w:rsidRPr="003D77F8">
        <w:rPr>
          <w:rFonts w:ascii="Times New Roman" w:hAnsi="Times New Roman" w:cs="Times New Roman"/>
          <w:sz w:val="24"/>
          <w:szCs w:val="24"/>
          <w:lang w:val="en-US"/>
        </w:rPr>
        <w:t>A three-step validation process was employed. First, the face validity of modelling results was assessed. Second, numerous “stress tests” were performed to verify the technical performance of the model (</w:t>
      </w:r>
      <w:r w:rsidRPr="003D77F8">
        <w:rPr>
          <w:rFonts w:ascii="Times New Roman" w:hAnsi="Times New Roman" w:cs="Times New Roman"/>
          <w:i/>
          <w:iCs/>
          <w:sz w:val="24"/>
          <w:szCs w:val="24"/>
          <w:lang w:val="en-US"/>
        </w:rPr>
        <w:t>Table S2</w:t>
      </w:r>
      <w:r w:rsidRPr="003D77F8">
        <w:rPr>
          <w:rFonts w:ascii="Times New Roman" w:hAnsi="Times New Roman" w:cs="Times New Roman"/>
          <w:sz w:val="24"/>
          <w:szCs w:val="24"/>
          <w:lang w:val="en-US"/>
        </w:rPr>
        <w:t>). Third, an external validation of the model was performed using three large epidemiological studies (ASCOT-</w:t>
      </w:r>
      <w:proofErr w:type="gramStart"/>
      <w:r w:rsidRPr="003D77F8">
        <w:rPr>
          <w:rFonts w:ascii="Times New Roman" w:hAnsi="Times New Roman" w:cs="Times New Roman"/>
          <w:sz w:val="24"/>
          <w:szCs w:val="24"/>
          <w:lang w:val="en-US"/>
        </w:rPr>
        <w:t>BPLA</w:t>
      </w:r>
      <w:r>
        <w:rPr>
          <w:rFonts w:ascii="Times New Roman" w:hAnsi="Times New Roman" w:cs="Times New Roman"/>
          <w:noProof/>
          <w:sz w:val="24"/>
          <w:szCs w:val="24"/>
          <w:vertAlign w:val="superscript"/>
          <w:lang w:val="en-US"/>
        </w:rPr>
        <w:t>(</w:t>
      </w:r>
      <w:proofErr w:type="gramEnd"/>
      <w:r>
        <w:rPr>
          <w:rFonts w:ascii="Times New Roman" w:hAnsi="Times New Roman" w:cs="Times New Roman"/>
          <w:noProof/>
          <w:sz w:val="24"/>
          <w:szCs w:val="24"/>
          <w:vertAlign w:val="superscript"/>
          <w:lang w:val="en-US"/>
        </w:rPr>
        <w:t>77)</w:t>
      </w:r>
      <w:r w:rsidRPr="003D77F8">
        <w:rPr>
          <w:rFonts w:ascii="Times New Roman" w:hAnsi="Times New Roman" w:cs="Times New Roman"/>
          <w:sz w:val="24"/>
          <w:szCs w:val="24"/>
          <w:lang w:val="en-US"/>
        </w:rPr>
        <w:t>, AHEAD</w:t>
      </w:r>
      <w:r>
        <w:rPr>
          <w:rFonts w:ascii="Times New Roman" w:hAnsi="Times New Roman" w:cs="Times New Roman"/>
          <w:noProof/>
          <w:sz w:val="24"/>
          <w:szCs w:val="24"/>
          <w:vertAlign w:val="superscript"/>
          <w:lang w:val="en-US"/>
        </w:rPr>
        <w:t>(78)</w:t>
      </w:r>
      <w:r w:rsidRPr="003D77F8">
        <w:rPr>
          <w:rFonts w:ascii="Times New Roman" w:hAnsi="Times New Roman" w:cs="Times New Roman"/>
          <w:sz w:val="24"/>
          <w:szCs w:val="24"/>
          <w:lang w:val="en-US"/>
        </w:rPr>
        <w:t xml:space="preserve"> and ACCORD</w:t>
      </w:r>
      <w:r>
        <w:rPr>
          <w:rFonts w:ascii="Times New Roman" w:hAnsi="Times New Roman" w:cs="Times New Roman"/>
          <w:noProof/>
          <w:sz w:val="24"/>
          <w:szCs w:val="24"/>
          <w:vertAlign w:val="superscript"/>
          <w:lang w:val="en-US"/>
        </w:rPr>
        <w:t>(79)</w:t>
      </w:r>
      <w:r w:rsidRPr="003D77F8">
        <w:rPr>
          <w:rFonts w:ascii="Times New Roman" w:hAnsi="Times New Roman" w:cs="Times New Roman"/>
          <w:sz w:val="24"/>
          <w:szCs w:val="24"/>
          <w:lang w:val="en-US"/>
        </w:rPr>
        <w:t>) and the interventional quality registry SOREG</w:t>
      </w:r>
      <w:r w:rsidRPr="003D77F8">
        <w:rPr>
          <w:rFonts w:ascii="Times New Roman" w:hAnsi="Times New Roman" w:cs="Times New Roman"/>
          <w:noProof/>
          <w:sz w:val="24"/>
          <w:szCs w:val="24"/>
          <w:vertAlign w:val="superscript"/>
          <w:lang w:val="en-US"/>
        </w:rPr>
        <w:t>(12)</w:t>
      </w:r>
      <w:r w:rsidRPr="003D77F8">
        <w:rPr>
          <w:rFonts w:ascii="Times New Roman" w:hAnsi="Times New Roman" w:cs="Times New Roman"/>
          <w:sz w:val="24"/>
          <w:szCs w:val="24"/>
          <w:lang w:val="en-US"/>
        </w:rPr>
        <w:t xml:space="preserve"> (Section S1).</w:t>
      </w:r>
    </w:p>
    <w:p w:rsidR="004C3DC1" w:rsidRPr="003D77F8" w:rsidRDefault="004C3DC1">
      <w:pPr>
        <w:pStyle w:val="NoSpacing"/>
        <w:spacing w:line="480" w:lineRule="auto"/>
        <w:jc w:val="both"/>
        <w:rPr>
          <w:rFonts w:ascii="Times New Roman" w:hAnsi="Times New Roman" w:cs="Times New Roman"/>
          <w:b/>
          <w:bCs/>
          <w:sz w:val="24"/>
          <w:szCs w:val="24"/>
        </w:rPr>
      </w:pPr>
      <w:r w:rsidRPr="003D77F8">
        <w:rPr>
          <w:rFonts w:ascii="Times New Roman" w:hAnsi="Times New Roman" w:cs="Times New Roman"/>
          <w:b/>
          <w:bCs/>
          <w:sz w:val="24"/>
          <w:szCs w:val="24"/>
        </w:rPr>
        <w:t>Sensitivity and Scenario Analysis</w:t>
      </w:r>
    </w:p>
    <w:p w:rsidR="004C3DC1" w:rsidRPr="002A4881" w:rsidRDefault="004C3DC1" w:rsidP="00D212ED">
      <w:pPr>
        <w:spacing w:after="0" w:line="480" w:lineRule="auto"/>
        <w:jc w:val="both"/>
        <w:rPr>
          <w:rFonts w:ascii="Times New Roman" w:hAnsi="Times New Roman" w:cs="Times New Roman"/>
          <w:sz w:val="24"/>
          <w:szCs w:val="24"/>
          <w:lang w:val="en-US"/>
        </w:rPr>
      </w:pPr>
      <w:r w:rsidRPr="002A4881">
        <w:rPr>
          <w:rFonts w:ascii="Times New Roman" w:hAnsi="Times New Roman" w:cs="Times New Roman"/>
          <w:sz w:val="24"/>
          <w:szCs w:val="24"/>
          <w:lang w:val="en-US"/>
        </w:rPr>
        <w:t>In one-way sensitivity analysis, the cost drivers (variables with a major input to the costs) were identified. For deterministic sensitivity analysis, a single cohort of 41-year old non-smoking males with a BMI of 42.8 kg/m</w:t>
      </w:r>
      <w:r w:rsidRPr="003D77F8">
        <w:rPr>
          <w:rFonts w:ascii="Times New Roman" w:hAnsi="Times New Roman" w:cs="Times New Roman"/>
          <w:sz w:val="24"/>
          <w:szCs w:val="24"/>
          <w:vertAlign w:val="superscript"/>
          <w:lang w:val="en-US"/>
        </w:rPr>
        <w:t>2</w:t>
      </w:r>
      <w:r w:rsidRPr="003D77F8">
        <w:rPr>
          <w:rFonts w:ascii="Times New Roman" w:hAnsi="Times New Roman" w:cs="Times New Roman"/>
          <w:sz w:val="24"/>
          <w:szCs w:val="24"/>
          <w:lang w:val="en-US"/>
        </w:rPr>
        <w:t>, a SBP of 140.1 mm Hg and no history of diabetes was used.</w:t>
      </w:r>
    </w:p>
    <w:p w:rsidR="004C3DC1" w:rsidRDefault="004C3DC1" w:rsidP="00D212ED">
      <w:pPr>
        <w:spacing w:line="480" w:lineRule="auto"/>
        <w:rPr>
          <w:rFonts w:ascii="Times New Roman" w:hAnsi="Times New Roman" w:cs="Times New Roman"/>
          <w:sz w:val="24"/>
          <w:szCs w:val="24"/>
          <w:lang w:val="en-US"/>
        </w:rPr>
      </w:pPr>
    </w:p>
    <w:p w:rsidR="004C3DC1" w:rsidRDefault="004C3DC1" w:rsidP="00D212ED">
      <w:pPr>
        <w:spacing w:line="480" w:lineRule="auto"/>
        <w:rPr>
          <w:rFonts w:ascii="Times New Roman" w:hAnsi="Times New Roman" w:cs="Times New Roman"/>
          <w:sz w:val="24"/>
          <w:szCs w:val="24"/>
          <w:lang w:val="en-US"/>
        </w:rPr>
      </w:pPr>
    </w:p>
    <w:p w:rsidR="004C3DC1" w:rsidRDefault="004C3DC1" w:rsidP="00D212ED">
      <w:pPr>
        <w:spacing w:line="480" w:lineRule="auto"/>
        <w:rPr>
          <w:rFonts w:ascii="Times New Roman" w:hAnsi="Times New Roman" w:cs="Times New Roman"/>
          <w:sz w:val="24"/>
          <w:szCs w:val="24"/>
          <w:lang w:val="en-US"/>
        </w:rPr>
      </w:pPr>
    </w:p>
    <w:p w:rsidR="006111A2" w:rsidRDefault="006111A2" w:rsidP="00D212ED">
      <w:pPr>
        <w:spacing w:line="480" w:lineRule="auto"/>
        <w:rPr>
          <w:rFonts w:ascii="Times New Roman" w:hAnsi="Times New Roman" w:cs="Times New Roman"/>
          <w:sz w:val="24"/>
          <w:szCs w:val="24"/>
          <w:lang w:val="en-US"/>
        </w:rPr>
      </w:pPr>
    </w:p>
    <w:p w:rsidR="006111A2" w:rsidRPr="002A4881" w:rsidRDefault="006111A2" w:rsidP="00D212ED">
      <w:pPr>
        <w:spacing w:line="480" w:lineRule="auto"/>
        <w:rPr>
          <w:rFonts w:ascii="Times New Roman" w:hAnsi="Times New Roman" w:cs="Times New Roman"/>
          <w:sz w:val="24"/>
          <w:szCs w:val="24"/>
          <w:lang w:val="en-US"/>
        </w:rPr>
      </w:pPr>
    </w:p>
    <w:p w:rsidR="004C3DC1" w:rsidRDefault="004C3DC1" w:rsidP="00D212ED">
      <w:pPr>
        <w:rPr>
          <w:rFonts w:ascii="Times New Roman" w:hAnsi="Times New Roman" w:cs="Times New Roman"/>
          <w:lang w:val="en-US"/>
        </w:rPr>
      </w:pPr>
    </w:p>
    <w:p w:rsidR="004C3DC1" w:rsidRPr="00DC1CA6" w:rsidRDefault="004C3DC1" w:rsidP="00D212ED">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S1 </w:t>
      </w:r>
      <w:r w:rsidRPr="00AF32D6">
        <w:rPr>
          <w:rFonts w:ascii="Times New Roman" w:hAnsi="Times New Roman" w:cs="Times New Roman"/>
          <w:sz w:val="24"/>
          <w:szCs w:val="24"/>
        </w:rPr>
        <w:t xml:space="preserve">Additional </w:t>
      </w:r>
      <w:r w:rsidRPr="008B45F2">
        <w:rPr>
          <w:rFonts w:ascii="Times New Roman" w:hAnsi="Times New Roman" w:cs="Times New Roman"/>
          <w:lang w:val="en-US"/>
        </w:rPr>
        <w:t>clinical, cost and utility inputs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2"/>
        <w:gridCol w:w="1203"/>
        <w:gridCol w:w="1276"/>
        <w:gridCol w:w="2228"/>
        <w:gridCol w:w="8"/>
        <w:gridCol w:w="2023"/>
      </w:tblGrid>
      <w:tr w:rsidR="004C3DC1" w:rsidRPr="00424215">
        <w:trPr>
          <w:cantSplit/>
          <w:tblHeader/>
        </w:trPr>
        <w:tc>
          <w:tcPr>
            <w:tcW w:w="2322"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Parameter</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Value</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Range</w:t>
            </w:r>
          </w:p>
        </w:tc>
        <w:tc>
          <w:tcPr>
            <w:tcW w:w="2237" w:type="dxa"/>
            <w:gridSpan w:val="2"/>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Distribution for probabilistic sensitivity analysis</w:t>
            </w:r>
          </w:p>
        </w:tc>
        <w:tc>
          <w:tcPr>
            <w:tcW w:w="2024"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Source</w:t>
            </w:r>
          </w:p>
        </w:tc>
      </w:tr>
      <w:tr w:rsidR="004C3DC1" w:rsidRPr="00424215">
        <w:trPr>
          <w:cantSplit/>
        </w:trPr>
        <w:tc>
          <w:tcPr>
            <w:tcW w:w="9062" w:type="dxa"/>
            <w:gridSpan w:val="6"/>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Absolute BMI reduction from individual studies (for single cohort analysis)</w:t>
            </w:r>
          </w:p>
        </w:tc>
      </w:tr>
      <w:tr w:rsidR="004C3DC1" w:rsidRPr="00424215">
        <w:trPr>
          <w:cantSplit/>
        </w:trPr>
        <w:tc>
          <w:tcPr>
            <w:tcW w:w="2322" w:type="dxa"/>
            <w:vAlign w:val="center"/>
          </w:tcPr>
          <w:p w:rsidR="004C3DC1" w:rsidRPr="00424215" w:rsidRDefault="004C3DC1">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GBP, moderately obese with diabetes, 1-year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9.1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1.3-27.1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(SD=1.6)</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Ikramuddin 2013 </w:t>
            </w:r>
            <w:r>
              <w:rPr>
                <w:rFonts w:ascii="Times New Roman" w:hAnsi="Times New Roman" w:cs="Times New Roman"/>
                <w:noProof/>
                <w:sz w:val="20"/>
                <w:szCs w:val="20"/>
              </w:rPr>
              <w:t>(63)</w:t>
            </w:r>
          </w:p>
        </w:tc>
      </w:tr>
      <w:tr w:rsidR="004C3DC1" w:rsidRPr="00424215">
        <w:trPr>
          <w:cantSplit/>
        </w:trPr>
        <w:tc>
          <w:tcPr>
            <w:tcW w:w="2322" w:type="dxa"/>
            <w:vAlign w:val="center"/>
          </w:tcPr>
          <w:p w:rsidR="004C3DC1" w:rsidRPr="00424215" w:rsidRDefault="004C3DC1">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GBP, severely obese with diabetes, 1-year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10.2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2.1-28.9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(SD=1.8)</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Schauer 2012 </w:t>
            </w:r>
            <w:r>
              <w:rPr>
                <w:rFonts w:ascii="Times New Roman" w:hAnsi="Times New Roman" w:cs="Times New Roman"/>
                <w:noProof/>
                <w:sz w:val="20"/>
                <w:szCs w:val="20"/>
              </w:rPr>
              <w:t>(64)</w:t>
            </w:r>
          </w:p>
        </w:tc>
      </w:tr>
      <w:tr w:rsidR="004C3DC1" w:rsidRPr="00424215">
        <w:trPr>
          <w:cantSplit/>
        </w:trPr>
        <w:tc>
          <w:tcPr>
            <w:tcW w:w="2322" w:type="dxa"/>
            <w:vAlign w:val="center"/>
          </w:tcPr>
          <w:p w:rsidR="004C3DC1" w:rsidRPr="00424215" w:rsidRDefault="004C3DC1">
            <w:pPr>
              <w:pStyle w:val="NoSpacing"/>
              <w:rPr>
                <w:rFonts w:ascii="Times New Roman" w:hAnsi="Times New Roman" w:cs="Times New Roman"/>
                <w:sz w:val="20"/>
                <w:szCs w:val="20"/>
              </w:rPr>
            </w:pPr>
            <w:r w:rsidRPr="00424215">
              <w:rPr>
                <w:rFonts w:ascii="Times New Roman" w:hAnsi="Times New Roman" w:cs="Times New Roman"/>
                <w:sz w:val="20"/>
                <w:szCs w:val="20"/>
              </w:rPr>
              <w:t>GBP, morbidly obese, 1-year, best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15.9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5.5-38.0</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(SD=2.8)</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Nguyen 2009 </w:t>
            </w:r>
            <w:r>
              <w:rPr>
                <w:rFonts w:ascii="Times New Roman" w:hAnsi="Times New Roman" w:cs="Times New Roman"/>
                <w:noProof/>
                <w:sz w:val="20"/>
                <w:szCs w:val="20"/>
              </w:rPr>
              <w:t>(50)</w:t>
            </w:r>
          </w:p>
        </w:tc>
      </w:tr>
      <w:tr w:rsidR="004C3DC1" w:rsidRPr="00424215">
        <w:trPr>
          <w:cantSplit/>
        </w:trPr>
        <w:tc>
          <w:tcPr>
            <w:tcW w:w="2322" w:type="dxa"/>
            <w:vAlign w:val="center"/>
          </w:tcPr>
          <w:p w:rsidR="004C3DC1" w:rsidRPr="00424215" w:rsidRDefault="004C3DC1">
            <w:pPr>
              <w:pStyle w:val="NoSpacing"/>
              <w:rPr>
                <w:rFonts w:ascii="Times New Roman" w:hAnsi="Times New Roman" w:cs="Times New Roman"/>
                <w:sz w:val="20"/>
                <w:szCs w:val="20"/>
              </w:rPr>
            </w:pPr>
            <w:r w:rsidRPr="00424215">
              <w:rPr>
                <w:rFonts w:ascii="Times New Roman" w:hAnsi="Times New Roman" w:cs="Times New Roman"/>
                <w:sz w:val="20"/>
                <w:szCs w:val="20"/>
              </w:rPr>
              <w:t>GBP, morbidly obese, 1-year, worst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8.4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0-33.1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(SD=1.5)</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Angrisani 2007 </w:t>
            </w:r>
            <w:r>
              <w:rPr>
                <w:rFonts w:ascii="Times New Roman" w:hAnsi="Times New Roman" w:cs="Times New Roman"/>
                <w:noProof/>
                <w:sz w:val="20"/>
                <w:szCs w:val="20"/>
              </w:rPr>
              <w:t>(65)</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GBP, morbidly obese, 2-year absolute BMI reduction, best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16.9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7.7-38.3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(SD=3.0)</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Nguyen 2009 </w:t>
            </w:r>
            <w:r>
              <w:rPr>
                <w:rFonts w:ascii="Times New Roman" w:hAnsi="Times New Roman" w:cs="Times New Roman"/>
                <w:noProof/>
                <w:sz w:val="20"/>
                <w:szCs w:val="20"/>
              </w:rPr>
              <w:t>(50)</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GBP, morbidly obese, 2-year, worst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10.7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0.8-33.7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(SD=3.0)</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Stoeckli 2004 </w:t>
            </w:r>
            <w:r>
              <w:rPr>
                <w:rFonts w:ascii="Times New Roman" w:hAnsi="Times New Roman" w:cs="Times New Roman"/>
                <w:noProof/>
                <w:sz w:val="20"/>
                <w:szCs w:val="20"/>
              </w:rPr>
              <w:t>(66)</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GBP, morbidly obese, 3-year, best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16.7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7.4-46.6</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(SD=3.0)</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Nguyen 2009 </w:t>
            </w:r>
            <w:r>
              <w:rPr>
                <w:rFonts w:ascii="Times New Roman" w:hAnsi="Times New Roman" w:cs="Times New Roman"/>
                <w:noProof/>
                <w:sz w:val="20"/>
                <w:szCs w:val="20"/>
              </w:rPr>
              <w:t>(50)</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GBP, morbidly obese, 3-year, worst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14.7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5.9-35.0</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(SD=2.6)</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Angrisani 2007 </w:t>
            </w:r>
            <w:r>
              <w:rPr>
                <w:rFonts w:ascii="Times New Roman" w:hAnsi="Times New Roman" w:cs="Times New Roman"/>
                <w:noProof/>
                <w:sz w:val="20"/>
                <w:szCs w:val="20"/>
              </w:rPr>
              <w:t>(65)</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GBP, morbidly obese, 4-year</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7.8-38.3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(SD=3.0)</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Nguyen 2009 </w:t>
            </w:r>
            <w:r>
              <w:rPr>
                <w:rFonts w:ascii="Times New Roman" w:hAnsi="Times New Roman" w:cs="Times New Roman"/>
                <w:noProof/>
                <w:sz w:val="20"/>
                <w:szCs w:val="20"/>
              </w:rPr>
              <w:t>(50)</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GBP, morbidly obese, 5-year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5.0-34.8</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(SD=2.5)</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Angrisani 2007 </w:t>
            </w:r>
            <w:r>
              <w:rPr>
                <w:rFonts w:ascii="Times New Roman" w:hAnsi="Times New Roman" w:cs="Times New Roman"/>
                <w:noProof/>
                <w:sz w:val="20"/>
                <w:szCs w:val="20"/>
              </w:rPr>
              <w:t>(65)</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GBP, super obese, 1-year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18.5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6.2-47.2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(SD=3.3)</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Bessler 2007 </w:t>
            </w:r>
            <w:r>
              <w:rPr>
                <w:rFonts w:ascii="Times New Roman" w:hAnsi="Times New Roman" w:cs="Times New Roman"/>
                <w:noProof/>
                <w:sz w:val="20"/>
                <w:szCs w:val="20"/>
              </w:rPr>
              <w:t>(67)</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GBP, super obese, 2-year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10.7-48.2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(SD=3.9)</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SG, severely obese with diabetes, 1-year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0.9-28.1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(SD=1.6)</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Schauer 2012 </w:t>
            </w:r>
            <w:r>
              <w:rPr>
                <w:rFonts w:ascii="Times New Roman" w:hAnsi="Times New Roman" w:cs="Times New Roman"/>
                <w:noProof/>
                <w:sz w:val="20"/>
                <w:szCs w:val="20"/>
              </w:rPr>
              <w:t>(64)</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SG, morbidly obese, 1-year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17.7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9.0-37.9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(SD=3.1)</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Karamanakos 2008 </w:t>
            </w:r>
            <w:r>
              <w:rPr>
                <w:rFonts w:ascii="Times New Roman" w:hAnsi="Times New Roman" w:cs="Times New Roman"/>
                <w:noProof/>
                <w:sz w:val="20"/>
                <w:szCs w:val="20"/>
              </w:rPr>
              <w:t>(68)</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GB, severely obese with diabetes, 1-year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3.7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0-27.0</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(SD=0.6)</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Dixon 2008 </w:t>
            </w:r>
            <w:r>
              <w:rPr>
                <w:rFonts w:ascii="Times New Roman" w:hAnsi="Times New Roman" w:cs="Times New Roman"/>
                <w:noProof/>
                <w:sz w:val="20"/>
                <w:szCs w:val="20"/>
              </w:rPr>
              <w:t>(69)</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GB, severely obese with diabetes, 2-year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7.5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0-28.1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(SD=1.3)</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 morbidly obese, 1-year, best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11.7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1.2-36.2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(SD=2.1)</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Pr>
                <w:rFonts w:ascii="Times New Roman" w:hAnsi="Times New Roman" w:cs="Times New Roman"/>
                <w:sz w:val="20"/>
                <w:szCs w:val="20"/>
              </w:rPr>
              <w:t xml:space="preserve">Van Dielen 2005 </w:t>
            </w:r>
            <w:r>
              <w:rPr>
                <w:rFonts w:ascii="Times New Roman" w:hAnsi="Times New Roman" w:cs="Times New Roman"/>
                <w:noProof/>
                <w:sz w:val="20"/>
                <w:szCs w:val="20"/>
              </w:rPr>
              <w:t>(70)</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 morbidly obese, 1-year, worst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4.7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0-31.7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(SD=0.8)</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Angrisani 2007 </w:t>
            </w:r>
            <w:r>
              <w:rPr>
                <w:rFonts w:ascii="Times New Roman" w:hAnsi="Times New Roman" w:cs="Times New Roman"/>
                <w:noProof/>
                <w:sz w:val="20"/>
                <w:szCs w:val="20"/>
              </w:rPr>
              <w:t>(65)</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 morbidly obese, 2-year, best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12.1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1.7-36.3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(SD=2.1)</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Van Dielen 2005 </w:t>
            </w:r>
            <w:r>
              <w:rPr>
                <w:rFonts w:ascii="Times New Roman" w:hAnsi="Times New Roman" w:cs="Times New Roman"/>
                <w:noProof/>
                <w:sz w:val="20"/>
                <w:szCs w:val="20"/>
              </w:rPr>
              <w:t>(70)</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 morbidly obese, 2-year, worst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8.5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0-31.7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(SD=1.5)</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Stoeckli 2004 </w:t>
            </w:r>
            <w:r>
              <w:rPr>
                <w:rFonts w:ascii="Times New Roman" w:hAnsi="Times New Roman" w:cs="Times New Roman"/>
                <w:noProof/>
                <w:sz w:val="20"/>
                <w:szCs w:val="20"/>
              </w:rPr>
              <w:t>(66)</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 morbidly obese, 3-year, best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11.6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0-38.9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(SD=2.0)</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Mathus Vliegen 2007 </w:t>
            </w:r>
            <w:r>
              <w:rPr>
                <w:rFonts w:ascii="Times New Roman" w:hAnsi="Times New Roman" w:cs="Times New Roman"/>
                <w:noProof/>
                <w:sz w:val="20"/>
                <w:szCs w:val="20"/>
              </w:rPr>
              <w:t>(71)</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 morbidly obese, 3-year, worst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8.5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0-32.7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(SD=1.5)</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Angrisani 2007 </w:t>
            </w:r>
            <w:r>
              <w:rPr>
                <w:rFonts w:ascii="Times New Roman" w:hAnsi="Times New Roman" w:cs="Times New Roman"/>
                <w:noProof/>
                <w:sz w:val="20"/>
                <w:szCs w:val="20"/>
              </w:rPr>
              <w:t>(65)</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 morbidly obese, 4-year, best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11.5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0-38.9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(SD=2.0)</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Mathus Vliegen 2007 </w:t>
            </w:r>
            <w:r>
              <w:rPr>
                <w:rFonts w:ascii="Times New Roman" w:hAnsi="Times New Roman" w:cs="Times New Roman"/>
                <w:noProof/>
                <w:sz w:val="20"/>
                <w:szCs w:val="20"/>
              </w:rPr>
              <w:t>(71)</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 morbidly obese, 4-year, worst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8.15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0-31.8</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(SD=1.4)</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Angrisani 2007 </w:t>
            </w:r>
            <w:r>
              <w:rPr>
                <w:rFonts w:ascii="Times New Roman" w:hAnsi="Times New Roman" w:cs="Times New Roman"/>
                <w:noProof/>
                <w:sz w:val="20"/>
                <w:szCs w:val="20"/>
              </w:rPr>
              <w:t>(65)</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 morbidly obese, 5-year, best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7.3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0-38.9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(SD=1.3)</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Mathus Vliegen 2007 </w:t>
            </w:r>
            <w:r>
              <w:rPr>
                <w:rFonts w:ascii="Times New Roman" w:hAnsi="Times New Roman" w:cs="Times New Roman"/>
                <w:noProof/>
                <w:sz w:val="20"/>
                <w:szCs w:val="20"/>
              </w:rPr>
              <w:t>(71)</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 morbidly obese, 5-year, worst case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8.5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0-32.9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(SD=1.5)</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Angrisani 2007 </w:t>
            </w:r>
            <w:r>
              <w:rPr>
                <w:rFonts w:ascii="Times New Roman" w:hAnsi="Times New Roman" w:cs="Times New Roman"/>
                <w:sz w:val="20"/>
                <w:szCs w:val="20"/>
              </w:rPr>
              <w:t xml:space="preserve"> </w:t>
            </w:r>
            <w:r>
              <w:rPr>
                <w:rFonts w:ascii="Times New Roman" w:hAnsi="Times New Roman" w:cs="Times New Roman"/>
                <w:noProof/>
                <w:sz w:val="20"/>
                <w:szCs w:val="20"/>
              </w:rPr>
              <w:t>(65)</w:t>
            </w:r>
          </w:p>
        </w:tc>
      </w:tr>
      <w:tr w:rsidR="004C3DC1" w:rsidRPr="00424215">
        <w:trPr>
          <w:cantSplit/>
        </w:trPr>
        <w:tc>
          <w:tcPr>
            <w:tcW w:w="9062" w:type="dxa"/>
            <w:gridSpan w:val="6"/>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BMI reduction from Scandinavian Obesity Surgery Registry</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lastRenderedPageBreak/>
              <w:t>GBP, 1-year, absolute BMI reduction, males, revision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7.9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5.9-25.9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(SD=1.4)</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SOREG 2011 </w:t>
            </w:r>
            <w:r>
              <w:rPr>
                <w:rFonts w:ascii="Times New Roman" w:hAnsi="Times New Roman" w:cs="Times New Roman"/>
                <w:noProof/>
                <w:sz w:val="20"/>
                <w:szCs w:val="20"/>
              </w:rPr>
              <w:t>(12)</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GBP, 2-year, absolute BMI reduction, males, revision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7.2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5.4-23.6</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(SD=1.2)</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GBP, 1-year, absolute BMI reduction, females, revision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8.8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6.7-29.1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(SD=1.5)</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GBP, 2-year, absolute BMI reduction, females, revision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8.6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6.5-28.4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(SD=1.5)</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9062" w:type="dxa"/>
            <w:gridSpan w:val="6"/>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 xml:space="preserve">BMI reduction from network meta-analysis </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GBP, network meta-analysis, 1-year, BMI absolute reduction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9.0</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2.7-11.7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(SD=1.9)</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Padwal 2011 </w:t>
            </w:r>
            <w:r>
              <w:rPr>
                <w:rFonts w:ascii="Times New Roman" w:hAnsi="Times New Roman" w:cs="Times New Roman"/>
                <w:noProof/>
                <w:sz w:val="20"/>
                <w:szCs w:val="20"/>
              </w:rPr>
              <w:t>(44)</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SG, network meta-analysis, 1-year, BMI absolute reduction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10.1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3.0-13.1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(SD=2.5)</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GB, network meta-analysis, 1-year, BMI absolute reduction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0.7-3.1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Normal (SD=2.1)</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9062" w:type="dxa"/>
            <w:gridSpan w:val="6"/>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Probability of 30-day mortality and serious complications</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Mortality  &lt;100 cases, GBP</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0.01232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Michigan Bariatric Surgery Registry </w:t>
            </w:r>
            <w:r>
              <w:rPr>
                <w:rFonts w:ascii="Times New Roman" w:hAnsi="Times New Roman" w:cs="Times New Roman"/>
                <w:noProof/>
                <w:sz w:val="20"/>
                <w:szCs w:val="20"/>
              </w:rPr>
              <w:t>(10, 11)</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Mortality &lt;100 cases, SG</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0.00748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Mortality &lt;100 cases, GB</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0.00286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Mortality  &gt; 100 and &lt; 249 cases, GBP</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0.00814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Mortality  &gt; 100 and  &lt; 249 cases, SG</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0.00484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Mortality  &gt; 100 and &lt; 249 cases, GB</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0.00176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Mortality  &gt; 250, GBP</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0.00682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Mortality  &gt; 250, SG</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0.00418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Mortality &gt; 250, GB</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0.001672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Overall serious complications   &lt;100 cases, GBP</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0.04368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Overall serious complications  &lt;100 cases, SG</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0.02652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Overall serious complications  &lt;100 cases, GB</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0.01014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Overall serious complications   &gt; 100 and &lt; 249 cases, GBP</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0.02886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Overall serious complications   &gt; 100 and &lt; 249 cases, SG</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0.01716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Overall serious complications   &gt; 100 and &lt; 249 cases, GB</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0.00624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lastRenderedPageBreak/>
              <w:t>Overall serious complications   &gt; 250, GBP</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0.02418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Overall serious complications   &gt; 250, SG</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0.01482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Overall serious complications  &gt; 250, GB</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0.005928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30-day mortality</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0.00024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0.000072-0.00041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 β=4029)</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SOREG 2011 </w:t>
            </w:r>
            <w:r>
              <w:rPr>
                <w:rFonts w:ascii="Times New Roman" w:hAnsi="Times New Roman" w:cs="Times New Roman"/>
                <w:noProof/>
                <w:sz w:val="20"/>
                <w:szCs w:val="20"/>
              </w:rPr>
              <w:t>(12)</w:t>
            </w:r>
          </w:p>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30-day serious complications with reoperations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0.0637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0.019-0.11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(α=257; β=3773)</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9062" w:type="dxa"/>
            <w:gridSpan w:val="6"/>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Annual probability of long-term serious adverse events</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Cholecystectomy, 1-year, GBP, 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0.0021-0.0119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(α=23; β=3217)</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highlight w:val="yellow"/>
              </w:rPr>
            </w:pPr>
            <w:r w:rsidRPr="00424215">
              <w:rPr>
                <w:rFonts w:ascii="Times New Roman" w:hAnsi="Times New Roman" w:cs="Times New Roman"/>
                <w:sz w:val="20"/>
                <w:szCs w:val="20"/>
              </w:rPr>
              <w:t xml:space="preserve">SOREG 2011 </w:t>
            </w:r>
            <w:r>
              <w:rPr>
                <w:rFonts w:ascii="Times New Roman" w:hAnsi="Times New Roman" w:cs="Times New Roman"/>
                <w:noProof/>
                <w:sz w:val="20"/>
                <w:szCs w:val="20"/>
              </w:rPr>
              <w:t>(12)</w:t>
            </w:r>
          </w:p>
          <w:p w:rsidR="004C3DC1" w:rsidRPr="00424215" w:rsidRDefault="004C3DC1" w:rsidP="00D212ED">
            <w:pPr>
              <w:pStyle w:val="NoSpacing"/>
              <w:rPr>
                <w:rFonts w:ascii="Times New Roman" w:hAnsi="Times New Roman" w:cs="Times New Roman"/>
                <w:sz w:val="20"/>
                <w:szCs w:val="20"/>
                <w:highlight w:val="yellow"/>
              </w:rPr>
            </w:pPr>
          </w:p>
          <w:p w:rsidR="004C3DC1" w:rsidRPr="00424215" w:rsidRDefault="004C3DC1" w:rsidP="00D212ED">
            <w:pPr>
              <w:pStyle w:val="NoSpacing"/>
              <w:rPr>
                <w:rFonts w:ascii="Times New Roman" w:hAnsi="Times New Roman" w:cs="Times New Roman"/>
                <w:sz w:val="20"/>
                <w:szCs w:val="20"/>
                <w:highlight w:val="yellow"/>
              </w:rPr>
            </w:pPr>
          </w:p>
          <w:p w:rsidR="004C3DC1" w:rsidRPr="00424215" w:rsidRDefault="004C3DC1" w:rsidP="00D212ED">
            <w:pPr>
              <w:pStyle w:val="NoSpacing"/>
              <w:rPr>
                <w:rFonts w:ascii="Times New Roman" w:hAnsi="Times New Roman" w:cs="Times New Roman"/>
                <w:sz w:val="20"/>
                <w:szCs w:val="20"/>
                <w:highlight w:val="yellow"/>
              </w:rPr>
            </w:pPr>
          </w:p>
          <w:p w:rsidR="004C3DC1" w:rsidRPr="00424215" w:rsidRDefault="004C3DC1" w:rsidP="00D212ED">
            <w:pPr>
              <w:pStyle w:val="NoSpacing"/>
              <w:rPr>
                <w:rFonts w:ascii="Times New Roman" w:hAnsi="Times New Roman" w:cs="Times New Roman"/>
                <w:sz w:val="20"/>
                <w:szCs w:val="20"/>
                <w:highlight w:val="yellow"/>
              </w:rPr>
            </w:pPr>
          </w:p>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Cholecystectomy, 1-year, GBP, females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0.0054-0.0306</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(α=188; β=10266)</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Cholecystectomy, 1-year, SG</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(α=0; β=46)</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Cholecystectomy, 1-year, GB</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0.003-0.017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(α=2; β=191)</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Cholecystectomy, 2-years, GBP, 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0.003-0.017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(α=44; β=4381)</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Cholecystectomy, 2-years, GBP, females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0.022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0.0066-0.0374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(α=29; β=1311)</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Cholecystectomy, 2-years, SG</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(α=0; β=16)</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Cholecystectomy, 2-years, GB</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(α=0; β=121)</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Abdominal wall hernia operations, 1-year, GBP, 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0.0024-0.0136</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(α=28; β=3423)</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Abdominal wall hernia operations, 1-year, GBP, females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0.0027-0.0153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(α=100; β=10955)</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Abdominal wall hernia operations, 1-year, SG</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0.0057-0.0323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 β=51)</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Abdominal wall hernia operations, 1-year, GB</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0.0015-0.0085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 β=197)</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Abdominal wall hernia operations, 2-year, GBP, 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0.0039-0.0221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(α=19; β=1453)</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Abdominal wall hernia operations, 2-year, GBP, females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0.0036-0.0204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(α=58; β=4733)</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Abdominal wall hernia operations, 2-year, SG</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(α=0; β=19)</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Abdominal wall hernia operations, 2-year, GB</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0.031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0.0093-0.0527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(α=4; β=127)</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Banding operations, 1-year,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0.036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0.0108-0.0612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(α=7; β=191)</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Banding operations , 2-year,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0.021-0.119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(α=9; β=122)</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Plastic operations, 1-year, GBP, 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0.0003-0.0017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(α=3; β=3237)</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lastRenderedPageBreak/>
              <w:t>Plastic operations, 1-year, GBP, females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0.0015-0.0085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(α=52; β=10454)</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Plastic operations, 1-year, SG</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(α=0; β=46)</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Plastic operations, 1-year, GB</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(α=0; β=193)</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Plastic operations, 2-year, GBP, 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0.021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0.0063-0.0357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(α=28; β=1312)</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Plastic operations, 2-year, GBP, females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0.059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0.0177-0.1003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(α=261; β=4164)</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Plastic operations, 2-year, SG</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0.063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0.0189-0.1071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 β=15)</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Plastic operations, 2-year, GB</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0.0024-0.0136</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 β=120)</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Leakage and abscess, 1-year, 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0.0015-0.0085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Leakage and abscess, 1-year, female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0.0006-0.0034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Leakage and abscess, 2-year, 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0.0003-0.0017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Leakage and abscess, 2-year, female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0.0003-0.0017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Obstruction, 1-year, 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0.0057-0.032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Obstruction, 1-year, female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0.0054-0.03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Obstruction, 2-year, 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0.021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0.0063-0.036</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Obstruction, 2-year, female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0.009-0.051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Stricture, 1-year, 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0.0009-0.0051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Stricture, 1-year, female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0.0006-0.0034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Stricture, 2-year, 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0.0006-0.0034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Stricture, 2-year, female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0.0003-0.0017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Gastric ulcer, 1-year, 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0.0048-0.027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Gastric ulcer, 1-year, female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0.0033-0.018</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Gastric ulcer , 2-year, 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0.0039-0.022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Gastric ulcer , 2-year, female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0.0027-0.015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highlight w:val="yellow"/>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Cholecystectomy 1-year, revision surgery</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0.0042-0.0238</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(α=10; β=688)</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Cholecystectomy 2-year, revision surgery</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0.0021-0.0119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(α=3; β=408)</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Hernia operations 1-year, revision surgery</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0.056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0.0168-0.095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(α=42; β=700)</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Hernia operations 2-year, revision surgery</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0.043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0.0129-0.073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(α=19; β=424)</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Other complications  1-year, revision surgery</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0.074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0.0222-0.12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(α=55; β=687)</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lastRenderedPageBreak/>
              <w:t>Other complications 2-year, revision surgery</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0.055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0.0165-0.093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(α=24; β=419)</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Plastic operations 1-year, revision surgery</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0.0039-0.022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(α=9; β=689)</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Height w:val="20"/>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Conversion from GBP or SG (4.2-year follow-up)</w:t>
            </w:r>
          </w:p>
        </w:tc>
        <w:tc>
          <w:tcPr>
            <w:tcW w:w="1203" w:type="dxa"/>
            <w:vAlign w:val="center"/>
          </w:tcPr>
          <w:p w:rsidR="004C3DC1" w:rsidRPr="00424215" w:rsidRDefault="004C3DC1">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0.009</w:t>
            </w:r>
          </w:p>
        </w:tc>
        <w:tc>
          <w:tcPr>
            <w:tcW w:w="1276" w:type="dxa"/>
            <w:vAlign w:val="center"/>
          </w:tcPr>
          <w:p w:rsidR="004C3DC1" w:rsidRPr="00424215" w:rsidRDefault="004C3DC1" w:rsidP="00D212ED">
            <w:pPr>
              <w:jc w:val="center"/>
              <w:rPr>
                <w:rFonts w:ascii="Times New Roman" w:hAnsi="Times New Roman" w:cs="Times New Roman"/>
                <w:sz w:val="20"/>
                <w:szCs w:val="20"/>
              </w:rPr>
            </w:pPr>
            <w:r w:rsidRPr="00424215">
              <w:rPr>
                <w:rFonts w:ascii="Times New Roman" w:hAnsi="Times New Roman" w:cs="Times New Roman"/>
                <w:sz w:val="20"/>
                <w:szCs w:val="20"/>
              </w:rPr>
              <w:t>0.0027-0.0153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 β=110)</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Nguyen 2009 </w:t>
            </w:r>
            <w:r>
              <w:rPr>
                <w:rFonts w:ascii="Times New Roman" w:hAnsi="Times New Roman" w:cs="Times New Roman"/>
                <w:noProof/>
                <w:sz w:val="20"/>
                <w:szCs w:val="20"/>
              </w:rPr>
              <w:t>(50)</w:t>
            </w:r>
          </w:p>
        </w:tc>
      </w:tr>
      <w:tr w:rsidR="004C3DC1" w:rsidRPr="00424215">
        <w:trPr>
          <w:cantSplit/>
          <w:trHeight w:val="20"/>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Conversion from GB (3.6-year follow-up)</w:t>
            </w:r>
          </w:p>
        </w:tc>
        <w:tc>
          <w:tcPr>
            <w:tcW w:w="1203" w:type="dxa"/>
            <w:vAlign w:val="center"/>
          </w:tcPr>
          <w:p w:rsidR="004C3DC1" w:rsidRPr="00424215" w:rsidRDefault="004C3DC1">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0.058</w:t>
            </w:r>
          </w:p>
        </w:tc>
        <w:tc>
          <w:tcPr>
            <w:tcW w:w="1276" w:type="dxa"/>
            <w:vAlign w:val="center"/>
          </w:tcPr>
          <w:p w:rsidR="004C3DC1" w:rsidRPr="00424215" w:rsidRDefault="004C3DC1" w:rsidP="00D212ED">
            <w:pPr>
              <w:jc w:val="center"/>
              <w:rPr>
                <w:rFonts w:ascii="Arial" w:hAnsi="Arial" w:cs="Arial"/>
                <w:color w:val="000000"/>
                <w:sz w:val="20"/>
                <w:szCs w:val="20"/>
              </w:rPr>
            </w:pPr>
            <w:r w:rsidRPr="00424215">
              <w:rPr>
                <w:rFonts w:ascii="Times New Roman" w:hAnsi="Times New Roman" w:cs="Times New Roman"/>
                <w:sz w:val="20"/>
                <w:szCs w:val="20"/>
              </w:rPr>
              <w:t>0.0174-0.0986</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(α=5; β=81)</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9062" w:type="dxa"/>
            <w:gridSpan w:val="6"/>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Other clinical inputs</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Proportion of non-fatal stroke, 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0.87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0.076-0.957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(α=41; β=6)</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Wolf 1992 </w:t>
            </w:r>
            <w:r>
              <w:rPr>
                <w:rFonts w:ascii="Times New Roman" w:hAnsi="Times New Roman" w:cs="Times New Roman"/>
                <w:noProof/>
                <w:sz w:val="20"/>
                <w:szCs w:val="20"/>
              </w:rPr>
              <w:t>(80)</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Proportion of non-fatal stroke, females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0.82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0.067-0.902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(α=33; β=7)</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death in post-stroke condition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0.529-2.53</w:t>
            </w:r>
          </w:p>
        </w:tc>
        <w:tc>
          <w:tcPr>
            <w:tcW w:w="2229" w:type="dxa"/>
            <w:vAlign w:val="center"/>
          </w:tcPr>
          <w:p w:rsidR="004C3DC1" w:rsidRPr="000D75C6"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Log-normal (SE</w:t>
            </w:r>
            <w:r w:rsidRPr="00424215">
              <w:rPr>
                <w:rFonts w:ascii="Times New Roman" w:hAnsi="Times New Roman" w:cs="Times New Roman"/>
                <w:sz w:val="20"/>
                <w:szCs w:val="20"/>
                <w:vertAlign w:val="subscript"/>
              </w:rPr>
              <w:t>log</w:t>
            </w:r>
            <w:r w:rsidRPr="00424215">
              <w:rPr>
                <w:rFonts w:ascii="Times New Roman" w:hAnsi="Times New Roman" w:cs="Times New Roman"/>
                <w:sz w:val="20"/>
                <w:szCs w:val="20"/>
              </w:rPr>
              <w:t>=0.25)</w:t>
            </w:r>
          </w:p>
          <w:p w:rsidR="004C3DC1" w:rsidRPr="00424215" w:rsidRDefault="004C3DC1" w:rsidP="00D212ED">
            <w:pPr>
              <w:pStyle w:val="NoSpacing"/>
              <w:jc w:val="center"/>
              <w:rPr>
                <w:rFonts w:ascii="Times New Roman" w:hAnsi="Times New Roman" w:cs="Times New Roman"/>
                <w:sz w:val="20"/>
                <w:szCs w:val="20"/>
              </w:rPr>
            </w:pP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Dennis 1993 </w:t>
            </w:r>
            <w:r>
              <w:rPr>
                <w:rFonts w:ascii="Times New Roman" w:hAnsi="Times New Roman" w:cs="Times New Roman"/>
                <w:noProof/>
                <w:sz w:val="20"/>
                <w:szCs w:val="20"/>
              </w:rPr>
              <w:t>(81)</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Probability of stroke at 30-day after myocardial infarction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0.0122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0.000015-0.013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(α=172.29; β=14025.38)</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 Witt 2006 </w:t>
            </w:r>
            <w:r>
              <w:rPr>
                <w:rFonts w:ascii="Times New Roman" w:hAnsi="Times New Roman" w:cs="Times New Roman"/>
                <w:noProof/>
                <w:sz w:val="20"/>
                <w:szCs w:val="20"/>
              </w:rPr>
              <w:t>(82)</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Probability of stroke at 1 year after myocardial infarction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0.0214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0.00004-0.023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Probability of stroke during 1st year after heart failure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0.0184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0.000034-0.020</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(α=565.39; β=30211.98)</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Risk of recurrent stroke (2.5 year follow-up)</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0.087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0.00076-0.096</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(α=413.04; β=4343.54)</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 Ovbiagele 2011 </w:t>
            </w:r>
            <w:r>
              <w:rPr>
                <w:rFonts w:ascii="Times New Roman" w:hAnsi="Times New Roman" w:cs="Times New Roman"/>
                <w:noProof/>
                <w:sz w:val="20"/>
                <w:szCs w:val="20"/>
              </w:rPr>
              <w:t>(83)</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Acute mortality for recurrent stroke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0.0036-0.209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(α=129; β=546)</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Dennis 1993 </w:t>
            </w:r>
            <w:r>
              <w:rPr>
                <w:rFonts w:ascii="Times New Roman" w:hAnsi="Times New Roman" w:cs="Times New Roman"/>
                <w:noProof/>
                <w:sz w:val="20"/>
                <w:szCs w:val="20"/>
              </w:rPr>
              <w:t>(81)</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in post-myocardial infarction state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3.2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1.024-3.52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lang w:val="sv-SE"/>
              </w:rPr>
              <w:t>Log-normal (SE</w:t>
            </w:r>
            <w:r w:rsidRPr="00424215">
              <w:rPr>
                <w:rFonts w:ascii="Times New Roman" w:hAnsi="Times New Roman" w:cs="Times New Roman"/>
                <w:sz w:val="20"/>
                <w:szCs w:val="20"/>
                <w:vertAlign w:val="subscript"/>
                <w:lang w:val="sv-SE"/>
              </w:rPr>
              <w:t>log</w:t>
            </w:r>
            <w:r w:rsidRPr="00424215">
              <w:rPr>
                <w:rFonts w:ascii="Times New Roman" w:hAnsi="Times New Roman" w:cs="Times New Roman"/>
                <w:sz w:val="20"/>
                <w:szCs w:val="20"/>
                <w:lang w:val="sv-SE"/>
              </w:rPr>
              <w:t>=0.09)</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Rosengren 1998 </w:t>
            </w:r>
            <w:r>
              <w:rPr>
                <w:rFonts w:ascii="Times New Roman" w:hAnsi="Times New Roman" w:cs="Times New Roman"/>
                <w:noProof/>
                <w:sz w:val="20"/>
                <w:szCs w:val="20"/>
              </w:rPr>
              <w:t>(84)</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recurrent myocardial infarction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1.78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0.32-1.958</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lang w:val="sv-SE"/>
              </w:rPr>
              <w:t>Log-normal (SE</w:t>
            </w:r>
            <w:r w:rsidRPr="00424215">
              <w:rPr>
                <w:rFonts w:ascii="Times New Roman" w:hAnsi="Times New Roman" w:cs="Times New Roman"/>
                <w:sz w:val="20"/>
                <w:szCs w:val="20"/>
                <w:vertAlign w:val="subscript"/>
                <w:lang w:val="sv-SE"/>
              </w:rPr>
              <w:t>log</w:t>
            </w:r>
            <w:r w:rsidRPr="00424215">
              <w:rPr>
                <w:rFonts w:ascii="Times New Roman" w:hAnsi="Times New Roman" w:cs="Times New Roman"/>
                <w:sz w:val="20"/>
                <w:szCs w:val="20"/>
                <w:lang w:val="sv-SE"/>
              </w:rPr>
              <w:t>=0.12)</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Zanchetti 2001 </w:t>
            </w:r>
            <w:r>
              <w:rPr>
                <w:rFonts w:ascii="Times New Roman" w:hAnsi="Times New Roman" w:cs="Times New Roman"/>
                <w:noProof/>
                <w:sz w:val="20"/>
                <w:szCs w:val="20"/>
              </w:rPr>
              <w:t>(85)</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Acute mortality for recurrent myocardial infarction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0.161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(α=4.28; β=22.29)</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Krumholz 2009 </w:t>
            </w:r>
            <w:r>
              <w:rPr>
                <w:rFonts w:ascii="Times New Roman" w:hAnsi="Times New Roman" w:cs="Times New Roman"/>
                <w:noProof/>
                <w:sz w:val="20"/>
                <w:szCs w:val="20"/>
              </w:rPr>
              <w:t>(86)</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death in heart failure state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4.01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1.61-4.411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Log-normal (SE</w:t>
            </w:r>
            <w:r w:rsidRPr="00424215">
              <w:rPr>
                <w:rFonts w:ascii="Times New Roman" w:hAnsi="Times New Roman" w:cs="Times New Roman"/>
                <w:sz w:val="20"/>
                <w:szCs w:val="20"/>
                <w:vertAlign w:val="subscript"/>
              </w:rPr>
              <w:t>log</w:t>
            </w:r>
            <w:r w:rsidRPr="00424215">
              <w:rPr>
                <w:rFonts w:ascii="Times New Roman" w:hAnsi="Times New Roman" w:cs="Times New Roman"/>
                <w:sz w:val="20"/>
                <w:szCs w:val="20"/>
              </w:rPr>
              <w:t>=0.082)</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Pr>
                <w:rFonts w:ascii="Times New Roman" w:hAnsi="Times New Roman" w:cs="Times New Roman"/>
                <w:sz w:val="20"/>
                <w:szCs w:val="20"/>
              </w:rPr>
              <w:t xml:space="preserve">Arnold 2003 </w:t>
            </w:r>
            <w:r>
              <w:rPr>
                <w:rFonts w:ascii="Times New Roman" w:hAnsi="Times New Roman" w:cs="Times New Roman"/>
                <w:noProof/>
                <w:sz w:val="20"/>
                <w:szCs w:val="20"/>
              </w:rPr>
              <w:t>(87)</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Probability of HF within 30 days after myocardial infarction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0.231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0.0053-0.25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(α=45; β=150)</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Velagaleti 2008 </w:t>
            </w:r>
            <w:r>
              <w:rPr>
                <w:rFonts w:ascii="Times New Roman" w:hAnsi="Times New Roman" w:cs="Times New Roman"/>
                <w:noProof/>
                <w:sz w:val="20"/>
                <w:szCs w:val="20"/>
              </w:rPr>
              <w:t>(88)</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5-year probability of heart failure in post-myocardial infarction state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0.148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0.0022-0.16</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(α=21; β=121)</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death from angina state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1.63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0.26-1.79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Log-normal (SE</w:t>
            </w:r>
            <w:r w:rsidRPr="00424215">
              <w:rPr>
                <w:rFonts w:ascii="Times New Roman" w:hAnsi="Times New Roman" w:cs="Times New Roman"/>
                <w:sz w:val="20"/>
                <w:szCs w:val="20"/>
                <w:vertAlign w:val="subscript"/>
              </w:rPr>
              <w:t>log</w:t>
            </w:r>
            <w:r w:rsidRPr="00424215">
              <w:rPr>
                <w:rFonts w:ascii="Times New Roman" w:hAnsi="Times New Roman" w:cs="Times New Roman"/>
                <w:sz w:val="20"/>
                <w:szCs w:val="20"/>
              </w:rPr>
              <w:t>=0.086)</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Rosengren 1998 </w:t>
            </w:r>
            <w:r>
              <w:rPr>
                <w:rFonts w:ascii="Times New Roman" w:hAnsi="Times New Roman" w:cs="Times New Roman"/>
                <w:noProof/>
                <w:sz w:val="20"/>
                <w:szCs w:val="20"/>
              </w:rPr>
              <w:t>(84)</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Annual risk of MI from angina state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0.000036-0.021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(α=73; β=3767)</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Poole-Wilson  2004 </w:t>
            </w:r>
            <w:r>
              <w:rPr>
                <w:rFonts w:ascii="Times New Roman" w:hAnsi="Times New Roman" w:cs="Times New Roman"/>
                <w:noProof/>
                <w:sz w:val="20"/>
                <w:szCs w:val="20"/>
              </w:rPr>
              <w:t>(89)</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peripheral artery disease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3.1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0.961-3.41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Log-normal (SE</w:t>
            </w:r>
            <w:r w:rsidRPr="00424215">
              <w:rPr>
                <w:rFonts w:ascii="Times New Roman" w:hAnsi="Times New Roman" w:cs="Times New Roman"/>
                <w:sz w:val="20"/>
                <w:szCs w:val="20"/>
                <w:vertAlign w:val="subscript"/>
              </w:rPr>
              <w:t>log</w:t>
            </w:r>
            <w:r w:rsidRPr="00424215">
              <w:rPr>
                <w:rFonts w:ascii="Times New Roman" w:hAnsi="Times New Roman" w:cs="Times New Roman"/>
                <w:sz w:val="20"/>
                <w:szCs w:val="20"/>
              </w:rPr>
              <w:t>=0.24)</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Criqui 1992 </w:t>
            </w:r>
            <w:r>
              <w:rPr>
                <w:rFonts w:ascii="Times New Roman" w:hAnsi="Times New Roman" w:cs="Times New Roman"/>
                <w:noProof/>
                <w:sz w:val="20"/>
                <w:szCs w:val="20"/>
              </w:rPr>
              <w:t>(90)</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lastRenderedPageBreak/>
              <w:t>Relative risk of all-cause mortality from diabetes state at 40-44 years old, 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17.7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31.33-19.47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Hansen 2009 </w:t>
            </w:r>
            <w:r>
              <w:rPr>
                <w:rFonts w:ascii="Times New Roman" w:hAnsi="Times New Roman" w:cs="Times New Roman"/>
                <w:noProof/>
                <w:sz w:val="20"/>
                <w:szCs w:val="20"/>
              </w:rPr>
              <w:t>(91)</w:t>
            </w: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45-49 years old, 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0.57-2.64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50-54 years old, 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0.67-2.86</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55-59 years old, 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0.62-2.75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60-64 years old, 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0.7843.08</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65-69 years old, 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0.57-2.64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70-74 years old, 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0.324-1.98</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75-79 years old, 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0.225-1.65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80-85 years old, 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0.324-1.98</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40-44 years old, female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45-49 years old, female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50-54 years old, female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0.625-2.75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55-59 years old, female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0.625-2.75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60-64 years old, female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0.289-1.87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lastRenderedPageBreak/>
              <w:t>Relative risk of all-cause mortality from diabetes state at 65-69 years old, female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0.196-1.54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70-74 years old, female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0.196-1.54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75-79 years old, female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0.225-1.65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Relative risk of all-cause mortality from diabetes state at 80-85 years old, female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0.196-1.54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9062" w:type="dxa"/>
            <w:gridSpan w:val="6"/>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Cost inputs</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Cost of abdominal hernia procedure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3 799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3 039-4 559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NordDRG tariff F20E </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Cost of cholecystectomy</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3 702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2 962-4 442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NordDRG tariff G12E</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Cost of abdomen skin/plastic surgery</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2 604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2 083-3 125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Weighted average of 3 DRG tariffs (L50E, L50C, L50A)</w:t>
            </w:r>
            <w:r w:rsidRPr="00424215" w:rsidDel="00287D45">
              <w:rPr>
                <w:rFonts w:ascii="Times New Roman" w:hAnsi="Times New Roman" w:cs="Times New Roman"/>
                <w:sz w:val="20"/>
                <w:szCs w:val="20"/>
              </w:rPr>
              <w:t xml:space="preserve"> </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Cost of leakage and abscess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5 011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4 009-6 013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Weighted average of 3 DRG tariffs (F35E, F35C, F35A) </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Cost of obstruction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5 011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4 009-6 013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Weighted average of 3 DRG tariffs (F35E, F35C, F35A) </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Cost of  stricture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1 564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1 251-1 877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DRG tariff JDA55</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Cost of gastric ulcer</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37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29-44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8-week course of 40 mg omeprazole. Cost obtained from TLV database, 2013</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Cost of visit to general practitioner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121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97-145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Tariffs for 2012 in Västra </w:t>
            </w:r>
            <w:r w:rsidRPr="00424215">
              <w:rPr>
                <w:rFonts w:ascii="Times New Roman" w:hAnsi="Times New Roman" w:cs="Times New Roman"/>
                <w:sz w:val="20"/>
                <w:szCs w:val="20"/>
                <w:lang w:val="en-US"/>
              </w:rPr>
              <w:t xml:space="preserve">Götaland </w:t>
            </w:r>
            <w:r w:rsidRPr="00424215">
              <w:rPr>
                <w:rFonts w:ascii="Times New Roman" w:hAnsi="Times New Roman" w:cs="Times New Roman"/>
                <w:sz w:val="20"/>
                <w:szCs w:val="20"/>
              </w:rPr>
              <w:t xml:space="preserve">Health Region </w:t>
            </w:r>
            <w:r>
              <w:rPr>
                <w:rFonts w:ascii="Times New Roman" w:hAnsi="Times New Roman" w:cs="Times New Roman"/>
                <w:noProof/>
                <w:sz w:val="20"/>
                <w:szCs w:val="20"/>
              </w:rPr>
              <w:t>(73)</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Cost of visit to nurse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47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37-56</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Cost of visit to dietician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107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86-129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Cost of visit to surgeon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226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180-271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Cost of visit to psychologist</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92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74-110</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Annual indirect cost of diabetes II type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2 118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1 059-6 354</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Gamma (α=100; λ=238)</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Bolin 2009 </w:t>
            </w:r>
            <w:r>
              <w:rPr>
                <w:rFonts w:ascii="Times New Roman" w:hAnsi="Times New Roman" w:cs="Times New Roman"/>
                <w:noProof/>
                <w:sz w:val="20"/>
                <w:szCs w:val="20"/>
              </w:rPr>
              <w:t>(74)</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Annual indirect cost of stroke 1 year after event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11 783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6 892-35 350</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Gamma (α=100; λ=1326)</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Lindgren 2008 </w:t>
            </w:r>
            <w:r>
              <w:rPr>
                <w:rFonts w:ascii="Times New Roman" w:hAnsi="Times New Roman" w:cs="Times New Roman"/>
                <w:noProof/>
                <w:sz w:val="20"/>
                <w:szCs w:val="20"/>
              </w:rPr>
              <w:t>(75)</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Annual indirect cost of myocardial infarction 1 year after event </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11 503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5 751-34 508</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Gamma (α=100; λ=1295)</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Zethraeus 1999 </w:t>
            </w:r>
            <w:r>
              <w:rPr>
                <w:rFonts w:ascii="Times New Roman" w:hAnsi="Times New Roman" w:cs="Times New Roman"/>
                <w:noProof/>
                <w:sz w:val="20"/>
                <w:szCs w:val="20"/>
              </w:rPr>
              <w:t>(76)</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Annual indirect cost of heart failure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2 669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1 333-8 000</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Gamma (α=100; λ=300)</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Annual indirect cost of (stable) angina</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8 147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4 074-24 442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Gamma (α=100; λ=917)</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Andersson 1995 </w:t>
            </w:r>
            <w:r>
              <w:rPr>
                <w:rFonts w:ascii="Times New Roman" w:hAnsi="Times New Roman" w:cs="Times New Roman"/>
                <w:noProof/>
                <w:sz w:val="20"/>
                <w:szCs w:val="20"/>
              </w:rPr>
              <w:t>(21)</w:t>
            </w:r>
          </w:p>
        </w:tc>
      </w:tr>
      <w:tr w:rsidR="004C3DC1" w:rsidRPr="00424215">
        <w:trPr>
          <w:cantSplit/>
        </w:trPr>
        <w:tc>
          <w:tcPr>
            <w:tcW w:w="9062" w:type="dxa"/>
            <w:gridSpan w:val="6"/>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Resource use for pre-, post-surgery and routine management of obesity</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Preoperative surgeon visit, surgical arm</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restart"/>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Expert assumption</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lastRenderedPageBreak/>
              <w:t>Preoperative dietician consultation, surgical arm</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Post-discharge nurse visit, surgical arm, first month</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2</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1-2</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Follow-up dietician contact, 1 year, surgical arm</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0.7-2.7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Follow-up psychologist visit, 1 year, surgical arm</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0-1.01</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Follow-up surgeon visit, 1 year, surgical arm</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1.7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0.7-2.7</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Follow-up nurse visit, 2 year, surgical arm</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0-1.6</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Annual visit to surgeon in OMM arm</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0.05</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0-1.05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NA</w:t>
            </w:r>
          </w:p>
        </w:tc>
        <w:tc>
          <w:tcPr>
            <w:tcW w:w="2032" w:type="dxa"/>
            <w:gridSpan w:val="2"/>
            <w:vMerge/>
            <w:vAlign w:val="center"/>
          </w:tcPr>
          <w:p w:rsidR="004C3DC1" w:rsidRPr="00424215" w:rsidRDefault="004C3DC1" w:rsidP="00D212ED">
            <w:pPr>
              <w:pStyle w:val="NoSpacing"/>
              <w:rPr>
                <w:rFonts w:ascii="Times New Roman" w:hAnsi="Times New Roman" w:cs="Times New Roman"/>
                <w:sz w:val="20"/>
                <w:szCs w:val="20"/>
              </w:rPr>
            </w:pPr>
          </w:p>
        </w:tc>
      </w:tr>
      <w:tr w:rsidR="004C3DC1" w:rsidRPr="00424215">
        <w:trPr>
          <w:cantSplit/>
        </w:trPr>
        <w:tc>
          <w:tcPr>
            <w:tcW w:w="9062" w:type="dxa"/>
            <w:gridSpan w:val="6"/>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Utility inputs</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Angina pectoris</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-0.0854</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-0.10; -0.068</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(α=396.93; β=37.06)</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ICD-9 413 Angina Pectoris. </w:t>
            </w:r>
            <w:r>
              <w:rPr>
                <w:rFonts w:ascii="Times New Roman" w:hAnsi="Times New Roman" w:cs="Times New Roman"/>
                <w:noProof/>
                <w:sz w:val="20"/>
                <w:szCs w:val="20"/>
              </w:rPr>
              <w:t>(26)</w:t>
            </w:r>
            <w:r w:rsidRPr="00424215">
              <w:rPr>
                <w:rFonts w:ascii="Times New Roman" w:hAnsi="Times New Roman" w:cs="Times New Roman"/>
                <w:sz w:val="20"/>
                <w:szCs w:val="20"/>
              </w:rPr>
              <w:t xml:space="preserve"> </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Acute myocardial infarction</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-0.0626</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-0.07;  -0.05</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(α=314.76; β=21.02)</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ICD-9 410 Acute Myocardial Infarct </w:t>
            </w:r>
            <w:r>
              <w:rPr>
                <w:rFonts w:ascii="Times New Roman" w:hAnsi="Times New Roman" w:cs="Times New Roman"/>
                <w:noProof/>
                <w:sz w:val="20"/>
                <w:szCs w:val="20"/>
              </w:rPr>
              <w:t>(26)</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Post-myocardial infarction state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-0.0368</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-0.04; -0.03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(α=50.73; β=1.94)</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Sullivan 2011. ICD-9 412 Old Myocardial Infarct </w:t>
            </w:r>
            <w:r>
              <w:rPr>
                <w:rFonts w:ascii="Times New Roman" w:hAnsi="Times New Roman" w:cs="Times New Roman"/>
                <w:noProof/>
                <w:sz w:val="20"/>
                <w:szCs w:val="20"/>
              </w:rPr>
              <w:t>(26)</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Acute stroke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-0.1171</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-0.14; -0.09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(α=622.58; β=82.57)</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Sullivan 2011. ICD-9 436 Cva </w:t>
            </w:r>
            <w:r>
              <w:rPr>
                <w:rFonts w:ascii="Times New Roman" w:hAnsi="Times New Roman" w:cs="Times New Roman"/>
                <w:noProof/>
                <w:sz w:val="20"/>
                <w:szCs w:val="20"/>
              </w:rPr>
              <w:t>(26)</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Post-stroke state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-0.0349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-0.04; -0.03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(α=70.68; β=2.56)</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Sullivan 2011. ICD-9 433 Precerebral Occlusion </w:t>
            </w:r>
            <w:r>
              <w:rPr>
                <w:rFonts w:ascii="Times New Roman" w:hAnsi="Times New Roman" w:cs="Times New Roman"/>
                <w:noProof/>
                <w:sz w:val="20"/>
                <w:szCs w:val="20"/>
              </w:rPr>
              <w:t>(26)</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Transient ischemic attack</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-0.033</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-0.04;  -0.03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(α=61.08; β=2.08)</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Sullivan 2011. ICD-9 435 Transient Cereb Ischemia </w:t>
            </w:r>
            <w:r>
              <w:rPr>
                <w:rFonts w:ascii="Times New Roman" w:hAnsi="Times New Roman" w:cs="Times New Roman"/>
                <w:noProof/>
                <w:sz w:val="20"/>
                <w:szCs w:val="20"/>
              </w:rPr>
              <w:t>(26)</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Peripheral artery disease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-0.0409</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-0.05; -0.03</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(α=75.38; β=3.21)</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Sullivan 2011. ICD-9 447 Other Arterial Disease </w:t>
            </w:r>
            <w:r>
              <w:rPr>
                <w:rFonts w:ascii="Times New Roman" w:hAnsi="Times New Roman" w:cs="Times New Roman"/>
                <w:noProof/>
                <w:sz w:val="20"/>
                <w:szCs w:val="20"/>
              </w:rPr>
              <w:t>(26)</w:t>
            </w:r>
          </w:p>
        </w:tc>
      </w:tr>
      <w:tr w:rsidR="004C3DC1" w:rsidRPr="00424215">
        <w:trPr>
          <w:cantSplit/>
        </w:trPr>
        <w:tc>
          <w:tcPr>
            <w:tcW w:w="2322" w:type="dxa"/>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Heart failure</w:t>
            </w:r>
          </w:p>
        </w:tc>
        <w:tc>
          <w:tcPr>
            <w:tcW w:w="1203"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-0.1167</w:t>
            </w:r>
          </w:p>
        </w:tc>
        <w:tc>
          <w:tcPr>
            <w:tcW w:w="1276"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-0.14; -0.09</w:t>
            </w:r>
          </w:p>
        </w:tc>
        <w:tc>
          <w:tcPr>
            <w:tcW w:w="2229" w:type="dxa"/>
            <w:vAlign w:val="center"/>
          </w:tcPr>
          <w:p w:rsidR="004C3DC1" w:rsidRPr="00424215" w:rsidRDefault="004C3DC1" w:rsidP="00D212ED">
            <w:pPr>
              <w:pStyle w:val="NoSpacing"/>
              <w:jc w:val="center"/>
              <w:rPr>
                <w:rFonts w:ascii="Times New Roman" w:hAnsi="Times New Roman" w:cs="Times New Roman"/>
                <w:sz w:val="20"/>
                <w:szCs w:val="20"/>
              </w:rPr>
            </w:pPr>
            <w:r w:rsidRPr="00424215">
              <w:rPr>
                <w:rFonts w:ascii="Times New Roman" w:hAnsi="Times New Roman" w:cs="Times New Roman"/>
                <w:sz w:val="20"/>
                <w:szCs w:val="20"/>
              </w:rPr>
              <w:t>Beta (α=438.21; β=57.89)</w:t>
            </w:r>
          </w:p>
        </w:tc>
        <w:tc>
          <w:tcPr>
            <w:tcW w:w="2032" w:type="dxa"/>
            <w:gridSpan w:val="2"/>
            <w:vAlign w:val="center"/>
          </w:tcPr>
          <w:p w:rsidR="004C3DC1" w:rsidRPr="00424215" w:rsidRDefault="004C3DC1" w:rsidP="00D212ED">
            <w:pPr>
              <w:pStyle w:val="NoSpacing"/>
              <w:rPr>
                <w:rFonts w:ascii="Times New Roman" w:hAnsi="Times New Roman" w:cs="Times New Roman"/>
                <w:sz w:val="20"/>
                <w:szCs w:val="20"/>
              </w:rPr>
            </w:pPr>
            <w:r w:rsidRPr="00424215">
              <w:rPr>
                <w:rFonts w:ascii="Times New Roman" w:hAnsi="Times New Roman" w:cs="Times New Roman"/>
                <w:sz w:val="20"/>
                <w:szCs w:val="20"/>
              </w:rPr>
              <w:t xml:space="preserve">Sullivan 2011. ICD-9 428 Heart Failure </w:t>
            </w:r>
            <w:r>
              <w:rPr>
                <w:rFonts w:ascii="Times New Roman" w:hAnsi="Times New Roman" w:cs="Times New Roman"/>
                <w:noProof/>
                <w:sz w:val="20"/>
                <w:szCs w:val="20"/>
              </w:rPr>
              <w:t>(26)</w:t>
            </w:r>
          </w:p>
        </w:tc>
      </w:tr>
    </w:tbl>
    <w:p w:rsidR="004C3DC1" w:rsidRPr="000D75C6" w:rsidRDefault="004C3DC1" w:rsidP="00D212ED">
      <w:pPr>
        <w:rPr>
          <w:rFonts w:ascii="Times New Roman" w:hAnsi="Times New Roman" w:cs="Times New Roman"/>
          <w:lang w:val="en-US"/>
        </w:rPr>
      </w:pPr>
      <w:r>
        <w:rPr>
          <w:rFonts w:ascii="Times New Roman" w:hAnsi="Times New Roman" w:cs="Times New Roman"/>
        </w:rPr>
        <w:t xml:space="preserve">DMII: diabetes type 2; GB: gastric banding; GBP: gastric bypass; </w:t>
      </w:r>
      <w:r>
        <w:rPr>
          <w:rFonts w:ascii="Times New Roman" w:hAnsi="Times New Roman" w:cs="Times New Roman"/>
          <w:lang w:val="en-US"/>
        </w:rPr>
        <w:t>OMM: optimal medical management; SG: sleeve gastrectomy.</w:t>
      </w:r>
    </w:p>
    <w:p w:rsidR="004C3DC1" w:rsidRDefault="004C3DC1" w:rsidP="00D212ED">
      <w:pPr>
        <w:rPr>
          <w:rFonts w:ascii="Times New Roman" w:hAnsi="Times New Roman" w:cs="Times New Roman"/>
          <w:b/>
          <w:bCs/>
          <w:sz w:val="24"/>
          <w:szCs w:val="24"/>
          <w:lang w:val="en-US"/>
        </w:rPr>
      </w:pPr>
    </w:p>
    <w:p w:rsidR="004C3DC1" w:rsidRPr="00AF32D6" w:rsidRDefault="004C3DC1" w:rsidP="00D212ED">
      <w:pPr>
        <w:rPr>
          <w:rFonts w:ascii="Times New Roman" w:hAnsi="Times New Roman" w:cs="Times New Roman"/>
        </w:rPr>
      </w:pPr>
      <w:r>
        <w:rPr>
          <w:rFonts w:ascii="Times New Roman" w:hAnsi="Times New Roman" w:cs="Times New Roman"/>
          <w:b/>
          <w:bCs/>
          <w:sz w:val="24"/>
          <w:szCs w:val="24"/>
          <w:lang w:val="en-US"/>
        </w:rPr>
        <w:br w:type="page"/>
      </w:r>
      <w:bookmarkStart w:id="0" w:name="_Toc351411673"/>
      <w:r w:rsidRPr="00AF32D6">
        <w:rPr>
          <w:rFonts w:ascii="Times New Roman" w:hAnsi="Times New Roman" w:cs="Times New Roman"/>
          <w:b/>
          <w:bCs/>
          <w:sz w:val="24"/>
          <w:szCs w:val="24"/>
        </w:rPr>
        <w:lastRenderedPageBreak/>
        <w:t>Table S2</w:t>
      </w:r>
      <w:r w:rsidRPr="00AF32D6">
        <w:rPr>
          <w:rFonts w:ascii="Times New Roman" w:hAnsi="Times New Roman" w:cs="Times New Roman"/>
          <w:sz w:val="24"/>
          <w:szCs w:val="24"/>
        </w:rPr>
        <w:t xml:space="preserve"> ‘Stress tests’ for model validation</w:t>
      </w:r>
      <w:bookmarkEnd w:id="0"/>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1628"/>
        <w:gridCol w:w="1569"/>
        <w:gridCol w:w="1538"/>
        <w:gridCol w:w="1315"/>
        <w:gridCol w:w="1180"/>
        <w:gridCol w:w="1346"/>
      </w:tblGrid>
      <w:tr w:rsidR="004C3DC1" w:rsidRPr="00424215">
        <w:trPr>
          <w:cantSplit/>
          <w:tblHeader/>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Test</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Expected effect</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Observed effect</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Action required</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Results</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Repeated observation</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Plotting graph with lifetime non-discounted cost and graph with lifetime absolute risk of negative events</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In visual inspection, difference in cost between arms should correspond to difference in risk of events</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3.5-4 time higher lifetime cost stroke, TIA and post-stroke condition in OMM arm</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Inspection of the code for cost of stroke calculation in OMM arm</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Bug in the code was found and corrected</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In visual inspection, difference in cost between arms correspond to difference in risk of events</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Plotting graph with lifetime total (direct and indirect) discounted and non-discounted cost</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In visual inspection, non-discounted costs should be higher than discounted costs, except costs, originated during the first year</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In visual inspection, non-discounted costs should be higher than discounted costs, except costs, originated during the first year (primary surgery</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3</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Comparing of mean lifetime direct and indirect costs, obtained from simulation page by summing up individual costs, and from analysis of individual costs</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Costs, obtained with different calculations should be the same</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Costs were different, with higher cost, obtained from simulation page</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Inspection of the code for total cost estimation</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Bug in the code was found and corrected</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Costs, obtained with different calculations are equal</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4</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Check correspondence of distribution of surgeries and diabetic population with different inputs (change of data inputs, change diabetes status from “No” to “Yes”</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Distribution of surgeries and diabetes cohorts should correlate to given scenarios</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Distribution of surgeries and diabetes cohorts correlate to given scenarios</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5</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Set initial number of patients to 0</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Costs and QALYs equal 0 across treatments</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Costs equal 0 across treatments and presents errors (due to dividing by 0)</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lastRenderedPageBreak/>
              <w:t>6</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Set initial number of cases to 1</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ICER unaltered</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ICER unaltered</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7</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Set unit costs of treatments to 0</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Total cost of treatment = 0</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Total cost of treatment = 0</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8</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Doubled unit costs of treatment</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Treatment costs doubled</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Costs of treatment doubled</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9</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Set treatment to ‘comparator’ and comparator to ‘treatment’</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QALYs and risk ratios to be the same as base-case, but inverted.</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Risk ratios and LYG were correct. Utility levels were not and gave wrong QALY results</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Needs revisit</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10</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Set mortality rate to 0%</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No deaths in model</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No deaths in model</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11</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Set mortality rate to 100% at all ages</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All patients dead at cycle 1</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All patients dead at cycle 1</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12</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Set mortality rate to 100% at age X</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All patients dead after x years (starting age 70 - x) but still generate expected costs and QALYs</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All patients dead after x years (starting age 70 - x) but still generate expected costs and QALYs</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13</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Increase mortality rate</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Reduced costs.</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Reduced costs.</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14</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Health state utilities are 1 for all states</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QALY gained equals LYG</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QALY gained equals LYG in surgery but not in OMM</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Inspection of the code in OMM arm revealed missing cell for Diabetes Type 2</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Bug was corrected</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QALY gained equals LYG</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15</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Health state utilities and adverse events all set to 0.</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Total QALYs = 0 for treatment and comparator.</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Total QALYs = 0 for treatment and comparator.</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16</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Health state utilities for states all set to 1 and adverse events all set to 0</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Total QALYs same as life years</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Total QALYs same as life years</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lastRenderedPageBreak/>
              <w:t>17</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Run one-way sensitivity analysis for all comparisons</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Only cost variables relevant to the comparison should be sensitive in the results of analysis and appear in Tornado diagram</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Only cost variables relevant to the comparison were sensitive in the results of analysis and appear in Tornado diagram</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18</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Set discount rate for cost to 0</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Discounted and non-discounted mean lifetime costs should be equal</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Discounted and non-discounted mean lifetime costs are equal</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19</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Set start age of cohort at 66 years</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Discounted and non-discounted mean lifetime costs should be equal (retirement age in Sweden is 65 years)</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Discounted and non-discounted mean lifetime costs are equal (retirement age in Sweden is 65 years)</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r w:rsidR="004C3DC1" w:rsidRPr="00424215">
        <w:trPr>
          <w:cantSplit/>
        </w:trPr>
        <w:tc>
          <w:tcPr>
            <w:tcW w:w="49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20</w:t>
            </w:r>
          </w:p>
        </w:tc>
        <w:tc>
          <w:tcPr>
            <w:tcW w:w="1656"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Change all short-term complication rate to 0</w:t>
            </w:r>
          </w:p>
        </w:tc>
        <w:tc>
          <w:tcPr>
            <w:tcW w:w="1610"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Cost of primary surgery should be equal to multiplication of number of operations by cost of operation</w:t>
            </w:r>
          </w:p>
        </w:tc>
        <w:tc>
          <w:tcPr>
            <w:tcW w:w="157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Cost of primary surgery is equal to multiplication of number of operations by cost of operation</w:t>
            </w:r>
          </w:p>
        </w:tc>
        <w:tc>
          <w:tcPr>
            <w:tcW w:w="135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rPr>
              <w:t>None</w:t>
            </w:r>
          </w:p>
        </w:tc>
        <w:tc>
          <w:tcPr>
            <w:tcW w:w="1219"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13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bl>
    <w:p w:rsidR="004C3DC1" w:rsidRPr="000D75C6" w:rsidRDefault="004C3DC1" w:rsidP="00D212ED">
      <w:pPr>
        <w:rPr>
          <w:rFonts w:ascii="Times New Roman" w:hAnsi="Times New Roman" w:cs="Times New Roman"/>
          <w:lang w:val="en-US"/>
        </w:rPr>
      </w:pPr>
      <w:r w:rsidRPr="000D75C6">
        <w:rPr>
          <w:rFonts w:ascii="Times New Roman" w:hAnsi="Times New Roman" w:cs="Times New Roman"/>
          <w:lang w:val="en-US"/>
        </w:rPr>
        <w:t xml:space="preserve">ICER: incremental cost-effectiveness ratio; </w:t>
      </w:r>
      <w:r>
        <w:rPr>
          <w:rFonts w:ascii="Times New Roman" w:hAnsi="Times New Roman" w:cs="Times New Roman"/>
          <w:lang w:val="en-US"/>
        </w:rPr>
        <w:t xml:space="preserve">LYG: life years gained; </w:t>
      </w:r>
      <w:r w:rsidRPr="000D75C6">
        <w:rPr>
          <w:rFonts w:ascii="Times New Roman" w:hAnsi="Times New Roman" w:cs="Times New Roman"/>
          <w:lang w:val="en-US"/>
        </w:rPr>
        <w:t>OMM: optimal medical management; QALY: quality-adjusted life years.</w:t>
      </w:r>
    </w:p>
    <w:p w:rsidR="004C3DC1" w:rsidRDefault="004C3DC1" w:rsidP="00D212ED">
      <w:pPr>
        <w:autoSpaceDE w:val="0"/>
        <w:autoSpaceDN w:val="0"/>
        <w:adjustRightInd w:val="0"/>
        <w:rPr>
          <w:rFonts w:ascii="Times New Roman" w:hAnsi="Times New Roman" w:cs="Times New Roman"/>
          <w:sz w:val="24"/>
          <w:szCs w:val="24"/>
          <w:lang w:val="en-US"/>
        </w:rPr>
      </w:pPr>
    </w:p>
    <w:p w:rsidR="004C3DC1" w:rsidRPr="00AF32D6" w:rsidRDefault="004C3DC1" w:rsidP="00D212ED">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br w:type="page"/>
      </w:r>
      <w:r w:rsidRPr="00AF32D6">
        <w:rPr>
          <w:rFonts w:ascii="Times New Roman" w:hAnsi="Times New Roman" w:cs="Times New Roman"/>
          <w:b/>
          <w:bCs/>
        </w:rPr>
        <w:lastRenderedPageBreak/>
        <w:t>Section S</w:t>
      </w:r>
      <w:r>
        <w:rPr>
          <w:rFonts w:ascii="Times New Roman" w:hAnsi="Times New Roman" w:cs="Times New Roman"/>
          <w:b/>
          <w:bCs/>
        </w:rPr>
        <w:t xml:space="preserve">2 </w:t>
      </w:r>
      <w:r w:rsidRPr="00AF32D6">
        <w:rPr>
          <w:rFonts w:ascii="Times New Roman" w:hAnsi="Times New Roman" w:cs="Times New Roman"/>
          <w:sz w:val="24"/>
          <w:szCs w:val="24"/>
          <w:lang w:val="en-US"/>
        </w:rPr>
        <w:t>Details of external model validation</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Validation of model outcomes was performed against three large epidemiological studies (ASCOT-BPLA, AHEAD, ACCORD) and SOREG. Details are provided below.</w:t>
      </w:r>
    </w:p>
    <w:p w:rsidR="004C3DC1" w:rsidRPr="00B67F0F" w:rsidRDefault="004C3DC1" w:rsidP="00D212ED">
      <w:pPr>
        <w:rPr>
          <w:rFonts w:ascii="Times New Roman" w:hAnsi="Times New Roman" w:cs="Times New Roman"/>
          <w:b/>
          <w:bCs/>
          <w:sz w:val="24"/>
          <w:szCs w:val="24"/>
          <w:lang w:val="en-US"/>
        </w:rPr>
      </w:pPr>
      <w:r w:rsidRPr="00B67F0F">
        <w:rPr>
          <w:rFonts w:ascii="Times New Roman" w:hAnsi="Times New Roman" w:cs="Times New Roman"/>
          <w:b/>
          <w:bCs/>
          <w:sz w:val="24"/>
          <w:szCs w:val="24"/>
          <w:lang w:val="en-US"/>
        </w:rPr>
        <w:t>Validation against ASCOT-BPLA</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 xml:space="preserve">The Anglo-Scandinavian Cardiac Outcomes Trial-Blood Pressure Lowering Arm (ASCOT-BPLA) is a multicenter, prospective, randomized controlled trial that included 19 257 hypertensive patients aged 40 to 79 years old and with, at least, three other cardiovascular risk factors. The goal of the study was to compare the effect of non-fatal myocardial infarction and fatal coronary heart disease of combinations of atenolol with a thiazide versus amlopidine with perindopril. </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 xml:space="preserve">Patients in this study were randomized in two groups: Amlodipine-based and Atenolol based regimes. The Atenolol-based regime group was chosen for validation.  As in the ASCOT-BPLA change of SBP is only reported at 5.5 years and change of SBP during the whole study is reported only in a graph, it was assumed that atenolol lead to decrease of SBP of 5 mm Hg at 6-month follow-up, 10 mm Hg – at 12 months, 15 mm Hg – at 24 months, 20 mm Hg – at 36 months, and 25 mm Hg (value, reported in the study) – at 66-month follow-up. </w:t>
      </w:r>
    </w:p>
    <w:p w:rsidR="004C3DC1" w:rsidRPr="00B67F0F" w:rsidRDefault="004C3DC1" w:rsidP="00D212ED">
      <w:pPr>
        <w:rPr>
          <w:rFonts w:ascii="Times New Roman" w:hAnsi="Times New Roman" w:cs="Times New Roman"/>
          <w:sz w:val="24"/>
          <w:szCs w:val="24"/>
          <w:lang w:val="en-US"/>
        </w:rPr>
      </w:pPr>
      <w:r w:rsidRPr="007917D8">
        <w:rPr>
          <w:rFonts w:ascii="Times New Roman" w:hAnsi="Times New Roman" w:cs="Times New Roman"/>
          <w:b/>
          <w:bCs/>
          <w:sz w:val="24"/>
          <w:szCs w:val="24"/>
          <w:lang w:val="en-US"/>
        </w:rPr>
        <w:t>Table S3</w:t>
      </w:r>
      <w:r w:rsidRPr="00B67F0F">
        <w:rPr>
          <w:rFonts w:ascii="Times New Roman" w:hAnsi="Times New Roman" w:cs="Times New Roman"/>
          <w:sz w:val="24"/>
          <w:szCs w:val="24"/>
          <w:lang w:val="en-US"/>
        </w:rPr>
        <w:t xml:space="preserve"> Study patient characteristics (Atenolol-based regime group)</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9"/>
        <w:gridCol w:w="1268"/>
        <w:gridCol w:w="1252"/>
        <w:gridCol w:w="1254"/>
        <w:gridCol w:w="1254"/>
        <w:gridCol w:w="1254"/>
        <w:gridCol w:w="1249"/>
      </w:tblGrid>
      <w:tr w:rsidR="004C3DC1" w:rsidRPr="00424215">
        <w:trPr>
          <w:trHeight w:val="242"/>
        </w:trPr>
        <w:tc>
          <w:tcPr>
            <w:tcW w:w="1564" w:type="dxa"/>
            <w:vAlign w:val="center"/>
          </w:tcPr>
          <w:p w:rsidR="004C3DC1" w:rsidRPr="00424215" w:rsidRDefault="004C3DC1" w:rsidP="00D212ED">
            <w:pPr>
              <w:spacing w:after="0"/>
              <w:rPr>
                <w:rFonts w:ascii="Times New Roman" w:hAnsi="Times New Roman" w:cs="Times New Roman"/>
                <w:sz w:val="20"/>
                <w:szCs w:val="20"/>
                <w:lang w:val="en-US"/>
              </w:rPr>
            </w:pPr>
          </w:p>
        </w:tc>
        <w:tc>
          <w:tcPr>
            <w:tcW w:w="129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Baseline</w:t>
            </w:r>
          </w:p>
        </w:tc>
        <w:tc>
          <w:tcPr>
            <w:tcW w:w="128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6 months</w:t>
            </w:r>
          </w:p>
        </w:tc>
        <w:tc>
          <w:tcPr>
            <w:tcW w:w="1286"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12 months</w:t>
            </w:r>
          </w:p>
        </w:tc>
        <w:tc>
          <w:tcPr>
            <w:tcW w:w="1286"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24 months</w:t>
            </w:r>
          </w:p>
        </w:tc>
        <w:tc>
          <w:tcPr>
            <w:tcW w:w="1286"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36 months</w:t>
            </w:r>
          </w:p>
        </w:tc>
        <w:tc>
          <w:tcPr>
            <w:tcW w:w="1288"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5.5 year</w:t>
            </w:r>
          </w:p>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Mean (SD)</w:t>
            </w:r>
          </w:p>
        </w:tc>
      </w:tr>
      <w:tr w:rsidR="004C3DC1" w:rsidRPr="00424215">
        <w:trPr>
          <w:trHeight w:val="242"/>
        </w:trPr>
        <w:tc>
          <w:tcPr>
            <w:tcW w:w="1564"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Age</w:t>
            </w:r>
          </w:p>
        </w:tc>
        <w:tc>
          <w:tcPr>
            <w:tcW w:w="129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63.0</w:t>
            </w:r>
          </w:p>
        </w:tc>
        <w:tc>
          <w:tcPr>
            <w:tcW w:w="1284"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8"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r w:rsidR="004C3DC1" w:rsidRPr="00424215">
        <w:trPr>
          <w:trHeight w:val="242"/>
        </w:trPr>
        <w:tc>
          <w:tcPr>
            <w:tcW w:w="1564"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Males, %</w:t>
            </w:r>
          </w:p>
        </w:tc>
        <w:tc>
          <w:tcPr>
            <w:tcW w:w="129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77%</w:t>
            </w:r>
          </w:p>
        </w:tc>
        <w:tc>
          <w:tcPr>
            <w:tcW w:w="1284"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8" w:type="dxa"/>
            <w:vAlign w:val="center"/>
          </w:tcPr>
          <w:p w:rsidR="004C3DC1" w:rsidRPr="00424215" w:rsidRDefault="00C028E5" w:rsidP="00D212ED">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4C3DC1" w:rsidRPr="00424215">
        <w:trPr>
          <w:trHeight w:val="500"/>
        </w:trPr>
        <w:tc>
          <w:tcPr>
            <w:tcW w:w="1564"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BMI, mean (SD)</w:t>
            </w:r>
          </w:p>
        </w:tc>
        <w:tc>
          <w:tcPr>
            <w:tcW w:w="129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28.7 (4.5)</w:t>
            </w:r>
          </w:p>
        </w:tc>
        <w:tc>
          <w:tcPr>
            <w:tcW w:w="1284"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8"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r w:rsidR="004C3DC1" w:rsidRPr="00424215">
        <w:trPr>
          <w:trHeight w:val="484"/>
        </w:trPr>
        <w:tc>
          <w:tcPr>
            <w:tcW w:w="1564"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SBP, mean (SD)</w:t>
            </w:r>
          </w:p>
        </w:tc>
        <w:tc>
          <w:tcPr>
            <w:tcW w:w="129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163.9 (18.1)</w:t>
            </w:r>
          </w:p>
        </w:tc>
        <w:tc>
          <w:tcPr>
            <w:tcW w:w="128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-5</w:t>
            </w:r>
          </w:p>
        </w:tc>
        <w:tc>
          <w:tcPr>
            <w:tcW w:w="1286"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-10</w:t>
            </w:r>
          </w:p>
        </w:tc>
        <w:tc>
          <w:tcPr>
            <w:tcW w:w="1286"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-15</w:t>
            </w:r>
          </w:p>
        </w:tc>
        <w:tc>
          <w:tcPr>
            <w:tcW w:w="1286"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-20</w:t>
            </w:r>
          </w:p>
        </w:tc>
        <w:tc>
          <w:tcPr>
            <w:tcW w:w="1288"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-26.2 (17.9)</w:t>
            </w:r>
          </w:p>
        </w:tc>
      </w:tr>
      <w:tr w:rsidR="004C3DC1" w:rsidRPr="00424215">
        <w:trPr>
          <w:trHeight w:val="278"/>
        </w:trPr>
        <w:tc>
          <w:tcPr>
            <w:tcW w:w="1564"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Smoking, %</w:t>
            </w:r>
          </w:p>
        </w:tc>
        <w:tc>
          <w:tcPr>
            <w:tcW w:w="129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32%</w:t>
            </w:r>
          </w:p>
        </w:tc>
        <w:tc>
          <w:tcPr>
            <w:tcW w:w="1284"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8" w:type="dxa"/>
            <w:vAlign w:val="center"/>
          </w:tcPr>
          <w:p w:rsidR="004C3DC1" w:rsidRPr="00424215" w:rsidRDefault="00C028E5" w:rsidP="00D212ED">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4C3DC1" w:rsidRPr="00424215">
        <w:trPr>
          <w:trHeight w:val="268"/>
        </w:trPr>
        <w:tc>
          <w:tcPr>
            <w:tcW w:w="1564"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Diabetics, %</w:t>
            </w:r>
          </w:p>
        </w:tc>
        <w:tc>
          <w:tcPr>
            <w:tcW w:w="129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27%</w:t>
            </w:r>
          </w:p>
        </w:tc>
        <w:tc>
          <w:tcPr>
            <w:tcW w:w="1284"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6" w:type="dxa"/>
            <w:vAlign w:val="center"/>
          </w:tcPr>
          <w:p w:rsidR="004C3DC1" w:rsidRPr="00424215" w:rsidRDefault="004C3DC1" w:rsidP="00D212ED">
            <w:pPr>
              <w:spacing w:after="0"/>
              <w:jc w:val="center"/>
              <w:rPr>
                <w:rFonts w:ascii="Times New Roman" w:hAnsi="Times New Roman" w:cs="Times New Roman"/>
                <w:sz w:val="20"/>
                <w:szCs w:val="20"/>
              </w:rPr>
            </w:pPr>
            <w:r w:rsidRPr="00424215">
              <w:rPr>
                <w:rFonts w:ascii="Times New Roman" w:hAnsi="Times New Roman" w:cs="Times New Roman"/>
                <w:sz w:val="20"/>
                <w:szCs w:val="20"/>
                <w:lang w:val="en-US"/>
              </w:rPr>
              <w:t>-</w:t>
            </w:r>
          </w:p>
        </w:tc>
        <w:tc>
          <w:tcPr>
            <w:tcW w:w="1288" w:type="dxa"/>
            <w:vAlign w:val="center"/>
          </w:tcPr>
          <w:p w:rsidR="004C3DC1" w:rsidRPr="00424215" w:rsidRDefault="00C028E5" w:rsidP="00D212ED">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bl>
    <w:p w:rsidR="004C3DC1" w:rsidRPr="000D75C6" w:rsidRDefault="004C3DC1" w:rsidP="00D212ED">
      <w:pPr>
        <w:rPr>
          <w:rFonts w:ascii="Times New Roman" w:hAnsi="Times New Roman" w:cs="Times New Roman"/>
          <w:lang w:val="en-US"/>
        </w:rPr>
      </w:pPr>
      <w:r>
        <w:rPr>
          <w:rFonts w:ascii="Times New Roman" w:hAnsi="Times New Roman" w:cs="Times New Roman"/>
          <w:lang w:val="en-US"/>
        </w:rPr>
        <w:t>BMI</w:t>
      </w:r>
      <w:r w:rsidRPr="000D75C6">
        <w:rPr>
          <w:rFonts w:ascii="Times New Roman" w:hAnsi="Times New Roman" w:cs="Times New Roman"/>
          <w:lang w:val="en-US"/>
        </w:rPr>
        <w:t xml:space="preserve">: </w:t>
      </w:r>
      <w:r>
        <w:rPr>
          <w:rFonts w:ascii="Times New Roman" w:hAnsi="Times New Roman" w:cs="Times New Roman"/>
          <w:lang w:val="en-US"/>
        </w:rPr>
        <w:t>body mass index; SBP: systolic blood pressure; SD: standard deviation</w:t>
      </w:r>
      <w:r w:rsidRPr="000D75C6">
        <w:rPr>
          <w:rFonts w:ascii="Times New Roman" w:hAnsi="Times New Roman" w:cs="Times New Roman"/>
          <w:lang w:val="en-US"/>
        </w:rPr>
        <w:t>.</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 xml:space="preserve">Validation showed, that model predicts clinical events (cardiovascular mortality, fatal and </w:t>
      </w:r>
      <w:bookmarkStart w:id="1" w:name="_GoBack"/>
      <w:bookmarkEnd w:id="1"/>
      <w:r w:rsidRPr="00B67F0F">
        <w:rPr>
          <w:rFonts w:ascii="Times New Roman" w:hAnsi="Times New Roman" w:cs="Times New Roman"/>
          <w:sz w:val="24"/>
          <w:szCs w:val="24"/>
          <w:lang w:val="en-US"/>
        </w:rPr>
        <w:t xml:space="preserve">non-fatal stroke, stable and unstable angina, PAD) relatively precisely. There was a tendency to overestimate all-cause mortality, combined outcome of cardiovascular death, MI and stroke, and combined outcome of fatal and non-fatal MI. </w:t>
      </w:r>
    </w:p>
    <w:p w:rsidR="004C3DC1" w:rsidRPr="00B67F0F" w:rsidRDefault="004C3DC1" w:rsidP="00D212ED">
      <w:pPr>
        <w:rPr>
          <w:rFonts w:ascii="Times New Roman" w:hAnsi="Times New Roman" w:cs="Times New Roman"/>
          <w:sz w:val="24"/>
          <w:szCs w:val="24"/>
          <w:lang w:val="en-US"/>
        </w:rPr>
      </w:pPr>
      <w:r w:rsidRPr="007917D8">
        <w:rPr>
          <w:rFonts w:ascii="Times New Roman" w:hAnsi="Times New Roman" w:cs="Times New Roman"/>
          <w:b/>
          <w:bCs/>
          <w:sz w:val="24"/>
          <w:szCs w:val="24"/>
          <w:lang w:val="en-US"/>
        </w:rPr>
        <w:t>Table S4</w:t>
      </w:r>
      <w:r w:rsidRPr="00B67F0F">
        <w:rPr>
          <w:rFonts w:ascii="Times New Roman" w:hAnsi="Times New Roman" w:cs="Times New Roman"/>
          <w:sz w:val="24"/>
          <w:szCs w:val="24"/>
          <w:lang w:val="en-US"/>
        </w:rPr>
        <w:t xml:space="preserve"> Results of model validation against ASCOT-BPLA (median follow-up of 5.5 years)</w:t>
      </w:r>
    </w:p>
    <w:tbl>
      <w:tblPr>
        <w:tblW w:w="93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1134"/>
        <w:gridCol w:w="1134"/>
        <w:gridCol w:w="1417"/>
        <w:gridCol w:w="1560"/>
        <w:gridCol w:w="1432"/>
      </w:tblGrid>
      <w:tr w:rsidR="004C3DC1" w:rsidRPr="00424215">
        <w:trPr>
          <w:trHeight w:val="310"/>
        </w:trPr>
        <w:tc>
          <w:tcPr>
            <w:tcW w:w="2660" w:type="dxa"/>
            <w:vMerge w:val="restart"/>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Variable</w:t>
            </w:r>
          </w:p>
        </w:tc>
        <w:tc>
          <w:tcPr>
            <w:tcW w:w="2268" w:type="dxa"/>
            <w:gridSpan w:val="2"/>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95% Credible interval</w:t>
            </w:r>
          </w:p>
        </w:tc>
        <w:tc>
          <w:tcPr>
            <w:tcW w:w="1417" w:type="dxa"/>
            <w:vMerge w:val="restart"/>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Mean, model</w:t>
            </w:r>
          </w:p>
        </w:tc>
        <w:tc>
          <w:tcPr>
            <w:tcW w:w="1560" w:type="dxa"/>
            <w:vMerge w:val="restart"/>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Median, model</w:t>
            </w:r>
          </w:p>
        </w:tc>
        <w:tc>
          <w:tcPr>
            <w:tcW w:w="1432" w:type="dxa"/>
            <w:vMerge w:val="restart"/>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Mean, study</w:t>
            </w:r>
          </w:p>
        </w:tc>
      </w:tr>
      <w:tr w:rsidR="004C3DC1" w:rsidRPr="00424215">
        <w:trPr>
          <w:trHeight w:val="258"/>
        </w:trPr>
        <w:tc>
          <w:tcPr>
            <w:tcW w:w="2660" w:type="dxa"/>
            <w:vMerge/>
            <w:vAlign w:val="center"/>
          </w:tcPr>
          <w:p w:rsidR="004C3DC1" w:rsidRPr="00424215" w:rsidRDefault="004C3DC1" w:rsidP="00D212ED">
            <w:pPr>
              <w:pStyle w:val="NoSpacing"/>
              <w:spacing w:line="276" w:lineRule="auto"/>
              <w:rPr>
                <w:rFonts w:ascii="Times New Roman" w:hAnsi="Times New Roman" w:cs="Times New Roman"/>
                <w:sz w:val="20"/>
                <w:szCs w:val="20"/>
              </w:rPr>
            </w:pPr>
          </w:p>
        </w:tc>
        <w:tc>
          <w:tcPr>
            <w:tcW w:w="1134" w:type="dxa"/>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2.5%</w:t>
            </w:r>
          </w:p>
        </w:tc>
        <w:tc>
          <w:tcPr>
            <w:tcW w:w="1134" w:type="dxa"/>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97.5%</w:t>
            </w:r>
          </w:p>
        </w:tc>
        <w:tc>
          <w:tcPr>
            <w:tcW w:w="1417" w:type="dxa"/>
            <w:vMerge/>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p>
        </w:tc>
        <w:tc>
          <w:tcPr>
            <w:tcW w:w="1560" w:type="dxa"/>
            <w:vMerge/>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p>
        </w:tc>
        <w:tc>
          <w:tcPr>
            <w:tcW w:w="1432" w:type="dxa"/>
            <w:vMerge/>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 xml:space="preserve">All-cause mortality </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2.4%</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44.6%</w:t>
            </w:r>
          </w:p>
        </w:tc>
        <w:tc>
          <w:tcPr>
            <w:tcW w:w="1417"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14.38%</w:t>
            </w:r>
          </w:p>
        </w:tc>
        <w:tc>
          <w:tcPr>
            <w:tcW w:w="1560"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11.55%</w:t>
            </w:r>
          </w:p>
        </w:tc>
        <w:tc>
          <w:tcPr>
            <w:tcW w:w="1432" w:type="dxa"/>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9%</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Cardiovascular mortality</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0.86%</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8.31%</w:t>
            </w:r>
          </w:p>
        </w:tc>
        <w:tc>
          <w:tcPr>
            <w:tcW w:w="1417"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4.37%</w:t>
            </w:r>
          </w:p>
        </w:tc>
        <w:tc>
          <w:tcPr>
            <w:tcW w:w="1560"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4.37%</w:t>
            </w:r>
          </w:p>
        </w:tc>
        <w:tc>
          <w:tcPr>
            <w:tcW w:w="1432" w:type="dxa"/>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4%</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Fatal and non-fatal stroke</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1.72%</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6.33%</w:t>
            </w:r>
          </w:p>
        </w:tc>
        <w:tc>
          <w:tcPr>
            <w:tcW w:w="1417"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3.89%</w:t>
            </w:r>
          </w:p>
        </w:tc>
        <w:tc>
          <w:tcPr>
            <w:tcW w:w="1560"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3.78%</w:t>
            </w:r>
          </w:p>
        </w:tc>
        <w:tc>
          <w:tcPr>
            <w:tcW w:w="1432" w:type="dxa"/>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4%</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Stable and unstable angina</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1.04%</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5.74%</w:t>
            </w:r>
          </w:p>
        </w:tc>
        <w:tc>
          <w:tcPr>
            <w:tcW w:w="1417"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2.55%</w:t>
            </w:r>
          </w:p>
        </w:tc>
        <w:tc>
          <w:tcPr>
            <w:tcW w:w="1560"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2.33%</w:t>
            </w:r>
          </w:p>
        </w:tc>
        <w:tc>
          <w:tcPr>
            <w:tcW w:w="1432" w:type="dxa"/>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3%</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PAD</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1.37%</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6.19%</w:t>
            </w:r>
          </w:p>
        </w:tc>
        <w:tc>
          <w:tcPr>
            <w:tcW w:w="1417"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3.75%</w:t>
            </w:r>
          </w:p>
        </w:tc>
        <w:tc>
          <w:tcPr>
            <w:tcW w:w="1560"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3.73%</w:t>
            </w:r>
          </w:p>
        </w:tc>
        <w:tc>
          <w:tcPr>
            <w:tcW w:w="1432" w:type="dxa"/>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2%</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lastRenderedPageBreak/>
              <w:t>Development of Diabetes</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0.036%</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4.73%</w:t>
            </w:r>
          </w:p>
        </w:tc>
        <w:tc>
          <w:tcPr>
            <w:tcW w:w="1417"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1.18%</w:t>
            </w:r>
          </w:p>
        </w:tc>
        <w:tc>
          <w:tcPr>
            <w:tcW w:w="1560"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0.66%</w:t>
            </w:r>
          </w:p>
        </w:tc>
        <w:tc>
          <w:tcPr>
            <w:tcW w:w="1432" w:type="dxa"/>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8%</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Cardiovascular death + MI + stroke</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5.07%</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32.13%</w:t>
            </w:r>
          </w:p>
        </w:tc>
        <w:tc>
          <w:tcPr>
            <w:tcW w:w="1417"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17.52%</w:t>
            </w:r>
          </w:p>
        </w:tc>
        <w:tc>
          <w:tcPr>
            <w:tcW w:w="1560"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17.10%</w:t>
            </w:r>
          </w:p>
        </w:tc>
        <w:tc>
          <w:tcPr>
            <w:tcW w:w="1432" w:type="dxa"/>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10%</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Fatal and non-fatal MI</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2.98%</w:t>
            </w:r>
          </w:p>
        </w:tc>
        <w:tc>
          <w:tcPr>
            <w:tcW w:w="1134"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26.27%</w:t>
            </w:r>
          </w:p>
        </w:tc>
        <w:tc>
          <w:tcPr>
            <w:tcW w:w="1417"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13.63%</w:t>
            </w:r>
          </w:p>
        </w:tc>
        <w:tc>
          <w:tcPr>
            <w:tcW w:w="1560" w:type="dxa"/>
            <w:vAlign w:val="bottom"/>
          </w:tcPr>
          <w:p w:rsidR="004C3DC1" w:rsidRPr="00D030BE" w:rsidRDefault="004C3DC1" w:rsidP="00D212ED">
            <w:pPr>
              <w:spacing w:after="0"/>
              <w:jc w:val="center"/>
              <w:rPr>
                <w:rFonts w:ascii="Times New Roman" w:hAnsi="Times New Roman" w:cs="Times New Roman"/>
                <w:color w:val="000000"/>
                <w:sz w:val="20"/>
                <w:szCs w:val="20"/>
              </w:rPr>
            </w:pPr>
            <w:r w:rsidRPr="00D030BE">
              <w:rPr>
                <w:rFonts w:ascii="Times New Roman" w:hAnsi="Times New Roman" w:cs="Times New Roman"/>
                <w:color w:val="000000"/>
                <w:sz w:val="20"/>
                <w:szCs w:val="20"/>
              </w:rPr>
              <w:t>13.36%</w:t>
            </w:r>
          </w:p>
        </w:tc>
        <w:tc>
          <w:tcPr>
            <w:tcW w:w="1432" w:type="dxa"/>
            <w:vAlign w:val="center"/>
          </w:tcPr>
          <w:p w:rsidR="004C3DC1" w:rsidRPr="00692930" w:rsidRDefault="004C3DC1" w:rsidP="00D212ED">
            <w:pPr>
              <w:pStyle w:val="NoSpacing"/>
              <w:spacing w:line="276" w:lineRule="auto"/>
              <w:jc w:val="center"/>
              <w:rPr>
                <w:rFonts w:ascii="Times New Roman" w:hAnsi="Times New Roman" w:cs="Times New Roman"/>
                <w:sz w:val="20"/>
                <w:szCs w:val="20"/>
              </w:rPr>
            </w:pPr>
            <w:r w:rsidRPr="00692930">
              <w:rPr>
                <w:rFonts w:ascii="Times New Roman" w:hAnsi="Times New Roman" w:cs="Times New Roman"/>
                <w:sz w:val="20"/>
                <w:szCs w:val="20"/>
              </w:rPr>
              <w:t>5%</w:t>
            </w:r>
          </w:p>
        </w:tc>
      </w:tr>
    </w:tbl>
    <w:p w:rsidR="004C3DC1" w:rsidRPr="000D75C6" w:rsidRDefault="004C3DC1" w:rsidP="00D212ED">
      <w:pPr>
        <w:rPr>
          <w:rFonts w:ascii="Times New Roman" w:hAnsi="Times New Roman" w:cs="Times New Roman"/>
          <w:lang w:val="en-US"/>
        </w:rPr>
      </w:pPr>
      <w:r>
        <w:rPr>
          <w:rFonts w:ascii="Times New Roman" w:hAnsi="Times New Roman" w:cs="Times New Roman"/>
          <w:lang w:val="en-US"/>
        </w:rPr>
        <w:t>PAD: peripheral artery disease; MI: myocardial infarction.</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Results are also presented in the Figure</w:t>
      </w:r>
      <w:r>
        <w:rPr>
          <w:rFonts w:ascii="Times New Roman" w:hAnsi="Times New Roman" w:cs="Times New Roman"/>
          <w:sz w:val="24"/>
          <w:szCs w:val="24"/>
          <w:lang w:val="en-US"/>
        </w:rPr>
        <w:t xml:space="preserve"> S1</w:t>
      </w:r>
      <w:r w:rsidRPr="00B67F0F">
        <w:rPr>
          <w:rFonts w:ascii="Times New Roman" w:hAnsi="Times New Roman" w:cs="Times New Roman"/>
          <w:sz w:val="24"/>
          <w:szCs w:val="24"/>
          <w:lang w:val="en-US"/>
        </w:rPr>
        <w:t>.</w:t>
      </w:r>
    </w:p>
    <w:p w:rsidR="004C3DC1" w:rsidRPr="00354164" w:rsidRDefault="004C3DC1" w:rsidP="00D212ED">
      <w:pPr>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4735C8D6" wp14:editId="75669587">
            <wp:extent cx="5095875" cy="2809875"/>
            <wp:effectExtent l="19050" t="19050" r="28575" b="28575"/>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95875" cy="2809875"/>
                    </a:xfrm>
                    <a:prstGeom prst="rect">
                      <a:avLst/>
                    </a:prstGeom>
                    <a:noFill/>
                    <a:ln w="9525" cmpd="sng">
                      <a:solidFill>
                        <a:srgbClr val="D9D9D9"/>
                      </a:solidFill>
                      <a:miter lim="800000"/>
                      <a:headEnd/>
                      <a:tailEnd/>
                    </a:ln>
                    <a:effectLst/>
                  </pic:spPr>
                </pic:pic>
              </a:graphicData>
            </a:graphic>
          </wp:inline>
        </w:drawing>
      </w:r>
    </w:p>
    <w:p w:rsidR="004C3DC1" w:rsidRPr="007917D8" w:rsidRDefault="004C3DC1" w:rsidP="00D212ED">
      <w:pPr>
        <w:jc w:val="center"/>
        <w:rPr>
          <w:rFonts w:ascii="Times New Roman" w:hAnsi="Times New Roman" w:cs="Times New Roman"/>
          <w:sz w:val="24"/>
          <w:szCs w:val="24"/>
          <w:lang w:val="en-US"/>
        </w:rPr>
      </w:pPr>
      <w:r w:rsidRPr="007917D8">
        <w:rPr>
          <w:rFonts w:ascii="Times New Roman" w:hAnsi="Times New Roman" w:cs="Times New Roman"/>
          <w:b/>
          <w:bCs/>
          <w:sz w:val="24"/>
          <w:szCs w:val="24"/>
          <w:lang w:val="en-US"/>
        </w:rPr>
        <w:t>Fig. S1</w:t>
      </w:r>
      <w:r w:rsidRPr="007917D8">
        <w:rPr>
          <w:rFonts w:ascii="Times New Roman" w:hAnsi="Times New Roman" w:cs="Times New Roman"/>
          <w:sz w:val="24"/>
          <w:szCs w:val="24"/>
          <w:lang w:val="en-US"/>
        </w:rPr>
        <w:t xml:space="preserve"> Results of model validation against ASCOT-BPLA</w:t>
      </w:r>
    </w:p>
    <w:p w:rsidR="004C3DC1" w:rsidRPr="00354164" w:rsidRDefault="004C3DC1" w:rsidP="00D212ED">
      <w:pPr>
        <w:rPr>
          <w:rFonts w:ascii="Times New Roman" w:hAnsi="Times New Roman" w:cs="Times New Roman"/>
          <w:sz w:val="20"/>
          <w:szCs w:val="20"/>
          <w:lang w:val="en-US"/>
        </w:rPr>
      </w:pPr>
    </w:p>
    <w:p w:rsidR="004C3DC1" w:rsidRPr="00B67F0F" w:rsidRDefault="004C3DC1" w:rsidP="00D212ED">
      <w:pPr>
        <w:rPr>
          <w:rFonts w:ascii="Times New Roman" w:hAnsi="Times New Roman" w:cs="Times New Roman"/>
          <w:b/>
          <w:bCs/>
          <w:sz w:val="24"/>
          <w:szCs w:val="24"/>
          <w:lang w:val="en-US"/>
        </w:rPr>
      </w:pPr>
      <w:r w:rsidRPr="00B67F0F">
        <w:rPr>
          <w:rFonts w:ascii="Times New Roman" w:hAnsi="Times New Roman" w:cs="Times New Roman"/>
          <w:b/>
          <w:bCs/>
          <w:sz w:val="24"/>
          <w:szCs w:val="24"/>
          <w:lang w:val="en-US"/>
        </w:rPr>
        <w:t>Validation against AHEAD</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 xml:space="preserve">The Action for Health in Diabetes (AHEAD) study is a multicenter, prospective, randomized controlled trial that included 5 145 overweight or obese patients with diabetes II. The goal of the study was to compare the effect of an intensive lifestyle intervention that promoted weight loss through decreased caloric intake and increased physical activity (intervention group) or to receive diabetes support and education (control group). </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 xml:space="preserve">As in the AHEAD change of weight is reported yearly only in a graph, it was assumed that surgery lead to decrease of weight of 8.9% -at 1-year follow-up, 6.9% – at 2 years, 5.9% – at 3 years, 5.44% – at 4 years, 4.9% – at 5 years, 5.44% – at 6 years, 5.44% – at 7 years, 6.43% – at 8 years, 6.9% – at 9 years, and 7.9% at -10 years. Change of weight reported was taken from control group. </w:t>
      </w:r>
    </w:p>
    <w:p w:rsidR="004C3DC1" w:rsidRPr="00B67F0F" w:rsidRDefault="004C3DC1" w:rsidP="00D212ED">
      <w:pPr>
        <w:rPr>
          <w:rFonts w:ascii="Times New Roman" w:hAnsi="Times New Roman" w:cs="Times New Roman"/>
          <w:sz w:val="24"/>
          <w:szCs w:val="24"/>
          <w:lang w:val="en-US"/>
        </w:rPr>
      </w:pPr>
      <w:r w:rsidRPr="007917D8">
        <w:rPr>
          <w:rFonts w:ascii="Times New Roman" w:hAnsi="Times New Roman" w:cs="Times New Roman"/>
          <w:b/>
          <w:bCs/>
          <w:sz w:val="24"/>
          <w:szCs w:val="24"/>
          <w:lang w:val="en-US"/>
        </w:rPr>
        <w:t>Table S5</w:t>
      </w:r>
      <w:r w:rsidRPr="00B67F0F">
        <w:rPr>
          <w:rFonts w:ascii="Times New Roman" w:hAnsi="Times New Roman" w:cs="Times New Roman"/>
          <w:sz w:val="24"/>
          <w:szCs w:val="24"/>
          <w:lang w:val="en-US"/>
        </w:rPr>
        <w:t xml:space="preserve"> Study patient characteristics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004"/>
        <w:gridCol w:w="681"/>
        <w:gridCol w:w="723"/>
        <w:gridCol w:w="723"/>
        <w:gridCol w:w="723"/>
        <w:gridCol w:w="723"/>
        <w:gridCol w:w="723"/>
        <w:gridCol w:w="723"/>
        <w:gridCol w:w="723"/>
        <w:gridCol w:w="722"/>
        <w:gridCol w:w="719"/>
      </w:tblGrid>
      <w:tr w:rsidR="004C3DC1" w:rsidRPr="00424215">
        <w:trPr>
          <w:trHeight w:val="242"/>
          <w:tblHeader/>
        </w:trPr>
        <w:tc>
          <w:tcPr>
            <w:tcW w:w="1101" w:type="dxa"/>
            <w:vAlign w:val="center"/>
          </w:tcPr>
          <w:p w:rsidR="004C3DC1" w:rsidRPr="00424215" w:rsidRDefault="004C3DC1" w:rsidP="00D212ED">
            <w:pPr>
              <w:spacing w:after="0"/>
              <w:rPr>
                <w:rFonts w:ascii="Times New Roman" w:hAnsi="Times New Roman" w:cs="Times New Roman"/>
                <w:sz w:val="20"/>
                <w:szCs w:val="20"/>
                <w:lang w:val="en-US"/>
              </w:rPr>
            </w:pPr>
          </w:p>
        </w:tc>
        <w:tc>
          <w:tcPr>
            <w:tcW w:w="100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Baseline</w:t>
            </w:r>
          </w:p>
        </w:tc>
        <w:tc>
          <w:tcPr>
            <w:tcW w:w="681"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 year</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 years</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3 years</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4 years</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5 years</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6 years</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7 years</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8 years</w:t>
            </w:r>
          </w:p>
        </w:tc>
        <w:tc>
          <w:tcPr>
            <w:tcW w:w="722"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9 years</w:t>
            </w:r>
          </w:p>
        </w:tc>
        <w:tc>
          <w:tcPr>
            <w:tcW w:w="719"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10 years</w:t>
            </w:r>
          </w:p>
        </w:tc>
      </w:tr>
      <w:tr w:rsidR="004C3DC1" w:rsidRPr="00424215">
        <w:trPr>
          <w:trHeight w:val="268"/>
        </w:trPr>
        <w:tc>
          <w:tcPr>
            <w:tcW w:w="1101"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Age (SD)</w:t>
            </w:r>
          </w:p>
        </w:tc>
        <w:tc>
          <w:tcPr>
            <w:tcW w:w="100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58.6 (6.8)</w:t>
            </w:r>
          </w:p>
        </w:tc>
        <w:tc>
          <w:tcPr>
            <w:tcW w:w="681"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2"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19"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r w:rsidR="004C3DC1" w:rsidRPr="00424215">
        <w:trPr>
          <w:trHeight w:val="268"/>
        </w:trPr>
        <w:tc>
          <w:tcPr>
            <w:tcW w:w="1101"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 xml:space="preserve">Males, % </w:t>
            </w:r>
          </w:p>
        </w:tc>
        <w:tc>
          <w:tcPr>
            <w:tcW w:w="100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40.6%</w:t>
            </w:r>
          </w:p>
        </w:tc>
        <w:tc>
          <w:tcPr>
            <w:tcW w:w="681"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2"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19"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r w:rsidR="004C3DC1" w:rsidRPr="00424215">
        <w:trPr>
          <w:trHeight w:val="268"/>
        </w:trPr>
        <w:tc>
          <w:tcPr>
            <w:tcW w:w="1101"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lastRenderedPageBreak/>
              <w:t xml:space="preserve">BMI, mean (SD) </w:t>
            </w:r>
          </w:p>
        </w:tc>
        <w:tc>
          <w:tcPr>
            <w:tcW w:w="100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35.9 (6.0)</w:t>
            </w:r>
          </w:p>
        </w:tc>
        <w:tc>
          <w:tcPr>
            <w:tcW w:w="681"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color w:val="000000"/>
                <w:sz w:val="20"/>
                <w:szCs w:val="20"/>
              </w:rPr>
              <w:t>-3.19</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color w:val="000000"/>
                <w:sz w:val="20"/>
                <w:szCs w:val="20"/>
              </w:rPr>
              <w:t>-2.47</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color w:val="000000"/>
                <w:sz w:val="20"/>
                <w:szCs w:val="20"/>
              </w:rPr>
              <w:t>-2.11</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color w:val="000000"/>
                <w:sz w:val="20"/>
                <w:szCs w:val="20"/>
              </w:rPr>
              <w:t>-1.95</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color w:val="000000"/>
                <w:sz w:val="20"/>
                <w:szCs w:val="20"/>
              </w:rPr>
              <w:t>-1.76</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color w:val="000000"/>
                <w:sz w:val="20"/>
                <w:szCs w:val="20"/>
              </w:rPr>
              <w:t>-1.95</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color w:val="000000"/>
                <w:sz w:val="20"/>
                <w:szCs w:val="20"/>
              </w:rPr>
              <w:t>-1.95</w:t>
            </w:r>
          </w:p>
        </w:tc>
        <w:tc>
          <w:tcPr>
            <w:tcW w:w="723"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color w:val="000000"/>
                <w:sz w:val="20"/>
                <w:szCs w:val="20"/>
              </w:rPr>
              <w:t>-2.30</w:t>
            </w:r>
          </w:p>
        </w:tc>
        <w:tc>
          <w:tcPr>
            <w:tcW w:w="722"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color w:val="000000"/>
                <w:sz w:val="20"/>
                <w:szCs w:val="20"/>
              </w:rPr>
              <w:t>-2.47</w:t>
            </w:r>
          </w:p>
        </w:tc>
        <w:tc>
          <w:tcPr>
            <w:tcW w:w="719"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color w:val="000000"/>
                <w:sz w:val="20"/>
                <w:szCs w:val="20"/>
              </w:rPr>
              <w:t>-2.83</w:t>
            </w:r>
          </w:p>
        </w:tc>
      </w:tr>
      <w:tr w:rsidR="004C3DC1" w:rsidRPr="00424215">
        <w:trPr>
          <w:trHeight w:val="268"/>
        </w:trPr>
        <w:tc>
          <w:tcPr>
            <w:tcW w:w="1101"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SBP, mean (SD)</w:t>
            </w:r>
          </w:p>
        </w:tc>
        <w:tc>
          <w:tcPr>
            <w:tcW w:w="100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128 (17)</w:t>
            </w:r>
          </w:p>
        </w:tc>
        <w:tc>
          <w:tcPr>
            <w:tcW w:w="681"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2"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19"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r w:rsidR="004C3DC1" w:rsidRPr="00424215">
        <w:trPr>
          <w:trHeight w:val="268"/>
        </w:trPr>
        <w:tc>
          <w:tcPr>
            <w:tcW w:w="1101"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 xml:space="preserve">Smoking, % </w:t>
            </w:r>
          </w:p>
        </w:tc>
        <w:tc>
          <w:tcPr>
            <w:tcW w:w="100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4.6%</w:t>
            </w:r>
          </w:p>
        </w:tc>
        <w:tc>
          <w:tcPr>
            <w:tcW w:w="681"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2"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19"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r w:rsidR="004C3DC1" w:rsidRPr="00424215">
        <w:trPr>
          <w:trHeight w:val="268"/>
        </w:trPr>
        <w:tc>
          <w:tcPr>
            <w:tcW w:w="1101"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 xml:space="preserve">Diabetics, % </w:t>
            </w:r>
          </w:p>
        </w:tc>
        <w:tc>
          <w:tcPr>
            <w:tcW w:w="100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100%</w:t>
            </w:r>
          </w:p>
        </w:tc>
        <w:tc>
          <w:tcPr>
            <w:tcW w:w="681"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3"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22"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c>
          <w:tcPr>
            <w:tcW w:w="719" w:type="dxa"/>
            <w:vAlign w:val="center"/>
          </w:tcPr>
          <w:p w:rsidR="004C3DC1" w:rsidRPr="00424215" w:rsidRDefault="004C3DC1" w:rsidP="00D212ED">
            <w:pPr>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w:t>
            </w:r>
          </w:p>
        </w:tc>
      </w:tr>
    </w:tbl>
    <w:p w:rsidR="004C3DC1" w:rsidRPr="00354164" w:rsidRDefault="004C3DC1" w:rsidP="00D212ED">
      <w:pPr>
        <w:rPr>
          <w:rFonts w:ascii="Times New Roman" w:hAnsi="Times New Roman" w:cs="Times New Roman"/>
          <w:sz w:val="20"/>
          <w:szCs w:val="20"/>
          <w:lang w:val="en-US"/>
        </w:rPr>
      </w:pPr>
      <w:r>
        <w:rPr>
          <w:rFonts w:ascii="Times New Roman" w:hAnsi="Times New Roman" w:cs="Times New Roman"/>
          <w:lang w:val="en-US"/>
        </w:rPr>
        <w:t>BMI</w:t>
      </w:r>
      <w:r w:rsidRPr="000D75C6">
        <w:rPr>
          <w:rFonts w:ascii="Times New Roman" w:hAnsi="Times New Roman" w:cs="Times New Roman"/>
          <w:lang w:val="en-US"/>
        </w:rPr>
        <w:t xml:space="preserve">: </w:t>
      </w:r>
      <w:r>
        <w:rPr>
          <w:rFonts w:ascii="Times New Roman" w:hAnsi="Times New Roman" w:cs="Times New Roman"/>
          <w:lang w:val="en-US"/>
        </w:rPr>
        <w:t>body mass index; SBP: systolic blood pressure; SD: standard deviation</w:t>
      </w:r>
      <w:r w:rsidRPr="000D75C6">
        <w:rPr>
          <w:rFonts w:ascii="Times New Roman" w:hAnsi="Times New Roman" w:cs="Times New Roman"/>
          <w:lang w:val="en-US"/>
        </w:rPr>
        <w:t>.</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Validation showed, that model predicts clinical events (</w:t>
      </w:r>
      <w:r w:rsidRPr="00B67F0F">
        <w:rPr>
          <w:rFonts w:ascii="Times New Roman" w:hAnsi="Times New Roman" w:cs="Times New Roman"/>
          <w:sz w:val="24"/>
          <w:szCs w:val="24"/>
        </w:rPr>
        <w:t xml:space="preserve">cardiovascular mortality, stroke and heart failure) relatively precisely. There was a tendency to overestimate all-cause mortality and combined outcome of fatal and non-fatal MI. </w:t>
      </w:r>
    </w:p>
    <w:p w:rsidR="004C3DC1" w:rsidRPr="00B67F0F" w:rsidRDefault="004C3DC1" w:rsidP="00D212ED">
      <w:pPr>
        <w:rPr>
          <w:rFonts w:ascii="Times New Roman" w:hAnsi="Times New Roman" w:cs="Times New Roman"/>
          <w:sz w:val="24"/>
          <w:szCs w:val="24"/>
          <w:lang w:val="en-US"/>
        </w:rPr>
      </w:pPr>
      <w:r w:rsidRPr="007917D8">
        <w:rPr>
          <w:rFonts w:ascii="Times New Roman" w:hAnsi="Times New Roman" w:cs="Times New Roman"/>
          <w:b/>
          <w:bCs/>
          <w:sz w:val="24"/>
          <w:szCs w:val="24"/>
          <w:lang w:val="en-US"/>
        </w:rPr>
        <w:t xml:space="preserve">Table S6 </w:t>
      </w:r>
      <w:r w:rsidRPr="00B67F0F">
        <w:rPr>
          <w:rFonts w:ascii="Times New Roman" w:hAnsi="Times New Roman" w:cs="Times New Roman"/>
          <w:sz w:val="24"/>
          <w:szCs w:val="24"/>
          <w:lang w:val="en-US"/>
        </w:rPr>
        <w:t>Results of model validation against AHEAD</w:t>
      </w:r>
    </w:p>
    <w:tbl>
      <w:tblPr>
        <w:tblW w:w="93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1134"/>
        <w:gridCol w:w="1134"/>
        <w:gridCol w:w="1417"/>
        <w:gridCol w:w="1560"/>
        <w:gridCol w:w="1432"/>
      </w:tblGrid>
      <w:tr w:rsidR="004C3DC1" w:rsidRPr="00424215">
        <w:trPr>
          <w:trHeight w:val="310"/>
        </w:trPr>
        <w:tc>
          <w:tcPr>
            <w:tcW w:w="2660" w:type="dxa"/>
            <w:vMerge w:val="restart"/>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Variable</w:t>
            </w:r>
          </w:p>
        </w:tc>
        <w:tc>
          <w:tcPr>
            <w:tcW w:w="2268" w:type="dxa"/>
            <w:gridSpan w:val="2"/>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95% Credible interval</w:t>
            </w:r>
          </w:p>
        </w:tc>
        <w:tc>
          <w:tcPr>
            <w:tcW w:w="1417" w:type="dxa"/>
            <w:vMerge w:val="restart"/>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Mean, model</w:t>
            </w:r>
          </w:p>
        </w:tc>
        <w:tc>
          <w:tcPr>
            <w:tcW w:w="1560" w:type="dxa"/>
            <w:vMerge w:val="restart"/>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Median, model</w:t>
            </w:r>
          </w:p>
        </w:tc>
        <w:tc>
          <w:tcPr>
            <w:tcW w:w="1432" w:type="dxa"/>
            <w:vMerge w:val="restart"/>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9.6 years</w:t>
            </w:r>
          </w:p>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Mean, study</w:t>
            </w:r>
          </w:p>
        </w:tc>
      </w:tr>
      <w:tr w:rsidR="004C3DC1" w:rsidRPr="00424215">
        <w:trPr>
          <w:trHeight w:val="258"/>
        </w:trPr>
        <w:tc>
          <w:tcPr>
            <w:tcW w:w="2660" w:type="dxa"/>
            <w:vMerge/>
            <w:vAlign w:val="center"/>
          </w:tcPr>
          <w:p w:rsidR="004C3DC1" w:rsidRPr="00424215" w:rsidRDefault="004C3DC1" w:rsidP="00D212ED">
            <w:pPr>
              <w:pStyle w:val="NoSpacing"/>
              <w:spacing w:line="276" w:lineRule="auto"/>
              <w:rPr>
                <w:rFonts w:ascii="Times New Roman" w:hAnsi="Times New Roman" w:cs="Times New Roman"/>
                <w:sz w:val="20"/>
                <w:szCs w:val="20"/>
              </w:rPr>
            </w:pPr>
          </w:p>
        </w:tc>
        <w:tc>
          <w:tcPr>
            <w:tcW w:w="113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2.5%</w:t>
            </w:r>
          </w:p>
        </w:tc>
        <w:tc>
          <w:tcPr>
            <w:tcW w:w="113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97.5%</w:t>
            </w:r>
          </w:p>
        </w:tc>
        <w:tc>
          <w:tcPr>
            <w:tcW w:w="1417" w:type="dxa"/>
            <w:vMerge/>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560" w:type="dxa"/>
            <w:vMerge/>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432" w:type="dxa"/>
            <w:vMerge/>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 xml:space="preserve">All-cause mortality </w:t>
            </w:r>
          </w:p>
        </w:tc>
        <w:tc>
          <w:tcPr>
            <w:tcW w:w="1134"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9.32%</w:t>
            </w:r>
          </w:p>
        </w:tc>
        <w:tc>
          <w:tcPr>
            <w:tcW w:w="1134"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26.09%</w:t>
            </w:r>
          </w:p>
        </w:tc>
        <w:tc>
          <w:tcPr>
            <w:tcW w:w="1417"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16.13%</w:t>
            </w:r>
          </w:p>
        </w:tc>
        <w:tc>
          <w:tcPr>
            <w:tcW w:w="1560"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11.87%</w:t>
            </w:r>
          </w:p>
        </w:tc>
        <w:tc>
          <w:tcPr>
            <w:tcW w:w="1432"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6.77%</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 xml:space="preserve">Cardiovascular mortality </w:t>
            </w:r>
          </w:p>
        </w:tc>
        <w:tc>
          <w:tcPr>
            <w:tcW w:w="1134"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1.18%</w:t>
            </w:r>
          </w:p>
        </w:tc>
        <w:tc>
          <w:tcPr>
            <w:tcW w:w="1134"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9.07%</w:t>
            </w:r>
          </w:p>
        </w:tc>
        <w:tc>
          <w:tcPr>
            <w:tcW w:w="1417"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4.26%</w:t>
            </w:r>
          </w:p>
        </w:tc>
        <w:tc>
          <w:tcPr>
            <w:tcW w:w="1560"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3.12%</w:t>
            </w:r>
          </w:p>
        </w:tc>
        <w:tc>
          <w:tcPr>
            <w:tcW w:w="1432"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2.02%</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 xml:space="preserve">Fatal and non-fatal myocardial infarction </w:t>
            </w:r>
          </w:p>
          <w:p w:rsidR="004C3DC1" w:rsidRPr="00424215" w:rsidRDefault="004C3DC1" w:rsidP="00D212ED">
            <w:pPr>
              <w:pStyle w:val="NoSpacing"/>
              <w:spacing w:line="276" w:lineRule="auto"/>
              <w:rPr>
                <w:rFonts w:ascii="Times New Roman" w:hAnsi="Times New Roman" w:cs="Times New Roman"/>
                <w:sz w:val="20"/>
                <w:szCs w:val="20"/>
              </w:rPr>
            </w:pPr>
          </w:p>
        </w:tc>
        <w:tc>
          <w:tcPr>
            <w:tcW w:w="1134"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3.41%</w:t>
            </w:r>
          </w:p>
        </w:tc>
        <w:tc>
          <w:tcPr>
            <w:tcW w:w="1134"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20.84%</w:t>
            </w:r>
          </w:p>
        </w:tc>
        <w:tc>
          <w:tcPr>
            <w:tcW w:w="1417"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10.30%</w:t>
            </w:r>
          </w:p>
        </w:tc>
        <w:tc>
          <w:tcPr>
            <w:tcW w:w="1560"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8.74%</w:t>
            </w:r>
          </w:p>
        </w:tc>
        <w:tc>
          <w:tcPr>
            <w:tcW w:w="1432"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6.34%</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 xml:space="preserve">Stroke </w:t>
            </w:r>
          </w:p>
        </w:tc>
        <w:tc>
          <w:tcPr>
            <w:tcW w:w="1134"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0.33%</w:t>
            </w:r>
          </w:p>
        </w:tc>
        <w:tc>
          <w:tcPr>
            <w:tcW w:w="1134"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1.59%%</w:t>
            </w:r>
          </w:p>
        </w:tc>
        <w:tc>
          <w:tcPr>
            <w:tcW w:w="1417"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0.82%</w:t>
            </w:r>
          </w:p>
        </w:tc>
        <w:tc>
          <w:tcPr>
            <w:tcW w:w="1560"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0.75%</w:t>
            </w:r>
          </w:p>
        </w:tc>
        <w:tc>
          <w:tcPr>
            <w:tcW w:w="1432"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3.31%</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 xml:space="preserve">Non-fatal Heart failure </w:t>
            </w:r>
          </w:p>
        </w:tc>
        <w:tc>
          <w:tcPr>
            <w:tcW w:w="1134"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2.33%</w:t>
            </w:r>
          </w:p>
        </w:tc>
        <w:tc>
          <w:tcPr>
            <w:tcW w:w="1134"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10.58%</w:t>
            </w:r>
          </w:p>
        </w:tc>
        <w:tc>
          <w:tcPr>
            <w:tcW w:w="1417"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5.90%</w:t>
            </w:r>
          </w:p>
        </w:tc>
        <w:tc>
          <w:tcPr>
            <w:tcW w:w="1560"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5.6%</w:t>
            </w:r>
          </w:p>
        </w:tc>
        <w:tc>
          <w:tcPr>
            <w:tcW w:w="1432" w:type="dxa"/>
            <w:vAlign w:val="center"/>
          </w:tcPr>
          <w:p w:rsidR="004C3DC1" w:rsidRPr="00424215" w:rsidRDefault="004C3DC1" w:rsidP="00D212ED">
            <w:pPr>
              <w:spacing w:after="0"/>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3.85%</w:t>
            </w:r>
          </w:p>
        </w:tc>
      </w:tr>
    </w:tbl>
    <w:p w:rsidR="004C3DC1" w:rsidRPr="00354164" w:rsidRDefault="004C3DC1" w:rsidP="00D212ED">
      <w:pPr>
        <w:rPr>
          <w:rFonts w:ascii="Times New Roman" w:hAnsi="Times New Roman" w:cs="Times New Roman"/>
          <w:sz w:val="20"/>
          <w:szCs w:val="20"/>
          <w:lang w:val="en-US"/>
        </w:rPr>
      </w:pPr>
    </w:p>
    <w:p w:rsidR="004C3DC1" w:rsidRPr="00354164" w:rsidRDefault="004C3DC1" w:rsidP="00D212ED">
      <w:pPr>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7B83496F" wp14:editId="76A52F04">
            <wp:extent cx="5029200" cy="2838450"/>
            <wp:effectExtent l="19050" t="19050" r="19050" b="1905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2838450"/>
                    </a:xfrm>
                    <a:prstGeom prst="rect">
                      <a:avLst/>
                    </a:prstGeom>
                    <a:noFill/>
                    <a:ln w="9525" cmpd="sng">
                      <a:solidFill>
                        <a:srgbClr val="D9D9D9"/>
                      </a:solidFill>
                      <a:miter lim="800000"/>
                      <a:headEnd/>
                      <a:tailEnd/>
                    </a:ln>
                    <a:effectLst/>
                  </pic:spPr>
                </pic:pic>
              </a:graphicData>
            </a:graphic>
          </wp:inline>
        </w:drawing>
      </w:r>
    </w:p>
    <w:p w:rsidR="004C3DC1" w:rsidRPr="00B67F0F" w:rsidRDefault="004C3DC1" w:rsidP="00D212ED">
      <w:pPr>
        <w:jc w:val="center"/>
        <w:rPr>
          <w:rFonts w:ascii="Times New Roman" w:hAnsi="Times New Roman" w:cs="Times New Roman"/>
          <w:sz w:val="24"/>
          <w:szCs w:val="24"/>
          <w:lang w:val="en-US"/>
        </w:rPr>
      </w:pPr>
      <w:r w:rsidRPr="007917D8">
        <w:rPr>
          <w:rFonts w:ascii="Times New Roman" w:hAnsi="Times New Roman" w:cs="Times New Roman"/>
          <w:b/>
          <w:bCs/>
          <w:sz w:val="24"/>
          <w:szCs w:val="24"/>
          <w:lang w:val="en-US"/>
        </w:rPr>
        <w:t>Fig. S2</w:t>
      </w:r>
      <w:r w:rsidRPr="00B67F0F">
        <w:rPr>
          <w:rFonts w:ascii="Times New Roman" w:hAnsi="Times New Roman" w:cs="Times New Roman"/>
          <w:sz w:val="24"/>
          <w:szCs w:val="24"/>
          <w:lang w:val="en-US"/>
        </w:rPr>
        <w:t xml:space="preserve"> Results of model validation against AHEAD</w:t>
      </w:r>
    </w:p>
    <w:p w:rsidR="004C3DC1" w:rsidRDefault="004C3DC1" w:rsidP="00D212ED">
      <w:pPr>
        <w:rPr>
          <w:rFonts w:ascii="Times New Roman" w:hAnsi="Times New Roman" w:cs="Times New Roman"/>
          <w:b/>
          <w:bCs/>
          <w:sz w:val="24"/>
          <w:szCs w:val="24"/>
          <w:lang w:val="en-US"/>
        </w:rPr>
      </w:pPr>
    </w:p>
    <w:p w:rsidR="004C3DC1" w:rsidRPr="00B67F0F" w:rsidRDefault="004C3DC1" w:rsidP="00D212ED">
      <w:pPr>
        <w:rPr>
          <w:rFonts w:ascii="Times New Roman" w:hAnsi="Times New Roman" w:cs="Times New Roman"/>
          <w:b/>
          <w:bCs/>
          <w:sz w:val="24"/>
          <w:szCs w:val="24"/>
          <w:lang w:val="en-US"/>
        </w:rPr>
      </w:pPr>
      <w:r w:rsidRPr="00B67F0F">
        <w:rPr>
          <w:rFonts w:ascii="Times New Roman" w:hAnsi="Times New Roman" w:cs="Times New Roman"/>
          <w:b/>
          <w:bCs/>
          <w:sz w:val="24"/>
          <w:szCs w:val="24"/>
          <w:lang w:val="en-US"/>
        </w:rPr>
        <w:lastRenderedPageBreak/>
        <w:t>Validation against ACCORD</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The Action to Control Cardiovascular Risk in Diabetes (ACCORD) study is a multicenter, prospective, randomized controlled trial that included 4 733 patients with diabetes II aged 40 years of age or older with cardiovascular disease or 55 years of age or older with at least two additional risk factors for cardiovascular disease. The goal of the study was to compare the effect of an intensive therapy, targeting a systolic pressure of less than 120 mm Hg, or standard therapy, targeting a systolic pressure of less than 140 mm Hg. The primary composite outcome was nonfatal myocardial infarction, nonfatal stroke, or death from cardiovascular causes.</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Results for intensive and standard blood-pressure control in type 2 diabetes patients were reported in a graph only, during an 8-year period. It was assumed that intensive control lead to a 123 mm Hg SBP at 6 months, 122 mm Hg SBP at 9 months, 120 mm Hg SBP at 1 year, 119 mm Hg SBP at 2 years, 119 mm Hg SBP at 3 years, 119 mm Hg SBP at 4 years, 119 mm Hg SBP at 5 years, 119.5 mm Hg SBP at 6 years, 118 mm Hg SBP at 7 years, 120 mm Hg SBP at 8 years.</w:t>
      </w:r>
    </w:p>
    <w:p w:rsidR="004C3DC1" w:rsidRPr="00B67F0F" w:rsidRDefault="004C3DC1" w:rsidP="00D212ED">
      <w:pPr>
        <w:rPr>
          <w:rFonts w:ascii="Times New Roman" w:hAnsi="Times New Roman" w:cs="Times New Roman"/>
          <w:sz w:val="24"/>
          <w:szCs w:val="24"/>
          <w:lang w:val="en-US"/>
        </w:rPr>
      </w:pPr>
      <w:r w:rsidRPr="007917D8">
        <w:rPr>
          <w:rFonts w:ascii="Times New Roman" w:hAnsi="Times New Roman" w:cs="Times New Roman"/>
          <w:b/>
          <w:bCs/>
          <w:sz w:val="24"/>
          <w:szCs w:val="24"/>
          <w:lang w:val="en-US"/>
        </w:rPr>
        <w:t>Table S7</w:t>
      </w:r>
      <w:r w:rsidRPr="00B67F0F">
        <w:rPr>
          <w:rFonts w:ascii="Times New Roman" w:hAnsi="Times New Roman" w:cs="Times New Roman"/>
          <w:sz w:val="24"/>
          <w:szCs w:val="24"/>
          <w:lang w:val="en-US"/>
        </w:rPr>
        <w:t xml:space="preserve"> Study patient characteristics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3"/>
        <w:gridCol w:w="934"/>
        <w:gridCol w:w="840"/>
        <w:gridCol w:w="815"/>
        <w:gridCol w:w="641"/>
        <w:gridCol w:w="684"/>
        <w:gridCol w:w="684"/>
        <w:gridCol w:w="684"/>
        <w:gridCol w:w="681"/>
        <w:gridCol w:w="681"/>
        <w:gridCol w:w="681"/>
        <w:gridCol w:w="674"/>
      </w:tblGrid>
      <w:tr w:rsidR="004C3DC1" w:rsidRPr="00424215">
        <w:trPr>
          <w:trHeight w:val="242"/>
        </w:trPr>
        <w:tc>
          <w:tcPr>
            <w:tcW w:w="1063" w:type="dxa"/>
            <w:vAlign w:val="center"/>
          </w:tcPr>
          <w:p w:rsidR="004C3DC1" w:rsidRPr="00424215" w:rsidRDefault="004C3DC1" w:rsidP="00D212ED">
            <w:pPr>
              <w:spacing w:after="0"/>
              <w:rPr>
                <w:rFonts w:ascii="Times New Roman" w:hAnsi="Times New Roman" w:cs="Times New Roman"/>
                <w:sz w:val="20"/>
                <w:szCs w:val="20"/>
                <w:lang w:val="en-US"/>
              </w:rPr>
            </w:pPr>
          </w:p>
        </w:tc>
        <w:tc>
          <w:tcPr>
            <w:tcW w:w="93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Baseline</w:t>
            </w:r>
          </w:p>
        </w:tc>
        <w:tc>
          <w:tcPr>
            <w:tcW w:w="840"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6 months</w:t>
            </w:r>
          </w:p>
        </w:tc>
        <w:tc>
          <w:tcPr>
            <w:tcW w:w="815"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9 months</w:t>
            </w:r>
          </w:p>
        </w:tc>
        <w:tc>
          <w:tcPr>
            <w:tcW w:w="641"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 year</w:t>
            </w:r>
          </w:p>
        </w:tc>
        <w:tc>
          <w:tcPr>
            <w:tcW w:w="68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 years</w:t>
            </w:r>
          </w:p>
        </w:tc>
        <w:tc>
          <w:tcPr>
            <w:tcW w:w="68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3 years</w:t>
            </w:r>
          </w:p>
        </w:tc>
        <w:tc>
          <w:tcPr>
            <w:tcW w:w="68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4 years</w:t>
            </w:r>
          </w:p>
        </w:tc>
        <w:tc>
          <w:tcPr>
            <w:tcW w:w="681"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5 years</w:t>
            </w:r>
          </w:p>
        </w:tc>
        <w:tc>
          <w:tcPr>
            <w:tcW w:w="681"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6 years</w:t>
            </w:r>
          </w:p>
        </w:tc>
        <w:tc>
          <w:tcPr>
            <w:tcW w:w="681"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7 years</w:t>
            </w:r>
          </w:p>
        </w:tc>
        <w:tc>
          <w:tcPr>
            <w:tcW w:w="67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8 years</w:t>
            </w:r>
          </w:p>
        </w:tc>
      </w:tr>
      <w:tr w:rsidR="004C3DC1" w:rsidRPr="00424215">
        <w:trPr>
          <w:trHeight w:val="242"/>
        </w:trPr>
        <w:tc>
          <w:tcPr>
            <w:tcW w:w="1063"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Age (SD)</w:t>
            </w:r>
          </w:p>
        </w:tc>
        <w:tc>
          <w:tcPr>
            <w:tcW w:w="93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62.2 (6.9)</w:t>
            </w:r>
          </w:p>
        </w:tc>
        <w:tc>
          <w:tcPr>
            <w:tcW w:w="840"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815"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41"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74" w:type="dxa"/>
            <w:vAlign w:val="center"/>
          </w:tcPr>
          <w:p w:rsidR="004C3DC1" w:rsidRDefault="004C3DC1" w:rsidP="00D212ED">
            <w:pPr>
              <w:jc w:val="center"/>
            </w:pPr>
            <w:r w:rsidRPr="00A712E7">
              <w:rPr>
                <w:rFonts w:ascii="Times New Roman" w:hAnsi="Times New Roman" w:cs="Times New Roman"/>
                <w:sz w:val="20"/>
                <w:szCs w:val="20"/>
                <w:lang w:val="en-US"/>
              </w:rPr>
              <w:t>-</w:t>
            </w:r>
          </w:p>
        </w:tc>
      </w:tr>
      <w:tr w:rsidR="004C3DC1" w:rsidRPr="00424215">
        <w:trPr>
          <w:trHeight w:val="242"/>
        </w:trPr>
        <w:tc>
          <w:tcPr>
            <w:tcW w:w="1063"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 xml:space="preserve">Males, % </w:t>
            </w:r>
          </w:p>
        </w:tc>
        <w:tc>
          <w:tcPr>
            <w:tcW w:w="93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52.3</w:t>
            </w:r>
          </w:p>
        </w:tc>
        <w:tc>
          <w:tcPr>
            <w:tcW w:w="840"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815"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41"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74" w:type="dxa"/>
            <w:vAlign w:val="center"/>
          </w:tcPr>
          <w:p w:rsidR="004C3DC1" w:rsidRDefault="004C3DC1" w:rsidP="00D212ED">
            <w:pPr>
              <w:jc w:val="center"/>
            </w:pPr>
            <w:r w:rsidRPr="00A712E7">
              <w:rPr>
                <w:rFonts w:ascii="Times New Roman" w:hAnsi="Times New Roman" w:cs="Times New Roman"/>
                <w:sz w:val="20"/>
                <w:szCs w:val="20"/>
                <w:lang w:val="en-US"/>
              </w:rPr>
              <w:t>-</w:t>
            </w:r>
          </w:p>
        </w:tc>
      </w:tr>
      <w:tr w:rsidR="004C3DC1" w:rsidRPr="00424215">
        <w:trPr>
          <w:trHeight w:val="500"/>
        </w:trPr>
        <w:tc>
          <w:tcPr>
            <w:tcW w:w="1063"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 xml:space="preserve">BMI, mean (SD) </w:t>
            </w:r>
          </w:p>
        </w:tc>
        <w:tc>
          <w:tcPr>
            <w:tcW w:w="93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32.1 (5.6)</w:t>
            </w:r>
          </w:p>
        </w:tc>
        <w:tc>
          <w:tcPr>
            <w:tcW w:w="840"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815"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41"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A712E7">
              <w:rPr>
                <w:rFonts w:ascii="Times New Roman" w:hAnsi="Times New Roman" w:cs="Times New Roman"/>
                <w:sz w:val="20"/>
                <w:szCs w:val="20"/>
                <w:lang w:val="en-US"/>
              </w:rPr>
              <w:t>-</w:t>
            </w:r>
          </w:p>
        </w:tc>
        <w:tc>
          <w:tcPr>
            <w:tcW w:w="674" w:type="dxa"/>
            <w:vAlign w:val="center"/>
          </w:tcPr>
          <w:p w:rsidR="004C3DC1" w:rsidRDefault="004C3DC1" w:rsidP="00D212ED">
            <w:pPr>
              <w:jc w:val="center"/>
            </w:pPr>
            <w:r w:rsidRPr="00A712E7">
              <w:rPr>
                <w:rFonts w:ascii="Times New Roman" w:hAnsi="Times New Roman" w:cs="Times New Roman"/>
                <w:sz w:val="20"/>
                <w:szCs w:val="20"/>
                <w:lang w:val="en-US"/>
              </w:rPr>
              <w:t>-</w:t>
            </w:r>
          </w:p>
        </w:tc>
      </w:tr>
      <w:tr w:rsidR="004C3DC1" w:rsidRPr="00424215">
        <w:trPr>
          <w:trHeight w:val="484"/>
        </w:trPr>
        <w:tc>
          <w:tcPr>
            <w:tcW w:w="1063"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 xml:space="preserve">SBP, mean (SD) </w:t>
            </w:r>
          </w:p>
        </w:tc>
        <w:tc>
          <w:tcPr>
            <w:tcW w:w="93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139.2 (15.8)</w:t>
            </w:r>
          </w:p>
        </w:tc>
        <w:tc>
          <w:tcPr>
            <w:tcW w:w="840"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-16.2</w:t>
            </w:r>
          </w:p>
        </w:tc>
        <w:tc>
          <w:tcPr>
            <w:tcW w:w="815"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-17.2</w:t>
            </w:r>
          </w:p>
        </w:tc>
        <w:tc>
          <w:tcPr>
            <w:tcW w:w="641"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-19.2</w:t>
            </w:r>
          </w:p>
        </w:tc>
        <w:tc>
          <w:tcPr>
            <w:tcW w:w="68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-20.2</w:t>
            </w:r>
          </w:p>
        </w:tc>
        <w:tc>
          <w:tcPr>
            <w:tcW w:w="68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-20.2</w:t>
            </w:r>
          </w:p>
        </w:tc>
        <w:tc>
          <w:tcPr>
            <w:tcW w:w="68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-20.2</w:t>
            </w:r>
          </w:p>
        </w:tc>
        <w:tc>
          <w:tcPr>
            <w:tcW w:w="681"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-20.2</w:t>
            </w:r>
          </w:p>
        </w:tc>
        <w:tc>
          <w:tcPr>
            <w:tcW w:w="681"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-19.7</w:t>
            </w:r>
          </w:p>
        </w:tc>
        <w:tc>
          <w:tcPr>
            <w:tcW w:w="681"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-21.2</w:t>
            </w:r>
          </w:p>
        </w:tc>
        <w:tc>
          <w:tcPr>
            <w:tcW w:w="67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-19.2</w:t>
            </w:r>
          </w:p>
        </w:tc>
      </w:tr>
      <w:tr w:rsidR="004C3DC1" w:rsidRPr="00424215">
        <w:trPr>
          <w:trHeight w:val="278"/>
        </w:trPr>
        <w:tc>
          <w:tcPr>
            <w:tcW w:w="1063"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 xml:space="preserve">Currently smoking, %  </w:t>
            </w:r>
          </w:p>
        </w:tc>
        <w:tc>
          <w:tcPr>
            <w:tcW w:w="93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13.2%</w:t>
            </w:r>
          </w:p>
        </w:tc>
        <w:tc>
          <w:tcPr>
            <w:tcW w:w="840"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815"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41"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74" w:type="dxa"/>
            <w:vAlign w:val="center"/>
          </w:tcPr>
          <w:p w:rsidR="004C3DC1" w:rsidRDefault="004C3DC1" w:rsidP="00D212ED">
            <w:pPr>
              <w:jc w:val="center"/>
            </w:pPr>
            <w:r w:rsidRPr="00BF50A8">
              <w:rPr>
                <w:rFonts w:ascii="Times New Roman" w:hAnsi="Times New Roman" w:cs="Times New Roman"/>
                <w:sz w:val="20"/>
                <w:szCs w:val="20"/>
                <w:lang w:val="en-US"/>
              </w:rPr>
              <w:t>-</w:t>
            </w:r>
          </w:p>
        </w:tc>
      </w:tr>
      <w:tr w:rsidR="004C3DC1" w:rsidRPr="00424215">
        <w:trPr>
          <w:trHeight w:val="268"/>
        </w:trPr>
        <w:tc>
          <w:tcPr>
            <w:tcW w:w="1063" w:type="dxa"/>
            <w:vAlign w:val="center"/>
          </w:tcPr>
          <w:p w:rsidR="004C3DC1" w:rsidRPr="00424215" w:rsidRDefault="004C3DC1" w:rsidP="00D212ED">
            <w:pPr>
              <w:spacing w:after="0"/>
              <w:rPr>
                <w:rFonts w:ascii="Times New Roman" w:hAnsi="Times New Roman" w:cs="Times New Roman"/>
                <w:sz w:val="20"/>
                <w:szCs w:val="20"/>
                <w:lang w:val="en-US"/>
              </w:rPr>
            </w:pPr>
            <w:r w:rsidRPr="00424215">
              <w:rPr>
                <w:rFonts w:ascii="Times New Roman" w:hAnsi="Times New Roman" w:cs="Times New Roman"/>
                <w:sz w:val="20"/>
                <w:szCs w:val="20"/>
                <w:lang w:val="en-US"/>
              </w:rPr>
              <w:t xml:space="preserve">Diabetics, % </w:t>
            </w:r>
          </w:p>
        </w:tc>
        <w:tc>
          <w:tcPr>
            <w:tcW w:w="934" w:type="dxa"/>
            <w:vAlign w:val="center"/>
          </w:tcPr>
          <w:p w:rsidR="004C3DC1" w:rsidRPr="00424215" w:rsidRDefault="004C3DC1" w:rsidP="00D212ED">
            <w:pPr>
              <w:spacing w:after="0"/>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100%</w:t>
            </w:r>
          </w:p>
        </w:tc>
        <w:tc>
          <w:tcPr>
            <w:tcW w:w="840"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815"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41"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84"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81" w:type="dxa"/>
            <w:vAlign w:val="center"/>
          </w:tcPr>
          <w:p w:rsidR="004C3DC1" w:rsidRDefault="004C3DC1" w:rsidP="00D212ED">
            <w:pPr>
              <w:jc w:val="center"/>
            </w:pPr>
            <w:r w:rsidRPr="00BF50A8">
              <w:rPr>
                <w:rFonts w:ascii="Times New Roman" w:hAnsi="Times New Roman" w:cs="Times New Roman"/>
                <w:sz w:val="20"/>
                <w:szCs w:val="20"/>
                <w:lang w:val="en-US"/>
              </w:rPr>
              <w:t>-</w:t>
            </w:r>
          </w:p>
        </w:tc>
        <w:tc>
          <w:tcPr>
            <w:tcW w:w="674" w:type="dxa"/>
            <w:vAlign w:val="center"/>
          </w:tcPr>
          <w:p w:rsidR="004C3DC1" w:rsidRDefault="004C3DC1" w:rsidP="00D212ED">
            <w:pPr>
              <w:jc w:val="center"/>
            </w:pPr>
            <w:r w:rsidRPr="00BF50A8">
              <w:rPr>
                <w:rFonts w:ascii="Times New Roman" w:hAnsi="Times New Roman" w:cs="Times New Roman"/>
                <w:sz w:val="20"/>
                <w:szCs w:val="20"/>
                <w:lang w:val="en-US"/>
              </w:rPr>
              <w:t>-</w:t>
            </w:r>
          </w:p>
        </w:tc>
      </w:tr>
    </w:tbl>
    <w:p w:rsidR="004C3DC1" w:rsidRPr="00354164" w:rsidRDefault="004C3DC1" w:rsidP="00D212ED">
      <w:pPr>
        <w:rPr>
          <w:rFonts w:ascii="Times New Roman" w:hAnsi="Times New Roman" w:cs="Times New Roman"/>
          <w:sz w:val="20"/>
          <w:szCs w:val="20"/>
          <w:lang w:val="en-US"/>
        </w:rPr>
      </w:pPr>
      <w:r>
        <w:rPr>
          <w:rFonts w:ascii="Times New Roman" w:hAnsi="Times New Roman" w:cs="Times New Roman"/>
          <w:lang w:val="en-US"/>
        </w:rPr>
        <w:t>BMI</w:t>
      </w:r>
      <w:r w:rsidRPr="000D75C6">
        <w:rPr>
          <w:rFonts w:ascii="Times New Roman" w:hAnsi="Times New Roman" w:cs="Times New Roman"/>
          <w:lang w:val="en-US"/>
        </w:rPr>
        <w:t xml:space="preserve">: </w:t>
      </w:r>
      <w:r>
        <w:rPr>
          <w:rFonts w:ascii="Times New Roman" w:hAnsi="Times New Roman" w:cs="Times New Roman"/>
          <w:lang w:val="en-US"/>
        </w:rPr>
        <w:t>body mass index; SBP: systolic blood pressure; SD: standard deviation</w:t>
      </w:r>
      <w:r w:rsidRPr="000D75C6">
        <w:rPr>
          <w:rFonts w:ascii="Times New Roman" w:hAnsi="Times New Roman" w:cs="Times New Roman"/>
          <w:lang w:val="en-US"/>
        </w:rPr>
        <w:t>.</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 xml:space="preserve">Validation showed, that model predicts clinical events (cardiovascular mortality, stroke and non-fatal MI) relatively precisely. There was a tendency to overestimate all-cause mortality. </w:t>
      </w:r>
    </w:p>
    <w:p w:rsidR="004C3DC1" w:rsidRPr="00B67F0F" w:rsidRDefault="004C3DC1" w:rsidP="00D212ED">
      <w:pPr>
        <w:rPr>
          <w:rFonts w:ascii="Times New Roman" w:hAnsi="Times New Roman" w:cs="Times New Roman"/>
          <w:sz w:val="24"/>
          <w:szCs w:val="24"/>
          <w:lang w:val="en-US"/>
        </w:rPr>
      </w:pPr>
      <w:r w:rsidRPr="007917D8">
        <w:rPr>
          <w:rFonts w:ascii="Times New Roman" w:hAnsi="Times New Roman" w:cs="Times New Roman"/>
          <w:b/>
          <w:bCs/>
          <w:sz w:val="24"/>
          <w:szCs w:val="24"/>
          <w:lang w:val="en-US"/>
        </w:rPr>
        <w:t>Table S8</w:t>
      </w:r>
      <w:r w:rsidRPr="00B67F0F">
        <w:rPr>
          <w:rFonts w:ascii="Times New Roman" w:hAnsi="Times New Roman" w:cs="Times New Roman"/>
          <w:sz w:val="24"/>
          <w:szCs w:val="24"/>
          <w:lang w:val="en-US"/>
        </w:rPr>
        <w:t xml:space="preserve"> Results of model validation against ACCORD</w:t>
      </w:r>
    </w:p>
    <w:tbl>
      <w:tblPr>
        <w:tblW w:w="93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1134"/>
        <w:gridCol w:w="1134"/>
        <w:gridCol w:w="1417"/>
        <w:gridCol w:w="1560"/>
        <w:gridCol w:w="1432"/>
      </w:tblGrid>
      <w:tr w:rsidR="004C3DC1" w:rsidRPr="00424215">
        <w:trPr>
          <w:trHeight w:val="310"/>
        </w:trPr>
        <w:tc>
          <w:tcPr>
            <w:tcW w:w="2660" w:type="dxa"/>
            <w:vMerge w:val="restart"/>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Variable</w:t>
            </w:r>
          </w:p>
        </w:tc>
        <w:tc>
          <w:tcPr>
            <w:tcW w:w="2268" w:type="dxa"/>
            <w:gridSpan w:val="2"/>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95% Credible interval</w:t>
            </w:r>
          </w:p>
        </w:tc>
        <w:tc>
          <w:tcPr>
            <w:tcW w:w="1417" w:type="dxa"/>
            <w:vMerge w:val="restart"/>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Mean, model</w:t>
            </w:r>
          </w:p>
        </w:tc>
        <w:tc>
          <w:tcPr>
            <w:tcW w:w="1560" w:type="dxa"/>
            <w:vMerge w:val="restart"/>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Median, model</w:t>
            </w:r>
          </w:p>
        </w:tc>
        <w:tc>
          <w:tcPr>
            <w:tcW w:w="1432" w:type="dxa"/>
            <w:vMerge w:val="restart"/>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 xml:space="preserve">4.7 years </w:t>
            </w:r>
          </w:p>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Mean, study</w:t>
            </w:r>
          </w:p>
        </w:tc>
      </w:tr>
      <w:tr w:rsidR="004C3DC1" w:rsidRPr="00424215">
        <w:trPr>
          <w:trHeight w:val="258"/>
        </w:trPr>
        <w:tc>
          <w:tcPr>
            <w:tcW w:w="2660" w:type="dxa"/>
            <w:vMerge/>
            <w:vAlign w:val="center"/>
          </w:tcPr>
          <w:p w:rsidR="004C3DC1" w:rsidRPr="00424215" w:rsidRDefault="004C3DC1" w:rsidP="00D212ED">
            <w:pPr>
              <w:pStyle w:val="NoSpacing"/>
              <w:spacing w:line="276" w:lineRule="auto"/>
              <w:rPr>
                <w:rFonts w:ascii="Times New Roman" w:hAnsi="Times New Roman" w:cs="Times New Roman"/>
                <w:sz w:val="20"/>
                <w:szCs w:val="20"/>
              </w:rPr>
            </w:pPr>
          </w:p>
        </w:tc>
        <w:tc>
          <w:tcPr>
            <w:tcW w:w="1134"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2.5%</w:t>
            </w:r>
          </w:p>
        </w:tc>
        <w:tc>
          <w:tcPr>
            <w:tcW w:w="1134"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97.5%</w:t>
            </w:r>
          </w:p>
        </w:tc>
        <w:tc>
          <w:tcPr>
            <w:tcW w:w="1417" w:type="dxa"/>
            <w:vMerge/>
            <w:vAlign w:val="center"/>
          </w:tcPr>
          <w:p w:rsidR="004C3DC1" w:rsidRPr="00424215" w:rsidRDefault="004C3DC1" w:rsidP="00D212ED">
            <w:pPr>
              <w:pStyle w:val="NoSpacing"/>
              <w:spacing w:line="276" w:lineRule="auto"/>
              <w:rPr>
                <w:rFonts w:ascii="Times New Roman" w:hAnsi="Times New Roman" w:cs="Times New Roman"/>
                <w:sz w:val="20"/>
                <w:szCs w:val="20"/>
              </w:rPr>
            </w:pPr>
          </w:p>
        </w:tc>
        <w:tc>
          <w:tcPr>
            <w:tcW w:w="1560" w:type="dxa"/>
            <w:vMerge/>
            <w:vAlign w:val="center"/>
          </w:tcPr>
          <w:p w:rsidR="004C3DC1" w:rsidRPr="00424215" w:rsidRDefault="004C3DC1" w:rsidP="00D212ED">
            <w:pPr>
              <w:pStyle w:val="NoSpacing"/>
              <w:spacing w:line="276" w:lineRule="auto"/>
              <w:rPr>
                <w:rFonts w:ascii="Times New Roman" w:hAnsi="Times New Roman" w:cs="Times New Roman"/>
                <w:sz w:val="20"/>
                <w:szCs w:val="20"/>
              </w:rPr>
            </w:pPr>
          </w:p>
        </w:tc>
        <w:tc>
          <w:tcPr>
            <w:tcW w:w="1432" w:type="dxa"/>
            <w:vMerge/>
            <w:vAlign w:val="center"/>
          </w:tcPr>
          <w:p w:rsidR="004C3DC1" w:rsidRPr="00424215" w:rsidRDefault="004C3DC1" w:rsidP="00D212ED">
            <w:pPr>
              <w:pStyle w:val="NoSpacing"/>
              <w:spacing w:line="276" w:lineRule="auto"/>
              <w:rPr>
                <w:rFonts w:ascii="Times New Roman" w:hAnsi="Times New Roman" w:cs="Times New Roman"/>
                <w:sz w:val="20"/>
                <w:szCs w:val="20"/>
              </w:rPr>
            </w:pPr>
          </w:p>
        </w:tc>
      </w:tr>
      <w:tr w:rsidR="004C3DC1" w:rsidRPr="00424215">
        <w:trPr>
          <w:trHeight w:val="506"/>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 xml:space="preserve">All-cause mortality </w:t>
            </w:r>
          </w:p>
        </w:tc>
        <w:tc>
          <w:tcPr>
            <w:tcW w:w="1134"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5.23%</w:t>
            </w:r>
          </w:p>
        </w:tc>
        <w:tc>
          <w:tcPr>
            <w:tcW w:w="1134"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15.29%</w:t>
            </w:r>
          </w:p>
        </w:tc>
        <w:tc>
          <w:tcPr>
            <w:tcW w:w="1417"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9.59%</w:t>
            </w:r>
          </w:p>
        </w:tc>
        <w:tc>
          <w:tcPr>
            <w:tcW w:w="1560"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12.65%</w:t>
            </w:r>
          </w:p>
        </w:tc>
        <w:tc>
          <w:tcPr>
            <w:tcW w:w="1432"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6.35%</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 xml:space="preserve">Cardiovascular mortality </w:t>
            </w:r>
          </w:p>
        </w:tc>
        <w:tc>
          <w:tcPr>
            <w:tcW w:w="1134"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0.93%</w:t>
            </w:r>
          </w:p>
        </w:tc>
        <w:tc>
          <w:tcPr>
            <w:tcW w:w="1134"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5.85%</w:t>
            </w:r>
          </w:p>
        </w:tc>
        <w:tc>
          <w:tcPr>
            <w:tcW w:w="1417"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2.65%</w:t>
            </w:r>
          </w:p>
        </w:tc>
        <w:tc>
          <w:tcPr>
            <w:tcW w:w="1560"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3.54%</w:t>
            </w:r>
          </w:p>
        </w:tc>
        <w:tc>
          <w:tcPr>
            <w:tcW w:w="1432"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2.54%</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lastRenderedPageBreak/>
              <w:t xml:space="preserve">non-fatal myocardial infarction </w:t>
            </w:r>
          </w:p>
        </w:tc>
        <w:tc>
          <w:tcPr>
            <w:tcW w:w="1134"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3.03%</w:t>
            </w:r>
          </w:p>
        </w:tc>
        <w:tc>
          <w:tcPr>
            <w:tcW w:w="1134"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13.04%</w:t>
            </w:r>
          </w:p>
        </w:tc>
        <w:tc>
          <w:tcPr>
            <w:tcW w:w="1417"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6.10%</w:t>
            </w:r>
          </w:p>
        </w:tc>
        <w:tc>
          <w:tcPr>
            <w:tcW w:w="1560"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7.78%</w:t>
            </w:r>
          </w:p>
        </w:tc>
        <w:tc>
          <w:tcPr>
            <w:tcW w:w="1432"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5.33%</w:t>
            </w:r>
          </w:p>
        </w:tc>
      </w:tr>
      <w:tr w:rsidR="004C3DC1" w:rsidRPr="00424215">
        <w:trPr>
          <w:trHeight w:val="298"/>
        </w:trPr>
        <w:tc>
          <w:tcPr>
            <w:tcW w:w="2660" w:type="dxa"/>
            <w:vAlign w:val="center"/>
          </w:tcPr>
          <w:p w:rsidR="004C3DC1" w:rsidRPr="00424215" w:rsidRDefault="004C3DC1" w:rsidP="00D212ED">
            <w:pPr>
              <w:pStyle w:val="NoSpacing"/>
              <w:spacing w:line="276" w:lineRule="auto"/>
              <w:rPr>
                <w:rFonts w:ascii="Times New Roman" w:hAnsi="Times New Roman" w:cs="Times New Roman"/>
                <w:sz w:val="20"/>
                <w:szCs w:val="20"/>
              </w:rPr>
            </w:pPr>
            <w:r w:rsidRPr="00424215">
              <w:rPr>
                <w:rFonts w:ascii="Times New Roman" w:hAnsi="Times New Roman" w:cs="Times New Roman"/>
                <w:sz w:val="20"/>
                <w:szCs w:val="20"/>
              </w:rPr>
              <w:t xml:space="preserve">Fatal or non-fatal Stroke </w:t>
            </w:r>
          </w:p>
        </w:tc>
        <w:tc>
          <w:tcPr>
            <w:tcW w:w="1134"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2.50%</w:t>
            </w:r>
          </w:p>
        </w:tc>
        <w:tc>
          <w:tcPr>
            <w:tcW w:w="1134"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4.42%</w:t>
            </w:r>
          </w:p>
        </w:tc>
        <w:tc>
          <w:tcPr>
            <w:tcW w:w="1417"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2.93%</w:t>
            </w:r>
          </w:p>
        </w:tc>
        <w:tc>
          <w:tcPr>
            <w:tcW w:w="1560"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2.75%</w:t>
            </w:r>
          </w:p>
        </w:tc>
        <w:tc>
          <w:tcPr>
            <w:tcW w:w="1432" w:type="dxa"/>
            <w:vAlign w:val="bottom"/>
          </w:tcPr>
          <w:p w:rsidR="004C3DC1" w:rsidRPr="00424215" w:rsidRDefault="004C3DC1" w:rsidP="00D212ED">
            <w:pPr>
              <w:spacing w:after="0"/>
              <w:rPr>
                <w:rFonts w:ascii="Times New Roman" w:hAnsi="Times New Roman" w:cs="Times New Roman"/>
                <w:color w:val="000000"/>
                <w:sz w:val="20"/>
                <w:szCs w:val="20"/>
              </w:rPr>
            </w:pPr>
            <w:r w:rsidRPr="00424215">
              <w:rPr>
                <w:rFonts w:ascii="Times New Roman" w:hAnsi="Times New Roman" w:cs="Times New Roman"/>
                <w:color w:val="000000"/>
                <w:sz w:val="20"/>
                <w:szCs w:val="20"/>
              </w:rPr>
              <w:t>1.52%</w:t>
            </w:r>
          </w:p>
        </w:tc>
      </w:tr>
    </w:tbl>
    <w:p w:rsidR="004C3DC1" w:rsidRPr="00354164" w:rsidRDefault="004C3DC1" w:rsidP="00D212ED">
      <w:pPr>
        <w:rPr>
          <w:rFonts w:ascii="Times New Roman" w:hAnsi="Times New Roman" w:cs="Times New Roman"/>
          <w:sz w:val="20"/>
          <w:szCs w:val="20"/>
          <w:lang w:val="en-US"/>
        </w:rPr>
      </w:pPr>
    </w:p>
    <w:p w:rsidR="004C3DC1" w:rsidRPr="00354164" w:rsidRDefault="004C3DC1" w:rsidP="00D212ED">
      <w:pPr>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3A09AADC" wp14:editId="1FEC7DE2">
            <wp:extent cx="4562475" cy="2419350"/>
            <wp:effectExtent l="19050" t="19050" r="28575" b="1905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62475" cy="2419350"/>
                    </a:xfrm>
                    <a:prstGeom prst="rect">
                      <a:avLst/>
                    </a:prstGeom>
                    <a:noFill/>
                    <a:ln w="9525" cmpd="sng">
                      <a:solidFill>
                        <a:srgbClr val="D9D9D9"/>
                      </a:solidFill>
                      <a:miter lim="800000"/>
                      <a:headEnd/>
                      <a:tailEnd/>
                    </a:ln>
                    <a:effectLst/>
                  </pic:spPr>
                </pic:pic>
              </a:graphicData>
            </a:graphic>
          </wp:inline>
        </w:drawing>
      </w:r>
    </w:p>
    <w:p w:rsidR="004C3DC1" w:rsidRPr="00B67F0F" w:rsidRDefault="004C3DC1" w:rsidP="00D212ED">
      <w:pPr>
        <w:jc w:val="center"/>
        <w:rPr>
          <w:rFonts w:ascii="Times New Roman" w:hAnsi="Times New Roman" w:cs="Times New Roman"/>
          <w:sz w:val="24"/>
          <w:szCs w:val="24"/>
          <w:lang w:val="en-US"/>
        </w:rPr>
      </w:pPr>
      <w:r w:rsidRPr="007917D8">
        <w:rPr>
          <w:rFonts w:ascii="Times New Roman" w:hAnsi="Times New Roman" w:cs="Times New Roman"/>
          <w:b/>
          <w:bCs/>
          <w:sz w:val="24"/>
          <w:szCs w:val="24"/>
          <w:lang w:val="en-US"/>
        </w:rPr>
        <w:t>Fig. S3</w:t>
      </w:r>
      <w:r w:rsidRPr="00B67F0F">
        <w:rPr>
          <w:rFonts w:ascii="Times New Roman" w:hAnsi="Times New Roman" w:cs="Times New Roman"/>
          <w:sz w:val="24"/>
          <w:szCs w:val="24"/>
          <w:lang w:val="en-US"/>
        </w:rPr>
        <w:t xml:space="preserve"> Results of model validation against ACCORD</w:t>
      </w:r>
    </w:p>
    <w:p w:rsidR="004C3DC1" w:rsidRDefault="004C3DC1" w:rsidP="00D212ED">
      <w:pPr>
        <w:rPr>
          <w:rFonts w:ascii="Times New Roman" w:hAnsi="Times New Roman" w:cs="Times New Roman"/>
          <w:b/>
          <w:bCs/>
          <w:sz w:val="24"/>
          <w:szCs w:val="24"/>
          <w:lang w:val="en-US"/>
        </w:rPr>
      </w:pPr>
    </w:p>
    <w:p w:rsidR="004C3DC1" w:rsidRPr="00B67F0F" w:rsidRDefault="004C3DC1" w:rsidP="00D212ED">
      <w:pPr>
        <w:rPr>
          <w:rFonts w:ascii="Times New Roman" w:hAnsi="Times New Roman" w:cs="Times New Roman"/>
          <w:b/>
          <w:bCs/>
          <w:sz w:val="24"/>
          <w:szCs w:val="24"/>
          <w:lang w:val="en-US"/>
        </w:rPr>
      </w:pPr>
      <w:r w:rsidRPr="00B67F0F">
        <w:rPr>
          <w:rFonts w:ascii="Times New Roman" w:hAnsi="Times New Roman" w:cs="Times New Roman"/>
          <w:b/>
          <w:bCs/>
          <w:sz w:val="24"/>
          <w:szCs w:val="24"/>
          <w:lang w:val="en-US"/>
        </w:rPr>
        <w:t>Validation against SOREG</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As SOREG was not used for inputs about remission and incidence of diabetes type II, it was used to validate model for these two outcomes.</w:t>
      </w:r>
    </w:p>
    <w:p w:rsidR="004C3DC1" w:rsidRPr="00B67F0F" w:rsidRDefault="004C3DC1" w:rsidP="00D212ED">
      <w:pPr>
        <w:rPr>
          <w:rFonts w:ascii="Times New Roman" w:hAnsi="Times New Roman" w:cs="Times New Roman"/>
          <w:sz w:val="24"/>
          <w:szCs w:val="24"/>
          <w:lang w:val="en-US"/>
        </w:rPr>
      </w:pPr>
      <w:r w:rsidRPr="00B67F0F">
        <w:rPr>
          <w:rFonts w:ascii="Times New Roman" w:hAnsi="Times New Roman" w:cs="Times New Roman"/>
          <w:sz w:val="24"/>
          <w:szCs w:val="24"/>
          <w:lang w:val="en-US"/>
        </w:rPr>
        <w:t>Results of validation are presented in the Figures</w:t>
      </w:r>
      <w:r>
        <w:rPr>
          <w:rFonts w:ascii="Times New Roman" w:hAnsi="Times New Roman" w:cs="Times New Roman"/>
          <w:sz w:val="24"/>
          <w:szCs w:val="24"/>
          <w:lang w:val="en-US"/>
        </w:rPr>
        <w:t xml:space="preserve"> S4A and S4B</w:t>
      </w:r>
      <w:r w:rsidRPr="00B67F0F">
        <w:rPr>
          <w:rFonts w:ascii="Times New Roman" w:hAnsi="Times New Roman" w:cs="Times New Roman"/>
          <w:sz w:val="24"/>
          <w:szCs w:val="24"/>
          <w:lang w:val="en-US"/>
        </w:rPr>
        <w:t>.</w:t>
      </w:r>
    </w:p>
    <w:p w:rsidR="004C3DC1" w:rsidRPr="00354164" w:rsidRDefault="004C3DC1" w:rsidP="00D212ED">
      <w:pPr>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4EA61746" wp14:editId="54D7BFE8">
            <wp:extent cx="1857375" cy="2390775"/>
            <wp:effectExtent l="19050" t="19050" r="28575"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2390775"/>
                    </a:xfrm>
                    <a:prstGeom prst="rect">
                      <a:avLst/>
                    </a:prstGeom>
                    <a:noFill/>
                    <a:ln w="9525" cmpd="sng">
                      <a:solidFill>
                        <a:srgbClr val="D9D9D9"/>
                      </a:solidFill>
                      <a:miter lim="800000"/>
                      <a:headEnd/>
                      <a:tailEnd/>
                    </a:ln>
                    <a:effectLst/>
                  </pic:spPr>
                </pic:pic>
              </a:graphicData>
            </a:graphic>
          </wp:inline>
        </w:drawing>
      </w:r>
    </w:p>
    <w:p w:rsidR="004C3DC1" w:rsidRPr="00354164" w:rsidRDefault="004C3DC1" w:rsidP="00D212ED">
      <w:pPr>
        <w:jc w:val="center"/>
        <w:rPr>
          <w:rFonts w:ascii="Times New Roman" w:hAnsi="Times New Roman" w:cs="Times New Roman"/>
          <w:sz w:val="20"/>
          <w:szCs w:val="20"/>
          <w:lang w:val="en-US"/>
        </w:rPr>
      </w:pPr>
      <w:r w:rsidRPr="007917D8">
        <w:rPr>
          <w:rFonts w:ascii="Times New Roman" w:hAnsi="Times New Roman" w:cs="Times New Roman"/>
          <w:b/>
          <w:bCs/>
          <w:lang w:val="en-US"/>
        </w:rPr>
        <w:t>Fig. S4A</w:t>
      </w:r>
      <w:r w:rsidRPr="00354164">
        <w:rPr>
          <w:rFonts w:ascii="Times New Roman" w:hAnsi="Times New Roman" w:cs="Times New Roman"/>
          <w:lang w:val="en-US"/>
        </w:rPr>
        <w:t xml:space="preserve"> </w:t>
      </w:r>
      <w:r w:rsidRPr="00354164">
        <w:rPr>
          <w:rFonts w:ascii="Times New Roman" w:hAnsi="Times New Roman" w:cs="Times New Roman"/>
          <w:sz w:val="20"/>
          <w:szCs w:val="20"/>
          <w:lang w:val="en-US"/>
        </w:rPr>
        <w:t>Results of model validation against SOREG</w:t>
      </w:r>
    </w:p>
    <w:p w:rsidR="004C3DC1" w:rsidRPr="00354164" w:rsidRDefault="004C3DC1" w:rsidP="00D212ED">
      <w:pPr>
        <w:jc w:val="center"/>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w:drawing>
          <wp:inline distT="0" distB="0" distL="0" distR="0" wp14:anchorId="73E9FB33" wp14:editId="7256BE26">
            <wp:extent cx="1885950" cy="2438400"/>
            <wp:effectExtent l="19050" t="19050" r="19050" b="1905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2438400"/>
                    </a:xfrm>
                    <a:prstGeom prst="rect">
                      <a:avLst/>
                    </a:prstGeom>
                    <a:noFill/>
                    <a:ln w="9525" cmpd="sng">
                      <a:solidFill>
                        <a:srgbClr val="D9D9D9"/>
                      </a:solidFill>
                      <a:miter lim="800000"/>
                      <a:headEnd/>
                      <a:tailEnd/>
                    </a:ln>
                    <a:effectLst/>
                  </pic:spPr>
                </pic:pic>
              </a:graphicData>
            </a:graphic>
          </wp:inline>
        </w:drawing>
      </w:r>
    </w:p>
    <w:p w:rsidR="004C3DC1" w:rsidRPr="00354164" w:rsidRDefault="004C3DC1" w:rsidP="00D212ED">
      <w:pPr>
        <w:jc w:val="center"/>
        <w:rPr>
          <w:rFonts w:ascii="Times New Roman" w:hAnsi="Times New Roman" w:cs="Times New Roman"/>
          <w:sz w:val="20"/>
          <w:szCs w:val="20"/>
          <w:lang w:val="en-US"/>
        </w:rPr>
      </w:pPr>
      <w:r w:rsidRPr="007917D8">
        <w:rPr>
          <w:rFonts w:ascii="Times New Roman" w:hAnsi="Times New Roman" w:cs="Times New Roman"/>
          <w:b/>
          <w:bCs/>
          <w:lang w:val="en-US"/>
        </w:rPr>
        <w:t>Fig. S4B</w:t>
      </w:r>
      <w:r w:rsidRPr="00354164">
        <w:rPr>
          <w:rFonts w:ascii="Times New Roman" w:hAnsi="Times New Roman" w:cs="Times New Roman"/>
          <w:lang w:val="en-US"/>
        </w:rPr>
        <w:t xml:space="preserve"> </w:t>
      </w:r>
      <w:r w:rsidRPr="00354164">
        <w:rPr>
          <w:rFonts w:ascii="Times New Roman" w:hAnsi="Times New Roman" w:cs="Times New Roman"/>
          <w:sz w:val="20"/>
          <w:szCs w:val="20"/>
          <w:lang w:val="en-US"/>
        </w:rPr>
        <w:t>Results of model validation against SOREG</w:t>
      </w:r>
    </w:p>
    <w:p w:rsidR="004C3DC1" w:rsidRPr="00354164" w:rsidRDefault="004C3DC1" w:rsidP="00D212ED">
      <w:pPr>
        <w:rPr>
          <w:rFonts w:ascii="Times New Roman" w:hAnsi="Times New Roman" w:cs="Times New Roman"/>
          <w:lang w:val="en-US"/>
        </w:rPr>
      </w:pPr>
    </w:p>
    <w:p w:rsidR="004C3DC1" w:rsidRPr="007917D8" w:rsidRDefault="004C3DC1" w:rsidP="00D212ED">
      <w:pPr>
        <w:rPr>
          <w:rFonts w:ascii="Times New Roman" w:hAnsi="Times New Roman" w:cs="Times New Roman"/>
          <w:b/>
          <w:bCs/>
          <w:sz w:val="24"/>
          <w:szCs w:val="24"/>
        </w:rPr>
      </w:pPr>
      <w:r>
        <w:rPr>
          <w:lang w:val="en-US"/>
        </w:rPr>
        <w:br w:type="page"/>
      </w:r>
      <w:r w:rsidRPr="007917D8">
        <w:rPr>
          <w:rFonts w:ascii="Times New Roman" w:hAnsi="Times New Roman" w:cs="Times New Roman"/>
          <w:b/>
          <w:bCs/>
          <w:sz w:val="24"/>
          <w:szCs w:val="24"/>
        </w:rPr>
        <w:lastRenderedPageBreak/>
        <w:t>Section S</w:t>
      </w:r>
      <w:r>
        <w:rPr>
          <w:rFonts w:ascii="Times New Roman" w:hAnsi="Times New Roman" w:cs="Times New Roman"/>
          <w:b/>
          <w:bCs/>
          <w:sz w:val="24"/>
          <w:szCs w:val="24"/>
        </w:rPr>
        <w:t>3</w:t>
      </w:r>
      <w:r w:rsidRPr="007917D8">
        <w:rPr>
          <w:rFonts w:ascii="Times New Roman" w:hAnsi="Times New Roman" w:cs="Times New Roman"/>
          <w:b/>
          <w:bCs/>
          <w:sz w:val="24"/>
          <w:szCs w:val="24"/>
        </w:rPr>
        <w:t xml:space="preserve"> </w:t>
      </w:r>
      <w:r w:rsidRPr="007917D8">
        <w:rPr>
          <w:rFonts w:ascii="Times New Roman" w:hAnsi="Times New Roman" w:cs="Times New Roman"/>
          <w:sz w:val="24"/>
          <w:szCs w:val="24"/>
        </w:rPr>
        <w:t>Data for deterministic and probabilistic sensitivity analyses</w:t>
      </w:r>
    </w:p>
    <w:p w:rsidR="004C3DC1" w:rsidRPr="00781CD4" w:rsidRDefault="004C3DC1" w:rsidP="00D212ED">
      <w:pPr>
        <w:pStyle w:val="NoSpacing"/>
        <w:spacing w:line="480" w:lineRule="auto"/>
        <w:rPr>
          <w:rFonts w:ascii="Times New Roman" w:hAnsi="Times New Roman" w:cs="Times New Roman"/>
          <w:sz w:val="24"/>
          <w:szCs w:val="24"/>
        </w:rPr>
      </w:pPr>
      <w:r w:rsidRPr="00AF32D6">
        <w:rPr>
          <w:rFonts w:ascii="Times New Roman" w:hAnsi="Times New Roman" w:cs="Times New Roman"/>
          <w:sz w:val="24"/>
          <w:szCs w:val="24"/>
        </w:rPr>
        <w:t>The following scenarios were tested:</w:t>
      </w:r>
    </w:p>
    <w:p w:rsidR="004C3DC1" w:rsidRPr="00822665" w:rsidRDefault="004C3DC1" w:rsidP="00D212ED">
      <w:pPr>
        <w:pStyle w:val="NoSpacing"/>
        <w:numPr>
          <w:ilvl w:val="0"/>
          <w:numId w:val="8"/>
        </w:numPr>
        <w:spacing w:line="480" w:lineRule="auto"/>
        <w:rPr>
          <w:rFonts w:ascii="Times New Roman" w:hAnsi="Times New Roman" w:cs="Times New Roman"/>
          <w:sz w:val="24"/>
          <w:szCs w:val="24"/>
        </w:rPr>
      </w:pPr>
      <w:r w:rsidRPr="00822665">
        <w:rPr>
          <w:rFonts w:ascii="Times New Roman" w:hAnsi="Times New Roman" w:cs="Times New Roman"/>
          <w:sz w:val="24"/>
          <w:szCs w:val="24"/>
        </w:rPr>
        <w:t>assuming immediate rebound of effect of bariatric surgery after 15 years after operation with BMI level reverting to level in optimal medical management arm;</w:t>
      </w:r>
    </w:p>
    <w:p w:rsidR="004C3DC1" w:rsidRPr="00822665" w:rsidRDefault="004C3DC1" w:rsidP="00D212ED">
      <w:pPr>
        <w:pStyle w:val="NoSpacing"/>
        <w:numPr>
          <w:ilvl w:val="0"/>
          <w:numId w:val="8"/>
        </w:numPr>
        <w:spacing w:line="480" w:lineRule="auto"/>
        <w:rPr>
          <w:rFonts w:ascii="Times New Roman" w:hAnsi="Times New Roman" w:cs="Times New Roman"/>
          <w:sz w:val="24"/>
          <w:szCs w:val="24"/>
        </w:rPr>
      </w:pPr>
      <w:proofErr w:type="gramStart"/>
      <w:r w:rsidRPr="00822665">
        <w:rPr>
          <w:rFonts w:ascii="Times New Roman" w:hAnsi="Times New Roman" w:cs="Times New Roman"/>
          <w:sz w:val="24"/>
          <w:szCs w:val="24"/>
        </w:rPr>
        <w:t>limiting</w:t>
      </w:r>
      <w:proofErr w:type="gramEnd"/>
      <w:r w:rsidRPr="00822665">
        <w:rPr>
          <w:rFonts w:ascii="Times New Roman" w:hAnsi="Times New Roman" w:cs="Times New Roman"/>
          <w:sz w:val="24"/>
          <w:szCs w:val="24"/>
        </w:rPr>
        <w:t xml:space="preserve"> one-year impact on BMI level from very optimistic (-20 kg/m</w:t>
      </w:r>
      <w:r w:rsidRPr="00822665">
        <w:rPr>
          <w:rFonts w:ascii="Times New Roman" w:hAnsi="Times New Roman" w:cs="Times New Roman"/>
          <w:sz w:val="24"/>
          <w:szCs w:val="24"/>
          <w:vertAlign w:val="superscript"/>
        </w:rPr>
        <w:t>2</w:t>
      </w:r>
      <w:r w:rsidRPr="00822665">
        <w:rPr>
          <w:rFonts w:ascii="Times New Roman" w:hAnsi="Times New Roman" w:cs="Times New Roman"/>
          <w:sz w:val="24"/>
          <w:szCs w:val="24"/>
        </w:rPr>
        <w:t>) to over conservative (-4 kg/m</w:t>
      </w:r>
      <w:r w:rsidRPr="00822665">
        <w:rPr>
          <w:rFonts w:ascii="Times New Roman" w:hAnsi="Times New Roman" w:cs="Times New Roman"/>
          <w:sz w:val="24"/>
          <w:szCs w:val="24"/>
          <w:vertAlign w:val="superscript"/>
        </w:rPr>
        <w:t>2</w:t>
      </w:r>
      <w:r w:rsidRPr="00822665">
        <w:rPr>
          <w:rFonts w:ascii="Times New Roman" w:hAnsi="Times New Roman" w:cs="Times New Roman"/>
          <w:sz w:val="24"/>
          <w:szCs w:val="24"/>
        </w:rPr>
        <w:t xml:space="preserve">). </w:t>
      </w:r>
      <w:r>
        <w:rPr>
          <w:rFonts w:ascii="Times New Roman" w:hAnsi="Times New Roman" w:cs="Times New Roman"/>
          <w:sz w:val="24"/>
          <w:szCs w:val="24"/>
        </w:rPr>
        <w:t>Analysis was limited to GBP since that operation dominates the bariatric field</w:t>
      </w:r>
      <w:r w:rsidRPr="00822665">
        <w:rPr>
          <w:rFonts w:ascii="Times New Roman" w:hAnsi="Times New Roman" w:cs="Times New Roman"/>
          <w:sz w:val="24"/>
          <w:szCs w:val="24"/>
        </w:rPr>
        <w:t>;</w:t>
      </w:r>
    </w:p>
    <w:p w:rsidR="004C3DC1" w:rsidRPr="00822665" w:rsidRDefault="004C3DC1" w:rsidP="00D212ED">
      <w:pPr>
        <w:pStyle w:val="NoSpacing"/>
        <w:numPr>
          <w:ilvl w:val="0"/>
          <w:numId w:val="8"/>
        </w:numPr>
        <w:spacing w:line="480" w:lineRule="auto"/>
        <w:rPr>
          <w:rFonts w:ascii="Times New Roman" w:hAnsi="Times New Roman" w:cs="Times New Roman"/>
          <w:sz w:val="24"/>
          <w:szCs w:val="24"/>
        </w:rPr>
      </w:pPr>
      <w:proofErr w:type="gramStart"/>
      <w:r w:rsidRPr="00822665">
        <w:rPr>
          <w:rFonts w:ascii="Times New Roman" w:hAnsi="Times New Roman" w:cs="Times New Roman"/>
          <w:sz w:val="24"/>
          <w:szCs w:val="24"/>
        </w:rPr>
        <w:t>applying</w:t>
      </w:r>
      <w:proofErr w:type="gramEnd"/>
      <w:r w:rsidRPr="00822665">
        <w:rPr>
          <w:rFonts w:ascii="Times New Roman" w:hAnsi="Times New Roman" w:cs="Times New Roman"/>
          <w:sz w:val="24"/>
          <w:szCs w:val="24"/>
        </w:rPr>
        <w:t xml:space="preserve"> different annual discount rates (costs – 5%, benefits – 5%; costs – 0%, benefits – 0%; costs – 3%, benefits – 0%);</w:t>
      </w:r>
    </w:p>
    <w:p w:rsidR="004C3DC1" w:rsidRPr="00822665" w:rsidRDefault="004C3DC1" w:rsidP="00D212ED">
      <w:pPr>
        <w:pStyle w:val="NoSpacing"/>
        <w:numPr>
          <w:ilvl w:val="0"/>
          <w:numId w:val="8"/>
        </w:numPr>
        <w:spacing w:line="480" w:lineRule="auto"/>
        <w:rPr>
          <w:rFonts w:ascii="Times New Roman" w:hAnsi="Times New Roman" w:cs="Times New Roman"/>
          <w:sz w:val="24"/>
          <w:szCs w:val="24"/>
        </w:rPr>
      </w:pPr>
      <w:r w:rsidRPr="00822665">
        <w:rPr>
          <w:rFonts w:ascii="Times New Roman" w:hAnsi="Times New Roman" w:cs="Times New Roman"/>
          <w:sz w:val="24"/>
          <w:szCs w:val="24"/>
        </w:rPr>
        <w:t>removing disutility due to negative health events from analysis of health-related quality of life;</w:t>
      </w:r>
    </w:p>
    <w:p w:rsidR="004C3DC1" w:rsidRPr="00822665" w:rsidRDefault="004C3DC1" w:rsidP="00D212ED">
      <w:pPr>
        <w:pStyle w:val="NoSpacing"/>
        <w:numPr>
          <w:ilvl w:val="0"/>
          <w:numId w:val="8"/>
        </w:numPr>
        <w:spacing w:line="480" w:lineRule="auto"/>
        <w:rPr>
          <w:rFonts w:ascii="Times New Roman" w:hAnsi="Times New Roman" w:cs="Times New Roman"/>
          <w:sz w:val="24"/>
          <w:szCs w:val="24"/>
        </w:rPr>
      </w:pPr>
      <w:r w:rsidRPr="00822665">
        <w:rPr>
          <w:rFonts w:ascii="Times New Roman" w:hAnsi="Times New Roman" w:cs="Times New Roman"/>
          <w:sz w:val="24"/>
          <w:szCs w:val="24"/>
        </w:rPr>
        <w:t>applying 50% reduction of health-related quality of life for month, when bariatric surgery is performed;</w:t>
      </w:r>
    </w:p>
    <w:p w:rsidR="004C3DC1" w:rsidRPr="00822665" w:rsidRDefault="004C3DC1" w:rsidP="00D212ED">
      <w:pPr>
        <w:pStyle w:val="NoSpacing"/>
        <w:numPr>
          <w:ilvl w:val="0"/>
          <w:numId w:val="8"/>
        </w:numPr>
        <w:spacing w:line="480" w:lineRule="auto"/>
        <w:rPr>
          <w:rFonts w:ascii="Times New Roman" w:hAnsi="Times New Roman" w:cs="Times New Roman"/>
          <w:sz w:val="24"/>
          <w:szCs w:val="24"/>
        </w:rPr>
      </w:pPr>
      <w:r w:rsidRPr="00822665">
        <w:rPr>
          <w:rFonts w:ascii="Times New Roman" w:hAnsi="Times New Roman" w:cs="Times New Roman"/>
          <w:sz w:val="24"/>
          <w:szCs w:val="24"/>
        </w:rPr>
        <w:t>changing distribution of surgeries (percentage of GBP – 98% (current utilization), 80%, 70%, 60%; other surgeries have the same utilization);</w:t>
      </w:r>
    </w:p>
    <w:p w:rsidR="004C3DC1" w:rsidRPr="00822665" w:rsidRDefault="004C3DC1" w:rsidP="00D212ED">
      <w:pPr>
        <w:pStyle w:val="NoSpacing"/>
        <w:numPr>
          <w:ilvl w:val="0"/>
          <w:numId w:val="8"/>
        </w:numPr>
        <w:spacing w:line="480" w:lineRule="auto"/>
        <w:rPr>
          <w:rFonts w:ascii="Times New Roman" w:hAnsi="Times New Roman" w:cs="Times New Roman"/>
          <w:sz w:val="24"/>
          <w:szCs w:val="24"/>
        </w:rPr>
      </w:pPr>
      <w:r w:rsidRPr="00822665">
        <w:rPr>
          <w:rFonts w:ascii="Times New Roman" w:hAnsi="Times New Roman" w:cs="Times New Roman"/>
          <w:sz w:val="24"/>
          <w:szCs w:val="24"/>
        </w:rPr>
        <w:t>changing proportion of high-volume (with more than 250 cases) centers;</w:t>
      </w:r>
    </w:p>
    <w:p w:rsidR="004C3DC1" w:rsidRPr="00822665" w:rsidRDefault="004C3DC1" w:rsidP="00D212ED">
      <w:pPr>
        <w:pStyle w:val="NoSpacing"/>
        <w:numPr>
          <w:ilvl w:val="0"/>
          <w:numId w:val="8"/>
        </w:numPr>
        <w:spacing w:line="480" w:lineRule="auto"/>
        <w:rPr>
          <w:rFonts w:ascii="Times New Roman" w:hAnsi="Times New Roman" w:cs="Times New Roman"/>
          <w:sz w:val="24"/>
          <w:szCs w:val="24"/>
        </w:rPr>
      </w:pPr>
      <w:r w:rsidRPr="00822665">
        <w:rPr>
          <w:rFonts w:ascii="Times New Roman" w:hAnsi="Times New Roman" w:cs="Times New Roman"/>
          <w:sz w:val="24"/>
          <w:szCs w:val="24"/>
        </w:rPr>
        <w:t>performing analysis from societal perspective with indirect cost included;</w:t>
      </w:r>
    </w:p>
    <w:p w:rsidR="004C3DC1" w:rsidRPr="00342C33" w:rsidRDefault="004C3DC1" w:rsidP="00D212ED">
      <w:pPr>
        <w:pStyle w:val="NoSpacing"/>
        <w:numPr>
          <w:ilvl w:val="0"/>
          <w:numId w:val="8"/>
        </w:numPr>
        <w:spacing w:line="480" w:lineRule="auto"/>
        <w:rPr>
          <w:rFonts w:ascii="Times New Roman" w:hAnsi="Times New Roman" w:cs="Times New Roman"/>
          <w:sz w:val="24"/>
          <w:szCs w:val="24"/>
        </w:rPr>
      </w:pPr>
      <w:proofErr w:type="gramStart"/>
      <w:r w:rsidRPr="00822665">
        <w:rPr>
          <w:rFonts w:ascii="Times New Roman" w:hAnsi="Times New Roman" w:cs="Times New Roman"/>
          <w:sz w:val="24"/>
          <w:szCs w:val="24"/>
        </w:rPr>
        <w:t>using</w:t>
      </w:r>
      <w:proofErr w:type="gramEnd"/>
      <w:r w:rsidRPr="00822665">
        <w:rPr>
          <w:rFonts w:ascii="Times New Roman" w:hAnsi="Times New Roman" w:cs="Times New Roman"/>
          <w:sz w:val="24"/>
          <w:szCs w:val="24"/>
        </w:rPr>
        <w:t xml:space="preserve"> data about impact of surgery on BMI level from network meta-analysis, published in 2011 </w:t>
      </w:r>
      <w:r>
        <w:rPr>
          <w:rFonts w:ascii="Times New Roman" w:hAnsi="Times New Roman" w:cs="Times New Roman"/>
          <w:noProof/>
          <w:sz w:val="24"/>
          <w:szCs w:val="24"/>
        </w:rPr>
        <w:t>(44)</w:t>
      </w:r>
      <w:r w:rsidRPr="00822665">
        <w:rPr>
          <w:rFonts w:ascii="Times New Roman" w:hAnsi="Times New Roman" w:cs="Times New Roman"/>
          <w:sz w:val="24"/>
          <w:szCs w:val="24"/>
        </w:rPr>
        <w:t xml:space="preserve">. In meta-analysis mean 1-year BMI reduction were </w:t>
      </w:r>
      <w:r w:rsidRPr="00822665">
        <w:rPr>
          <w:rFonts w:ascii="Times New Roman" w:hAnsi="Times New Roman" w:cs="Times New Roman"/>
          <w:sz w:val="24"/>
          <w:szCs w:val="24"/>
          <w:lang w:val="en-US"/>
        </w:rPr>
        <w:t>-9.0 kg/m</w:t>
      </w:r>
      <w:r w:rsidRPr="00822665">
        <w:rPr>
          <w:rFonts w:ascii="Times New Roman" w:hAnsi="Times New Roman" w:cs="Times New Roman"/>
          <w:sz w:val="24"/>
          <w:szCs w:val="24"/>
          <w:vertAlign w:val="superscript"/>
          <w:lang w:val="en-US"/>
        </w:rPr>
        <w:t>2</w:t>
      </w:r>
      <w:r w:rsidRPr="00822665">
        <w:rPr>
          <w:rFonts w:ascii="Times New Roman" w:hAnsi="Times New Roman" w:cs="Times New Roman"/>
          <w:sz w:val="24"/>
          <w:szCs w:val="24"/>
          <w:lang w:val="en-US"/>
        </w:rPr>
        <w:t xml:space="preserve"> </w:t>
      </w:r>
      <w:r w:rsidRPr="00342C33">
        <w:rPr>
          <w:rFonts w:ascii="Times New Roman" w:hAnsi="Times New Roman" w:cs="Times New Roman"/>
          <w:sz w:val="24"/>
          <w:szCs w:val="24"/>
        </w:rPr>
        <w:t xml:space="preserve">for GBP, </w:t>
      </w:r>
      <w:r w:rsidRPr="00342C33">
        <w:rPr>
          <w:rFonts w:ascii="Times New Roman" w:hAnsi="Times New Roman" w:cs="Times New Roman"/>
          <w:sz w:val="24"/>
          <w:szCs w:val="24"/>
          <w:lang w:val="en-US"/>
        </w:rPr>
        <w:t>-10.1 kg/m</w:t>
      </w:r>
      <w:r w:rsidRPr="00342C33">
        <w:rPr>
          <w:rFonts w:ascii="Times New Roman" w:hAnsi="Times New Roman" w:cs="Times New Roman"/>
          <w:sz w:val="24"/>
          <w:szCs w:val="24"/>
          <w:vertAlign w:val="superscript"/>
          <w:lang w:val="en-US"/>
        </w:rPr>
        <w:t>2</w:t>
      </w:r>
      <w:r w:rsidRPr="00342C33">
        <w:rPr>
          <w:rFonts w:ascii="Times New Roman" w:hAnsi="Times New Roman" w:cs="Times New Roman"/>
          <w:sz w:val="24"/>
          <w:szCs w:val="24"/>
        </w:rPr>
        <w:t xml:space="preserve"> – for SG and </w:t>
      </w:r>
      <w:r w:rsidRPr="00342C33">
        <w:rPr>
          <w:rFonts w:ascii="Times New Roman" w:hAnsi="Times New Roman" w:cs="Times New Roman"/>
          <w:sz w:val="24"/>
          <w:szCs w:val="24"/>
          <w:lang w:val="en-US"/>
        </w:rPr>
        <w:t>-2.4 kg/m</w:t>
      </w:r>
      <w:r w:rsidRPr="00342C33">
        <w:rPr>
          <w:rFonts w:ascii="Times New Roman" w:hAnsi="Times New Roman" w:cs="Times New Roman"/>
          <w:sz w:val="24"/>
          <w:szCs w:val="24"/>
          <w:vertAlign w:val="superscript"/>
          <w:lang w:val="en-US"/>
        </w:rPr>
        <w:t xml:space="preserve">2 </w:t>
      </w:r>
      <w:r w:rsidRPr="00342C33">
        <w:rPr>
          <w:rFonts w:ascii="Times New Roman" w:hAnsi="Times New Roman" w:cs="Times New Roman"/>
          <w:sz w:val="24"/>
          <w:szCs w:val="24"/>
        </w:rPr>
        <w:t xml:space="preserve">for AGB. </w:t>
      </w:r>
    </w:p>
    <w:p w:rsidR="004C3DC1" w:rsidRPr="00AF32D6" w:rsidRDefault="004C3DC1" w:rsidP="00D212ED">
      <w:pPr>
        <w:spacing w:line="360" w:lineRule="auto"/>
        <w:jc w:val="both"/>
        <w:rPr>
          <w:rFonts w:ascii="Times New Roman" w:hAnsi="Times New Roman" w:cs="Times New Roman"/>
          <w:sz w:val="24"/>
          <w:szCs w:val="24"/>
        </w:rPr>
      </w:pPr>
      <w:r w:rsidRPr="00AF32D6">
        <w:rPr>
          <w:rFonts w:ascii="Times New Roman" w:hAnsi="Times New Roman" w:cs="Times New Roman"/>
          <w:sz w:val="24"/>
          <w:szCs w:val="24"/>
        </w:rPr>
        <w:t>The following approach was used to determine distribution for variables in probabilistic sensitivity analysis:</w:t>
      </w:r>
    </w:p>
    <w:p w:rsidR="004C3DC1" w:rsidRDefault="004C3DC1" w:rsidP="00D212ED">
      <w:pPr>
        <w:pStyle w:val="ListParagraph"/>
        <w:numPr>
          <w:ilvl w:val="0"/>
          <w:numId w:val="9"/>
        </w:numPr>
        <w:spacing w:line="360" w:lineRule="auto"/>
        <w:jc w:val="both"/>
      </w:pPr>
      <w:r w:rsidRPr="00781CD4">
        <w:t>beta distribution was used for the probabilities</w:t>
      </w:r>
      <w:r>
        <w:t>;</w:t>
      </w:r>
    </w:p>
    <w:p w:rsidR="004C3DC1" w:rsidRDefault="004C3DC1" w:rsidP="00D212ED">
      <w:pPr>
        <w:pStyle w:val="ListParagraph"/>
        <w:numPr>
          <w:ilvl w:val="0"/>
          <w:numId w:val="9"/>
        </w:numPr>
        <w:spacing w:line="360" w:lineRule="auto"/>
        <w:jc w:val="both"/>
      </w:pPr>
      <w:r w:rsidRPr="00781CD4">
        <w:t>Gamma distributions were used for the longitudinal data, for the cost data with descriptive statistics available and for the utility data</w:t>
      </w:r>
      <w:r>
        <w:t>;</w:t>
      </w:r>
    </w:p>
    <w:p w:rsidR="004C3DC1" w:rsidRDefault="004C3DC1" w:rsidP="00D212ED">
      <w:pPr>
        <w:pStyle w:val="ListParagraph"/>
        <w:numPr>
          <w:ilvl w:val="0"/>
          <w:numId w:val="9"/>
        </w:numPr>
        <w:spacing w:line="360" w:lineRule="auto"/>
        <w:jc w:val="both"/>
      </w:pPr>
      <w:r w:rsidRPr="00781CD4">
        <w:t>lognormal distributions were used for the relative risks</w:t>
      </w:r>
      <w:r>
        <w:t>;</w:t>
      </w:r>
    </w:p>
    <w:p w:rsidR="004C3DC1" w:rsidRDefault="004C3DC1" w:rsidP="00D212ED">
      <w:pPr>
        <w:pStyle w:val="ListParagraph"/>
        <w:numPr>
          <w:ilvl w:val="0"/>
          <w:numId w:val="9"/>
        </w:numPr>
        <w:spacing w:line="360" w:lineRule="auto"/>
        <w:jc w:val="both"/>
      </w:pPr>
      <w:r w:rsidRPr="00781CD4">
        <w:lastRenderedPageBreak/>
        <w:t>uniform distributions were used for parameters based on expert or analyst assumptions and for parameters where descriptive statistics were not available in the original publications</w:t>
      </w:r>
      <w:r>
        <w:t>;</w:t>
      </w:r>
    </w:p>
    <w:p w:rsidR="004C3DC1" w:rsidRPr="00781CD4" w:rsidRDefault="004C3DC1" w:rsidP="00D212ED">
      <w:pPr>
        <w:pStyle w:val="ListParagraph"/>
        <w:numPr>
          <w:ilvl w:val="0"/>
          <w:numId w:val="9"/>
        </w:numPr>
      </w:pPr>
      <w:proofErr w:type="gramStart"/>
      <w:r w:rsidRPr="00781CD4">
        <w:t>reimbursement</w:t>
      </w:r>
      <w:proofErr w:type="gramEnd"/>
      <w:r w:rsidRPr="00781CD4">
        <w:t xml:space="preserve"> tariffs were not tested in probabilistic analysis. </w:t>
      </w: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Default="004C3DC1" w:rsidP="00D212ED">
      <w:pPr>
        <w:rPr>
          <w:rFonts w:ascii="Times New Roman" w:hAnsi="Times New Roman" w:cs="Times New Roman"/>
        </w:rPr>
      </w:pPr>
    </w:p>
    <w:p w:rsidR="004C3DC1" w:rsidRPr="00091DA2" w:rsidRDefault="004C3DC1" w:rsidP="00D212ED">
      <w:pPr>
        <w:rPr>
          <w:rFonts w:ascii="Times New Roman" w:hAnsi="Times New Roman" w:cs="Times New Roman"/>
          <w:sz w:val="24"/>
          <w:szCs w:val="24"/>
          <w:lang w:val="en-US"/>
        </w:rPr>
      </w:pPr>
      <w:r>
        <w:rPr>
          <w:noProof/>
          <w:lang w:val="en-US"/>
        </w:rPr>
        <w:lastRenderedPageBreak/>
        <w:drawing>
          <wp:inline distT="0" distB="0" distL="0" distR="0" wp14:anchorId="04C9A3EE" wp14:editId="46A29922">
            <wp:extent cx="5715000" cy="295275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2952750"/>
                    </a:xfrm>
                    <a:prstGeom prst="rect">
                      <a:avLst/>
                    </a:prstGeom>
                    <a:noFill/>
                    <a:ln>
                      <a:noFill/>
                    </a:ln>
                  </pic:spPr>
                </pic:pic>
              </a:graphicData>
            </a:graphic>
          </wp:inline>
        </w:drawing>
      </w:r>
    </w:p>
    <w:p w:rsidR="004C3DC1" w:rsidRDefault="004C3DC1" w:rsidP="00D212ED">
      <w:pPr>
        <w:tabs>
          <w:tab w:val="left" w:pos="1035"/>
        </w:tabs>
        <w:rPr>
          <w:rFonts w:ascii="Times New Roman" w:hAnsi="Times New Roman" w:cs="Times New Roman"/>
          <w:sz w:val="24"/>
          <w:szCs w:val="24"/>
          <w:lang w:val="en-US"/>
        </w:rPr>
      </w:pPr>
      <w:r w:rsidRPr="00AF32D6">
        <w:rPr>
          <w:rFonts w:ascii="Times New Roman" w:hAnsi="Times New Roman" w:cs="Times New Roman"/>
          <w:b/>
          <w:bCs/>
          <w:sz w:val="24"/>
          <w:szCs w:val="24"/>
          <w:lang w:val="en-US"/>
        </w:rPr>
        <w:t xml:space="preserve">Fig. </w:t>
      </w:r>
      <w:r>
        <w:rPr>
          <w:rFonts w:ascii="Times New Roman" w:hAnsi="Times New Roman" w:cs="Times New Roman"/>
          <w:b/>
          <w:bCs/>
          <w:sz w:val="24"/>
          <w:szCs w:val="24"/>
          <w:lang w:val="en-US"/>
        </w:rPr>
        <w:t>S5</w:t>
      </w:r>
      <w:r w:rsidRPr="00091DA2">
        <w:rPr>
          <w:rFonts w:ascii="Times New Roman" w:hAnsi="Times New Roman" w:cs="Times New Roman"/>
          <w:sz w:val="24"/>
          <w:szCs w:val="24"/>
          <w:lang w:val="en-US"/>
        </w:rPr>
        <w:t xml:space="preserve"> </w:t>
      </w:r>
      <w:r>
        <w:rPr>
          <w:rFonts w:ascii="Times New Roman" w:hAnsi="Times New Roman" w:cs="Times New Roman"/>
          <w:sz w:val="24"/>
          <w:szCs w:val="24"/>
          <w:lang w:val="en-US"/>
        </w:rPr>
        <w:t>Cost-effectiveness of bariatric surgery at different time horizons</w:t>
      </w:r>
    </w:p>
    <w:p w:rsidR="004C3DC1" w:rsidRPr="00AF32D6" w:rsidRDefault="004C3DC1" w:rsidP="00D212ED">
      <w:pPr>
        <w:tabs>
          <w:tab w:val="left" w:pos="1035"/>
        </w:tabs>
        <w:jc w:val="both"/>
        <w:rPr>
          <w:rFonts w:ascii="Times New Roman" w:hAnsi="Times New Roman" w:cs="Times New Roman"/>
          <w:sz w:val="20"/>
          <w:szCs w:val="20"/>
          <w:lang w:val="en-US"/>
        </w:rPr>
      </w:pPr>
      <w:r w:rsidRPr="00AF32D6">
        <w:rPr>
          <w:rFonts w:ascii="Times New Roman" w:hAnsi="Times New Roman" w:cs="Times New Roman"/>
          <w:sz w:val="20"/>
          <w:szCs w:val="20"/>
          <w:lang w:val="en-US"/>
        </w:rPr>
        <w:t xml:space="preserve">Figure shows </w:t>
      </w:r>
      <w:r>
        <w:rPr>
          <w:rFonts w:ascii="Times New Roman" w:hAnsi="Times New Roman" w:cs="Times New Roman"/>
          <w:sz w:val="20"/>
          <w:szCs w:val="20"/>
          <w:lang w:val="en-US"/>
        </w:rPr>
        <w:t xml:space="preserve">the </w:t>
      </w:r>
      <w:r w:rsidRPr="00AF32D6">
        <w:rPr>
          <w:rFonts w:ascii="Times New Roman" w:hAnsi="Times New Roman" w:cs="Times New Roman"/>
          <w:sz w:val="20"/>
          <w:szCs w:val="20"/>
          <w:lang w:val="en-US"/>
        </w:rPr>
        <w:t xml:space="preserve">incremental cost-effectiveness ratio (ICER) at different time points. Swedish willingness-to-pay threshold is about </w:t>
      </w:r>
      <w:r w:rsidRPr="00AF32D6">
        <w:rPr>
          <w:rFonts w:ascii="Times New Roman" w:hAnsi="Times New Roman" w:cs="Times New Roman"/>
          <w:sz w:val="20"/>
          <w:szCs w:val="20"/>
        </w:rPr>
        <w:t>€</w:t>
      </w:r>
      <w:r>
        <w:rPr>
          <w:rFonts w:ascii="Times New Roman" w:hAnsi="Times New Roman" w:cs="Times New Roman"/>
          <w:sz w:val="20"/>
          <w:szCs w:val="20"/>
          <w:lang w:val="en-US"/>
        </w:rPr>
        <w:t>35,526</w:t>
      </w:r>
      <w:r w:rsidRPr="00AF32D6">
        <w:rPr>
          <w:rFonts w:ascii="Times New Roman" w:hAnsi="Times New Roman" w:cs="Times New Roman"/>
          <w:sz w:val="20"/>
          <w:szCs w:val="20"/>
          <w:lang w:val="en-US"/>
        </w:rPr>
        <w:t xml:space="preserve">/QALY. </w:t>
      </w:r>
      <w:r>
        <w:rPr>
          <w:rFonts w:ascii="Times New Roman" w:hAnsi="Times New Roman" w:cs="Times New Roman"/>
          <w:sz w:val="20"/>
          <w:szCs w:val="20"/>
          <w:lang w:val="en-US"/>
        </w:rPr>
        <w:t>The a</w:t>
      </w:r>
      <w:r w:rsidRPr="00AF32D6">
        <w:rPr>
          <w:rFonts w:ascii="Times New Roman" w:hAnsi="Times New Roman" w:cs="Times New Roman"/>
          <w:sz w:val="20"/>
          <w:szCs w:val="20"/>
          <w:lang w:val="en-US"/>
        </w:rPr>
        <w:t>nalysis shows that</w:t>
      </w:r>
      <w:r>
        <w:rPr>
          <w:rFonts w:ascii="Times New Roman" w:hAnsi="Times New Roman" w:cs="Times New Roman"/>
          <w:sz w:val="20"/>
          <w:szCs w:val="20"/>
          <w:lang w:val="en-US"/>
        </w:rPr>
        <w:t>,</w:t>
      </w:r>
      <w:r w:rsidRPr="00AF32D6">
        <w:rPr>
          <w:rFonts w:ascii="Times New Roman" w:hAnsi="Times New Roman" w:cs="Times New Roman"/>
          <w:sz w:val="20"/>
          <w:szCs w:val="20"/>
          <w:lang w:val="en-US"/>
        </w:rPr>
        <w:t xml:space="preserve"> 2 years after </w:t>
      </w:r>
      <w:r>
        <w:rPr>
          <w:rFonts w:ascii="Times New Roman" w:hAnsi="Times New Roman" w:cs="Times New Roman"/>
          <w:sz w:val="20"/>
          <w:szCs w:val="20"/>
          <w:lang w:val="en-US"/>
        </w:rPr>
        <w:t xml:space="preserve">the </w:t>
      </w:r>
      <w:r w:rsidRPr="00AF32D6">
        <w:rPr>
          <w:rFonts w:ascii="Times New Roman" w:hAnsi="Times New Roman" w:cs="Times New Roman"/>
          <w:sz w:val="20"/>
          <w:szCs w:val="20"/>
          <w:lang w:val="en-US"/>
        </w:rPr>
        <w:t xml:space="preserve">procedure, surgery becomes </w:t>
      </w:r>
      <w:r>
        <w:rPr>
          <w:rFonts w:ascii="Times New Roman" w:hAnsi="Times New Roman" w:cs="Times New Roman"/>
          <w:sz w:val="20"/>
          <w:szCs w:val="20"/>
          <w:lang w:val="en-US"/>
        </w:rPr>
        <w:t xml:space="preserve">a </w:t>
      </w:r>
      <w:r w:rsidRPr="00AF32D6">
        <w:rPr>
          <w:rFonts w:ascii="Times New Roman" w:hAnsi="Times New Roman" w:cs="Times New Roman"/>
          <w:sz w:val="20"/>
          <w:szCs w:val="20"/>
          <w:lang w:val="en-US"/>
        </w:rPr>
        <w:t>cost-effective option</w:t>
      </w:r>
      <w:r>
        <w:rPr>
          <w:rFonts w:ascii="Times New Roman" w:hAnsi="Times New Roman" w:cs="Times New Roman"/>
          <w:sz w:val="20"/>
          <w:szCs w:val="20"/>
          <w:lang w:val="en-US"/>
        </w:rPr>
        <w:t xml:space="preserve">. Then, </w:t>
      </w:r>
      <w:r w:rsidRPr="00AF32D6">
        <w:rPr>
          <w:rFonts w:ascii="Times New Roman" w:hAnsi="Times New Roman" w:cs="Times New Roman"/>
          <w:sz w:val="20"/>
          <w:szCs w:val="20"/>
          <w:lang w:val="en-US"/>
        </w:rPr>
        <w:t>the ICER curve slowly decreas</w:t>
      </w:r>
      <w:r>
        <w:rPr>
          <w:rFonts w:ascii="Times New Roman" w:hAnsi="Times New Roman" w:cs="Times New Roman"/>
          <w:sz w:val="20"/>
          <w:szCs w:val="20"/>
          <w:lang w:val="en-US"/>
        </w:rPr>
        <w:t xml:space="preserve">es </w:t>
      </w:r>
      <w:r w:rsidRPr="00AF32D6">
        <w:rPr>
          <w:rFonts w:ascii="Times New Roman" w:hAnsi="Times New Roman" w:cs="Times New Roman"/>
          <w:sz w:val="20"/>
          <w:szCs w:val="20"/>
          <w:lang w:val="en-US"/>
        </w:rPr>
        <w:t>which mean</w:t>
      </w:r>
      <w:r>
        <w:rPr>
          <w:rFonts w:ascii="Times New Roman" w:hAnsi="Times New Roman" w:cs="Times New Roman"/>
          <w:sz w:val="20"/>
          <w:szCs w:val="20"/>
          <w:lang w:val="en-US"/>
        </w:rPr>
        <w:t>s</w:t>
      </w:r>
      <w:r w:rsidRPr="00AF32D6">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an </w:t>
      </w:r>
      <w:r w:rsidRPr="00AF32D6">
        <w:rPr>
          <w:rFonts w:ascii="Times New Roman" w:hAnsi="Times New Roman" w:cs="Times New Roman"/>
          <w:sz w:val="20"/>
          <w:szCs w:val="20"/>
          <w:lang w:val="en-US"/>
        </w:rPr>
        <w:t xml:space="preserve">increase of cost-effectiveness over time. After 17 </w:t>
      </w:r>
      <w:r w:rsidRPr="009E2AF4">
        <w:rPr>
          <w:rFonts w:ascii="Times New Roman" w:hAnsi="Times New Roman" w:cs="Times New Roman"/>
          <w:sz w:val="20"/>
          <w:szCs w:val="20"/>
          <w:lang w:val="en-US"/>
        </w:rPr>
        <w:t>years,</w:t>
      </w:r>
      <w:r w:rsidRPr="00AF32D6">
        <w:rPr>
          <w:rFonts w:ascii="Times New Roman" w:hAnsi="Times New Roman" w:cs="Times New Roman"/>
          <w:sz w:val="20"/>
          <w:szCs w:val="20"/>
          <w:lang w:val="en-US"/>
        </w:rPr>
        <w:t xml:space="preserve"> the curve crosses </w:t>
      </w:r>
      <w:r>
        <w:rPr>
          <w:rFonts w:ascii="Times New Roman" w:hAnsi="Times New Roman" w:cs="Times New Roman"/>
          <w:sz w:val="20"/>
          <w:szCs w:val="20"/>
          <w:lang w:val="en-US"/>
        </w:rPr>
        <w:t xml:space="preserve">the </w:t>
      </w:r>
      <w:r w:rsidRPr="009E2AF4">
        <w:rPr>
          <w:rFonts w:ascii="Times New Roman" w:hAnsi="Times New Roman" w:cs="Times New Roman"/>
          <w:sz w:val="20"/>
          <w:szCs w:val="20"/>
          <w:lang w:val="en-US"/>
        </w:rPr>
        <w:t>x-axis</w:t>
      </w:r>
      <w:r w:rsidRPr="00AF32D6">
        <w:rPr>
          <w:rFonts w:ascii="Times New Roman" w:hAnsi="Times New Roman" w:cs="Times New Roman"/>
          <w:sz w:val="20"/>
          <w:szCs w:val="20"/>
          <w:lang w:val="en-US"/>
        </w:rPr>
        <w:t xml:space="preserve"> which means that surgery becomes </w:t>
      </w:r>
      <w:r w:rsidRPr="009E2AF4">
        <w:rPr>
          <w:rFonts w:ascii="Times New Roman" w:hAnsi="Times New Roman" w:cs="Times New Roman"/>
          <w:sz w:val="20"/>
          <w:szCs w:val="20"/>
          <w:lang w:val="en-US"/>
        </w:rPr>
        <w:t>cost saving</w:t>
      </w:r>
      <w:r w:rsidRPr="00AF32D6">
        <w:rPr>
          <w:rFonts w:ascii="Times New Roman" w:hAnsi="Times New Roman" w:cs="Times New Roman"/>
          <w:sz w:val="20"/>
          <w:szCs w:val="20"/>
          <w:lang w:val="en-US"/>
        </w:rPr>
        <w:t xml:space="preserve"> to </w:t>
      </w:r>
      <w:r>
        <w:rPr>
          <w:rFonts w:ascii="Times New Roman" w:hAnsi="Times New Roman" w:cs="Times New Roman"/>
          <w:sz w:val="20"/>
          <w:szCs w:val="20"/>
          <w:lang w:val="en-US"/>
        </w:rPr>
        <w:t xml:space="preserve">the </w:t>
      </w:r>
      <w:r w:rsidRPr="00AF32D6">
        <w:rPr>
          <w:rFonts w:ascii="Times New Roman" w:hAnsi="Times New Roman" w:cs="Times New Roman"/>
          <w:sz w:val="20"/>
          <w:szCs w:val="20"/>
          <w:lang w:val="en-US"/>
        </w:rPr>
        <w:t xml:space="preserve">health care system. </w:t>
      </w:r>
    </w:p>
    <w:p w:rsidR="004C3DC1" w:rsidRDefault="004C3DC1" w:rsidP="00D212ED">
      <w:pPr>
        <w:rPr>
          <w:rFonts w:ascii="Times New Roman" w:hAnsi="Times New Roman" w:cs="Times New Roman"/>
          <w:sz w:val="24"/>
          <w:szCs w:val="24"/>
          <w:lang w:val="en-US"/>
        </w:rPr>
      </w:pPr>
    </w:p>
    <w:p w:rsidR="004C3DC1" w:rsidRDefault="004C3DC1" w:rsidP="00D212ED">
      <w:pPr>
        <w:rPr>
          <w:rFonts w:ascii="Times New Roman" w:hAnsi="Times New Roman" w:cs="Times New Roman"/>
          <w:sz w:val="24"/>
          <w:szCs w:val="24"/>
          <w:lang w:val="en-US"/>
        </w:rPr>
      </w:pPr>
    </w:p>
    <w:p w:rsidR="004C3DC1" w:rsidRDefault="004C3DC1" w:rsidP="00D212ED">
      <w:pPr>
        <w:rPr>
          <w:rFonts w:ascii="Times New Roman" w:hAnsi="Times New Roman" w:cs="Times New Roman"/>
          <w:sz w:val="24"/>
          <w:szCs w:val="24"/>
          <w:lang w:val="en-US"/>
        </w:rPr>
      </w:pPr>
    </w:p>
    <w:p w:rsidR="004C3DC1" w:rsidRDefault="004C3DC1" w:rsidP="00D212ED">
      <w:pPr>
        <w:rPr>
          <w:rFonts w:ascii="Times New Roman" w:hAnsi="Times New Roman" w:cs="Times New Roman"/>
          <w:sz w:val="24"/>
          <w:szCs w:val="24"/>
          <w:lang w:val="en-US"/>
        </w:rPr>
      </w:pPr>
    </w:p>
    <w:p w:rsidR="004C3DC1" w:rsidRDefault="004C3DC1" w:rsidP="00D212ED">
      <w:pPr>
        <w:rPr>
          <w:rFonts w:ascii="Times New Roman" w:hAnsi="Times New Roman" w:cs="Times New Roman"/>
          <w:sz w:val="24"/>
          <w:szCs w:val="24"/>
          <w:lang w:val="en-US"/>
        </w:rPr>
      </w:pPr>
    </w:p>
    <w:p w:rsidR="004C3DC1" w:rsidRDefault="004C3DC1" w:rsidP="00D212ED">
      <w:pPr>
        <w:rPr>
          <w:rFonts w:ascii="Times New Roman" w:hAnsi="Times New Roman" w:cs="Times New Roman"/>
          <w:sz w:val="24"/>
          <w:szCs w:val="24"/>
          <w:lang w:val="en-US"/>
        </w:rPr>
      </w:pPr>
    </w:p>
    <w:p w:rsidR="004C3DC1" w:rsidRDefault="004C3DC1" w:rsidP="00D212ED">
      <w:pPr>
        <w:rPr>
          <w:rFonts w:ascii="Times New Roman" w:hAnsi="Times New Roman" w:cs="Times New Roman"/>
          <w:sz w:val="24"/>
          <w:szCs w:val="24"/>
          <w:lang w:val="en-US"/>
        </w:rPr>
      </w:pPr>
    </w:p>
    <w:p w:rsidR="004C3DC1" w:rsidRDefault="004C3DC1" w:rsidP="00D212ED">
      <w:pPr>
        <w:rPr>
          <w:rFonts w:ascii="Times New Roman" w:hAnsi="Times New Roman" w:cs="Times New Roman"/>
          <w:sz w:val="24"/>
          <w:szCs w:val="24"/>
          <w:lang w:val="en-US"/>
        </w:rPr>
      </w:pPr>
    </w:p>
    <w:p w:rsidR="004C3DC1" w:rsidRDefault="004C3DC1" w:rsidP="00D212ED">
      <w:pPr>
        <w:rPr>
          <w:rFonts w:ascii="Times New Roman" w:hAnsi="Times New Roman" w:cs="Times New Roman"/>
          <w:sz w:val="24"/>
          <w:szCs w:val="24"/>
          <w:lang w:val="en-US"/>
        </w:rPr>
      </w:pPr>
    </w:p>
    <w:p w:rsidR="004C3DC1" w:rsidRDefault="004C3DC1" w:rsidP="00D212ED">
      <w:pPr>
        <w:rPr>
          <w:rFonts w:ascii="Times New Roman" w:hAnsi="Times New Roman" w:cs="Times New Roman"/>
          <w:sz w:val="24"/>
          <w:szCs w:val="24"/>
          <w:lang w:val="en-US"/>
        </w:rPr>
      </w:pPr>
    </w:p>
    <w:p w:rsidR="004C3DC1" w:rsidRDefault="004C3DC1" w:rsidP="00D212ED">
      <w:pPr>
        <w:rPr>
          <w:rFonts w:ascii="Times New Roman" w:hAnsi="Times New Roman" w:cs="Times New Roman"/>
          <w:sz w:val="24"/>
          <w:szCs w:val="24"/>
          <w:lang w:val="en-US"/>
        </w:rPr>
      </w:pPr>
    </w:p>
    <w:p w:rsidR="004C3DC1" w:rsidRDefault="004C3DC1" w:rsidP="00D212ED">
      <w:pPr>
        <w:rPr>
          <w:rFonts w:ascii="Times New Roman" w:hAnsi="Times New Roman" w:cs="Times New Roman"/>
          <w:sz w:val="24"/>
          <w:szCs w:val="24"/>
          <w:lang w:val="en-US"/>
        </w:rPr>
      </w:pPr>
    </w:p>
    <w:p w:rsidR="004C3DC1" w:rsidRDefault="004C3DC1" w:rsidP="00D212ED">
      <w:pPr>
        <w:rPr>
          <w:rFonts w:ascii="Times New Roman" w:hAnsi="Times New Roman" w:cs="Times New Roman"/>
          <w:sz w:val="24"/>
          <w:szCs w:val="24"/>
          <w:lang w:val="en-US"/>
        </w:rPr>
      </w:pPr>
    </w:p>
    <w:p w:rsidR="004C3DC1" w:rsidRPr="00AF32D6" w:rsidRDefault="004C3DC1" w:rsidP="00D212ED">
      <w:pPr>
        <w:rPr>
          <w:rFonts w:ascii="Times New Roman" w:hAnsi="Times New Roman" w:cs="Times New Roman"/>
          <w:sz w:val="24"/>
          <w:szCs w:val="24"/>
          <w:lang w:val="en-US"/>
        </w:rPr>
      </w:pPr>
      <w:r w:rsidRPr="00AF32D6">
        <w:rPr>
          <w:rFonts w:ascii="Times New Roman" w:hAnsi="Times New Roman" w:cs="Times New Roman"/>
          <w:b/>
          <w:bCs/>
          <w:sz w:val="24"/>
          <w:szCs w:val="24"/>
          <w:lang w:val="en-US"/>
        </w:rPr>
        <w:lastRenderedPageBreak/>
        <w:t>Table S9</w:t>
      </w:r>
      <w:r>
        <w:rPr>
          <w:rFonts w:ascii="Times New Roman" w:hAnsi="Times New Roman" w:cs="Times New Roman"/>
          <w:sz w:val="24"/>
          <w:szCs w:val="24"/>
          <w:lang w:val="en-US"/>
        </w:rPr>
        <w:t xml:space="preserve"> </w:t>
      </w:r>
      <w:r w:rsidRPr="00AF32D6">
        <w:rPr>
          <w:rFonts w:ascii="Times New Roman" w:hAnsi="Times New Roman" w:cs="Times New Roman"/>
          <w:sz w:val="24"/>
          <w:szCs w:val="24"/>
          <w:lang w:val="en-US"/>
        </w:rPr>
        <w:t>Results of cost-effectiveness analysis from health care payer perspective in cohorts of male diabetic patients</w:t>
      </w:r>
    </w:p>
    <w:tbl>
      <w:tblPr>
        <w:tblW w:w="95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
        <w:gridCol w:w="1045"/>
        <w:gridCol w:w="1044"/>
        <w:gridCol w:w="1098"/>
        <w:gridCol w:w="877"/>
        <w:gridCol w:w="1101"/>
        <w:gridCol w:w="1101"/>
        <w:gridCol w:w="1841"/>
      </w:tblGrid>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Cost, €</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cost</w:t>
            </w: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LYG, years</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LYG</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QALY</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QALY</w:t>
            </w: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ICER, €/QALY</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Moderately obese (BMI – 33 kg/m</w:t>
            </w:r>
            <w:r w:rsidRPr="00424215">
              <w:rPr>
                <w:rFonts w:ascii="Times New Roman" w:hAnsi="Times New Roman" w:cs="Times New Roman"/>
                <w:sz w:val="20"/>
                <w:szCs w:val="20"/>
                <w:vertAlign w:val="superscript"/>
              </w:rPr>
              <w:t>2</w:t>
            </w:r>
            <w:r w:rsidRPr="00424215">
              <w:rPr>
                <w:rFonts w:ascii="Times New Roman" w:hAnsi="Times New Roman" w:cs="Times New Roman"/>
                <w:sz w:val="20"/>
                <w:szCs w:val="20"/>
              </w:rPr>
              <w:t>),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47 994</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18,4</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9,5</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33 014</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-14 981</w:t>
            </w: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20,1</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1,7</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12,9</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3,4</w:t>
            </w: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Dominates</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Severely obese (BMI – 37 kg/m</w:t>
            </w:r>
            <w:r w:rsidRPr="00424215">
              <w:rPr>
                <w:rFonts w:ascii="Times New Roman" w:hAnsi="Times New Roman" w:cs="Times New Roman"/>
                <w:sz w:val="20"/>
                <w:szCs w:val="20"/>
                <w:vertAlign w:val="superscript"/>
              </w:rPr>
              <w:t>2</w:t>
            </w:r>
            <w:r w:rsidRPr="00424215">
              <w:rPr>
                <w:rFonts w:ascii="Times New Roman" w:hAnsi="Times New Roman" w:cs="Times New Roman"/>
                <w:sz w:val="20"/>
                <w:szCs w:val="20"/>
              </w:rPr>
              <w:t>),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48 863</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18,2</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8,6</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34 199</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-14 664</w:t>
            </w: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19,9</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1,7</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12,1</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3,5</w:t>
            </w: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Dominates</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Morbidly obese (BMI – 42 kg/m</w:t>
            </w:r>
            <w:r w:rsidRPr="00424215">
              <w:rPr>
                <w:rFonts w:ascii="Times New Roman" w:hAnsi="Times New Roman" w:cs="Times New Roman"/>
                <w:sz w:val="20"/>
                <w:szCs w:val="20"/>
                <w:vertAlign w:val="superscript"/>
              </w:rPr>
              <w:t>2</w:t>
            </w:r>
            <w:r w:rsidRPr="00424215">
              <w:rPr>
                <w:rFonts w:ascii="Times New Roman" w:hAnsi="Times New Roman" w:cs="Times New Roman"/>
                <w:sz w:val="20"/>
                <w:szCs w:val="20"/>
              </w:rPr>
              <w:t>), best-case,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49 961</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18,1</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7,4</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33 928</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-16 033</w:t>
            </w: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19,9</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1,9</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12,3</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4,8</w:t>
            </w: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Dominates</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Morbidly obese (BMI – 42 kg/m</w:t>
            </w:r>
            <w:r w:rsidRPr="00424215">
              <w:rPr>
                <w:rFonts w:ascii="Times New Roman" w:hAnsi="Times New Roman" w:cs="Times New Roman"/>
                <w:sz w:val="20"/>
                <w:szCs w:val="20"/>
                <w:vertAlign w:val="superscript"/>
              </w:rPr>
              <w:t>2</w:t>
            </w:r>
            <w:r w:rsidRPr="00424215">
              <w:rPr>
                <w:rFonts w:ascii="Times New Roman" w:hAnsi="Times New Roman" w:cs="Times New Roman"/>
                <w:sz w:val="20"/>
                <w:szCs w:val="20"/>
              </w:rPr>
              <w:t>), worst-case,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49 961</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18,1</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7,4</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34 245</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-15 716</w:t>
            </w: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19,9</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1,8</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12,1</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4,7</w:t>
            </w: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Dominates</w:t>
            </w:r>
          </w:p>
        </w:tc>
      </w:tr>
      <w:tr w:rsidR="004C3DC1" w:rsidRPr="00C028E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sv-SE"/>
              </w:rPr>
            </w:pPr>
            <w:r w:rsidRPr="00424215">
              <w:rPr>
                <w:rFonts w:ascii="Times New Roman" w:hAnsi="Times New Roman" w:cs="Times New Roman"/>
                <w:sz w:val="20"/>
                <w:szCs w:val="20"/>
                <w:lang w:val="sv-SE"/>
              </w:rPr>
              <w:t>Super obese (BMI – 52 kg/m</w:t>
            </w:r>
            <w:r w:rsidRPr="00424215">
              <w:rPr>
                <w:rFonts w:ascii="Times New Roman" w:hAnsi="Times New Roman" w:cs="Times New Roman"/>
                <w:sz w:val="20"/>
                <w:szCs w:val="20"/>
                <w:vertAlign w:val="superscript"/>
                <w:lang w:val="sv-SE"/>
              </w:rPr>
              <w:t>2</w:t>
            </w:r>
            <w:r w:rsidRPr="00424215">
              <w:rPr>
                <w:rFonts w:ascii="Times New Roman" w:hAnsi="Times New Roman" w:cs="Times New Roman"/>
                <w:sz w:val="20"/>
                <w:szCs w:val="20"/>
                <w:lang w:val="sv-SE"/>
              </w:rPr>
              <w:t>),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52 031</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17,8</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5,2</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36 618</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-15 412</w:t>
            </w: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19,6</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1,9</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10,7</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5,4</w:t>
            </w: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Dominates</w:t>
            </w:r>
          </w:p>
        </w:tc>
      </w:tr>
    </w:tbl>
    <w:p w:rsidR="004C3DC1" w:rsidRPr="000D75C6" w:rsidRDefault="004C3DC1" w:rsidP="00D212ED">
      <w:pPr>
        <w:rPr>
          <w:rFonts w:ascii="Times New Roman" w:hAnsi="Times New Roman" w:cs="Times New Roman"/>
          <w:lang w:val="en-US"/>
        </w:rPr>
      </w:pPr>
      <w:r>
        <w:rPr>
          <w:rFonts w:ascii="Times New Roman" w:hAnsi="Times New Roman" w:cs="Times New Roman"/>
          <w:lang w:val="en-US"/>
        </w:rPr>
        <w:t xml:space="preserve">BMI: body mass index; </w:t>
      </w:r>
      <w:r w:rsidRPr="000D75C6">
        <w:rPr>
          <w:rFonts w:ascii="Times New Roman" w:hAnsi="Times New Roman" w:cs="Times New Roman"/>
          <w:lang w:val="en-US"/>
        </w:rPr>
        <w:t xml:space="preserve">ICER: incremental cost-effectiveness ratio; </w:t>
      </w:r>
      <w:r>
        <w:rPr>
          <w:rFonts w:ascii="Times New Roman" w:hAnsi="Times New Roman" w:cs="Times New Roman"/>
          <w:lang w:val="en-US"/>
        </w:rPr>
        <w:t xml:space="preserve">LYG: life years gained; </w:t>
      </w:r>
      <w:r w:rsidRPr="000D75C6">
        <w:rPr>
          <w:rFonts w:ascii="Times New Roman" w:hAnsi="Times New Roman" w:cs="Times New Roman"/>
          <w:lang w:val="en-US"/>
        </w:rPr>
        <w:t>OMM: optimal medical management; QALY: quality-adjusted life years.</w:t>
      </w:r>
    </w:p>
    <w:p w:rsidR="004C3DC1" w:rsidRPr="00354164" w:rsidRDefault="004C3DC1" w:rsidP="00D212ED">
      <w:pPr>
        <w:rPr>
          <w:rFonts w:ascii="Times New Roman" w:hAnsi="Times New Roman" w:cs="Times New Roman"/>
          <w:lang w:val="en-US"/>
        </w:rPr>
      </w:pPr>
    </w:p>
    <w:p w:rsidR="004C3DC1" w:rsidRPr="00AF32D6" w:rsidRDefault="004C3DC1" w:rsidP="00D212ED">
      <w:pPr>
        <w:rPr>
          <w:rFonts w:ascii="Times New Roman" w:hAnsi="Times New Roman" w:cs="Times New Roman"/>
          <w:sz w:val="24"/>
          <w:szCs w:val="24"/>
          <w:lang w:val="en-US"/>
        </w:rPr>
      </w:pPr>
      <w:r>
        <w:rPr>
          <w:rFonts w:ascii="Times New Roman" w:hAnsi="Times New Roman" w:cs="Times New Roman"/>
          <w:sz w:val="20"/>
          <w:szCs w:val="20"/>
          <w:lang w:val="en-US"/>
        </w:rPr>
        <w:br w:type="page"/>
      </w:r>
      <w:r w:rsidRPr="00AF32D6">
        <w:rPr>
          <w:rFonts w:ascii="Times New Roman" w:hAnsi="Times New Roman" w:cs="Times New Roman"/>
          <w:b/>
          <w:bCs/>
          <w:sz w:val="24"/>
          <w:szCs w:val="24"/>
          <w:lang w:val="en-US"/>
        </w:rPr>
        <w:lastRenderedPageBreak/>
        <w:t>Table S10</w:t>
      </w:r>
      <w:r w:rsidRPr="00AF32D6">
        <w:rPr>
          <w:rFonts w:ascii="Times New Roman" w:hAnsi="Times New Roman" w:cs="Times New Roman"/>
          <w:sz w:val="24"/>
          <w:szCs w:val="24"/>
          <w:lang w:val="en-US"/>
        </w:rPr>
        <w:t xml:space="preserve"> Results of cost-effectiveness analysis from health care payer perspective in cohorts of male non-diabetic patients</w:t>
      </w:r>
    </w:p>
    <w:tbl>
      <w:tblPr>
        <w:tblW w:w="95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
        <w:gridCol w:w="1045"/>
        <w:gridCol w:w="1044"/>
        <w:gridCol w:w="1098"/>
        <w:gridCol w:w="877"/>
        <w:gridCol w:w="1101"/>
        <w:gridCol w:w="1101"/>
        <w:gridCol w:w="1841"/>
      </w:tblGrid>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Cost, €</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cost</w:t>
            </w: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LYG, years</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LYG</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QALY</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QALY</w:t>
            </w: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ICER, €/QALY</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Moderately obese (BMI – 33 kg/m2), no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21 654</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20,3</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11,9</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22 643</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989</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20,9</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0,6</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14,0</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5 170</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Severely obese (BMI – 37 kg/m2), no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24 458</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20,0</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10,6</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24 133</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-326</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20,8</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0,7</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13,1</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2,5</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Morbidly obese (BMI – 42 kg/m2), best-case, no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28 107</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19,7</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9,1</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23 797</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-4 310</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20,8</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1,1</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13,3</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4,2</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Morbidly obese (BMI – 42 kg/m2), worst-case, no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28 107</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19,7</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9,1</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24 229</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-3 879</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20,8</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1,0</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13,1</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4,0</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Super obese (BMI – 52 kg/m2), no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35 128</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19,2</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6,2</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27 259</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-7 869</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20,4</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1,3</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11,5</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5,3</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bl>
    <w:p w:rsidR="004C3DC1" w:rsidRPr="000D75C6" w:rsidRDefault="004C3DC1" w:rsidP="00D212ED">
      <w:pPr>
        <w:rPr>
          <w:rFonts w:ascii="Times New Roman" w:hAnsi="Times New Roman" w:cs="Times New Roman"/>
          <w:lang w:val="en-US"/>
        </w:rPr>
      </w:pPr>
      <w:r>
        <w:rPr>
          <w:rFonts w:ascii="Times New Roman" w:hAnsi="Times New Roman" w:cs="Times New Roman"/>
          <w:lang w:val="en-US"/>
        </w:rPr>
        <w:t xml:space="preserve">BMI: body mass index; </w:t>
      </w:r>
      <w:r w:rsidRPr="000D75C6">
        <w:rPr>
          <w:rFonts w:ascii="Times New Roman" w:hAnsi="Times New Roman" w:cs="Times New Roman"/>
          <w:lang w:val="en-US"/>
        </w:rPr>
        <w:t xml:space="preserve">ICER: incremental cost-effectiveness ratio; </w:t>
      </w:r>
      <w:r>
        <w:rPr>
          <w:rFonts w:ascii="Times New Roman" w:hAnsi="Times New Roman" w:cs="Times New Roman"/>
          <w:lang w:val="en-US"/>
        </w:rPr>
        <w:t xml:space="preserve">LYG: life years gained; </w:t>
      </w:r>
      <w:r w:rsidRPr="000D75C6">
        <w:rPr>
          <w:rFonts w:ascii="Times New Roman" w:hAnsi="Times New Roman" w:cs="Times New Roman"/>
          <w:lang w:val="en-US"/>
        </w:rPr>
        <w:t>OMM: optimal medical management; QALY: quality-adjusted life years.</w:t>
      </w:r>
    </w:p>
    <w:p w:rsidR="004C3DC1" w:rsidRPr="00354164" w:rsidRDefault="004C3DC1" w:rsidP="00D212ED">
      <w:pPr>
        <w:rPr>
          <w:rFonts w:ascii="Times New Roman" w:hAnsi="Times New Roman" w:cs="Times New Roman"/>
          <w:lang w:val="en-US"/>
        </w:rPr>
      </w:pPr>
    </w:p>
    <w:p w:rsidR="004C3DC1" w:rsidRPr="00AF32D6" w:rsidRDefault="004C3DC1" w:rsidP="00D212ED">
      <w:pPr>
        <w:rPr>
          <w:rFonts w:ascii="Times New Roman" w:hAnsi="Times New Roman" w:cs="Times New Roman"/>
          <w:sz w:val="24"/>
          <w:szCs w:val="24"/>
          <w:lang w:val="en-US"/>
        </w:rPr>
      </w:pPr>
      <w:r>
        <w:rPr>
          <w:rFonts w:ascii="Times New Roman" w:hAnsi="Times New Roman" w:cs="Times New Roman"/>
          <w:sz w:val="20"/>
          <w:szCs w:val="20"/>
          <w:lang w:val="en-US"/>
        </w:rPr>
        <w:br w:type="page"/>
      </w:r>
      <w:r w:rsidRPr="00AF32D6">
        <w:rPr>
          <w:rFonts w:ascii="Times New Roman" w:hAnsi="Times New Roman" w:cs="Times New Roman"/>
          <w:b/>
          <w:bCs/>
          <w:sz w:val="24"/>
          <w:szCs w:val="24"/>
          <w:lang w:val="en-US"/>
        </w:rPr>
        <w:lastRenderedPageBreak/>
        <w:t>Table S11</w:t>
      </w:r>
      <w:r w:rsidRPr="00AF32D6">
        <w:rPr>
          <w:rFonts w:ascii="Times New Roman" w:hAnsi="Times New Roman" w:cs="Times New Roman"/>
          <w:sz w:val="24"/>
          <w:szCs w:val="24"/>
          <w:lang w:val="en-US"/>
        </w:rPr>
        <w:t xml:space="preserve"> Results of cost-effectiveness analysis from health care payer perspective in cohorts of female diabetic patients</w:t>
      </w:r>
    </w:p>
    <w:tbl>
      <w:tblPr>
        <w:tblW w:w="95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
        <w:gridCol w:w="1045"/>
        <w:gridCol w:w="1044"/>
        <w:gridCol w:w="1098"/>
        <w:gridCol w:w="877"/>
        <w:gridCol w:w="1101"/>
        <w:gridCol w:w="1101"/>
        <w:gridCol w:w="1841"/>
      </w:tblGrid>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Cost, €</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cost</w:t>
            </w: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LYG, years</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LYG</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QALY</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QALY</w:t>
            </w: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ICER, €/QALY</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Moderately obese (BMI – 33 kg/m2),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55 474</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22,1</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11,5</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33 230</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-22 244</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22,9</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0,8</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14,8</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3,3</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Severely obese (BMI – 37 kg/m2),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56 540</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22,0</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10,4</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34 455</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-22 085</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22,8</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0,8</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13,9</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3,5</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Morbidly obese (BMI – 42 kg/m2), best-case,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57 962</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21,9</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9,1</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34 153</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-23 809</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22,8</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1,0</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14,1</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5,1</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Morbidly obese (BMI – 42 kg/m2), worst-case,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57 962</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21,9</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9,1</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34 426</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-23 536</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22,8</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1,0</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13,9</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4,9</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r w:rsidR="004C3DC1" w:rsidRPr="00C028E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lang w:val="sv-SE"/>
              </w:rPr>
            </w:pPr>
            <w:r w:rsidRPr="00424215">
              <w:rPr>
                <w:rFonts w:ascii="Times New Roman" w:hAnsi="Times New Roman" w:cs="Times New Roman"/>
                <w:sz w:val="20"/>
                <w:szCs w:val="20"/>
                <w:lang w:val="sv-SE"/>
              </w:rPr>
              <w:t>Super obese (BMI – 52 kg/m2),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60 758</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21,7</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6,5</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37 213</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-23 545</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22,7</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1,0</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12,4</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5,9</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bl>
    <w:p w:rsidR="004C3DC1" w:rsidRPr="000D75C6" w:rsidRDefault="004C3DC1" w:rsidP="00D212ED">
      <w:pPr>
        <w:rPr>
          <w:rFonts w:ascii="Times New Roman" w:hAnsi="Times New Roman" w:cs="Times New Roman"/>
          <w:lang w:val="en-US"/>
        </w:rPr>
      </w:pPr>
      <w:r>
        <w:rPr>
          <w:rFonts w:ascii="Times New Roman" w:hAnsi="Times New Roman" w:cs="Times New Roman"/>
          <w:lang w:val="en-US"/>
        </w:rPr>
        <w:t xml:space="preserve">BMI: body mass index; </w:t>
      </w:r>
      <w:r w:rsidRPr="000D75C6">
        <w:rPr>
          <w:rFonts w:ascii="Times New Roman" w:hAnsi="Times New Roman" w:cs="Times New Roman"/>
          <w:lang w:val="en-US"/>
        </w:rPr>
        <w:t xml:space="preserve">ICER: incremental cost-effectiveness ratio; </w:t>
      </w:r>
      <w:r>
        <w:rPr>
          <w:rFonts w:ascii="Times New Roman" w:hAnsi="Times New Roman" w:cs="Times New Roman"/>
          <w:lang w:val="en-US"/>
        </w:rPr>
        <w:t xml:space="preserve">LYG: life years gained; </w:t>
      </w:r>
      <w:r w:rsidRPr="000D75C6">
        <w:rPr>
          <w:rFonts w:ascii="Times New Roman" w:hAnsi="Times New Roman" w:cs="Times New Roman"/>
          <w:lang w:val="en-US"/>
        </w:rPr>
        <w:t>OMM: optimal medical management; QALY: quality-adjusted life years.</w:t>
      </w:r>
    </w:p>
    <w:p w:rsidR="004C3DC1" w:rsidRPr="00354164" w:rsidRDefault="004C3DC1" w:rsidP="00D212ED">
      <w:pPr>
        <w:rPr>
          <w:rFonts w:ascii="Times New Roman" w:hAnsi="Times New Roman" w:cs="Times New Roman"/>
          <w:lang w:val="en-US"/>
        </w:rPr>
      </w:pPr>
    </w:p>
    <w:p w:rsidR="004C3DC1" w:rsidRPr="00AF32D6" w:rsidRDefault="004C3DC1" w:rsidP="00D212ED">
      <w:pPr>
        <w:rPr>
          <w:rFonts w:ascii="Times New Roman" w:hAnsi="Times New Roman" w:cs="Times New Roman"/>
          <w:sz w:val="24"/>
          <w:szCs w:val="24"/>
          <w:lang w:val="en-US"/>
        </w:rPr>
      </w:pPr>
      <w:r>
        <w:rPr>
          <w:rFonts w:ascii="Times New Roman" w:hAnsi="Times New Roman" w:cs="Times New Roman"/>
          <w:sz w:val="20"/>
          <w:szCs w:val="20"/>
          <w:lang w:val="en-US"/>
        </w:rPr>
        <w:br w:type="page"/>
      </w:r>
      <w:r w:rsidRPr="00AF32D6">
        <w:rPr>
          <w:rFonts w:ascii="Times New Roman" w:hAnsi="Times New Roman" w:cs="Times New Roman"/>
          <w:b/>
          <w:bCs/>
          <w:sz w:val="24"/>
          <w:szCs w:val="24"/>
          <w:lang w:val="en-US"/>
        </w:rPr>
        <w:lastRenderedPageBreak/>
        <w:t>Table S12</w:t>
      </w:r>
      <w:r w:rsidRPr="00AF32D6">
        <w:rPr>
          <w:rFonts w:ascii="Times New Roman" w:hAnsi="Times New Roman" w:cs="Times New Roman"/>
          <w:sz w:val="24"/>
          <w:szCs w:val="24"/>
          <w:lang w:val="en-US"/>
        </w:rPr>
        <w:t xml:space="preserve"> Results of cost-effectiveness analysis from health care payer perspective in cohorts of female non-diabetic patients</w:t>
      </w:r>
    </w:p>
    <w:tbl>
      <w:tblPr>
        <w:tblW w:w="95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
        <w:gridCol w:w="1045"/>
        <w:gridCol w:w="1044"/>
        <w:gridCol w:w="1098"/>
        <w:gridCol w:w="877"/>
        <w:gridCol w:w="1101"/>
        <w:gridCol w:w="1101"/>
        <w:gridCol w:w="1841"/>
      </w:tblGrid>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045"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Cost, €</w:t>
            </w:r>
          </w:p>
        </w:tc>
        <w:tc>
          <w:tcPr>
            <w:tcW w:w="1044"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cost</w:t>
            </w:r>
          </w:p>
        </w:tc>
        <w:tc>
          <w:tcPr>
            <w:tcW w:w="1098"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LYG, years</w:t>
            </w:r>
          </w:p>
        </w:tc>
        <w:tc>
          <w:tcPr>
            <w:tcW w:w="877"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LYG</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QALY</w:t>
            </w:r>
          </w:p>
        </w:tc>
        <w:tc>
          <w:tcPr>
            <w:tcW w:w="110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QALY</w:t>
            </w:r>
          </w:p>
        </w:tc>
        <w:tc>
          <w:tcPr>
            <w:tcW w:w="184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ICER, €/QALY</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Moderately obese (BMI – 33 kg/m2), no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19 600</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22,7</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13,3</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19 714</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114</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23,1</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0,4</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15,5</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574</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Severely obese (BMI – 37 kg/m2), no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23 043</w:t>
            </w:r>
          </w:p>
        </w:tc>
        <w:tc>
          <w:tcPr>
            <w:tcW w:w="1044" w:type="dxa"/>
            <w:vAlign w:val="center"/>
          </w:tcPr>
          <w:p w:rsidR="004C3DC1" w:rsidRPr="00424215" w:rsidRDefault="004C3DC1" w:rsidP="00D212ED">
            <w:pPr>
              <w:pStyle w:val="NormalWeb"/>
              <w:spacing w:before="0" w:beforeAutospacing="0" w:after="0" w:afterAutospacing="0" w:line="276" w:lineRule="auto"/>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22,6</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12,0</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21 239</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-1 804</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23,1</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0,5</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14,6</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2,7</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Morbidly obese (BMI – 42 kg/m2), best-case, no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27 768</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22,4</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10,3</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20 875</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-6 893</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23,1</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0,7</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14,8</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4,5</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Morbidly obese (BMI – 42 kg/m2), worst-case, no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27 768</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22,4</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10,3</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21 277</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-6 491</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23,1</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0,7</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14,6</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4,3</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r w:rsidR="004C3DC1" w:rsidRPr="00424215">
        <w:trPr>
          <w:cantSplit/>
          <w:trHeight w:val="20"/>
        </w:trPr>
        <w:tc>
          <w:tcPr>
            <w:tcW w:w="9528" w:type="dxa"/>
            <w:gridSpan w:val="8"/>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Super obese (BMI – 52 kg/m2), no diabetes</w:t>
            </w: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37 222</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22,0</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7,2</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p>
        </w:tc>
      </w:tr>
      <w:tr w:rsidR="004C3DC1" w:rsidRPr="00424215">
        <w:trPr>
          <w:cantSplit/>
          <w:trHeight w:val="20"/>
        </w:trPr>
        <w:tc>
          <w:tcPr>
            <w:tcW w:w="1421" w:type="dxa"/>
            <w:vAlign w:val="center"/>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045"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24 795</w:t>
            </w:r>
          </w:p>
        </w:tc>
        <w:tc>
          <w:tcPr>
            <w:tcW w:w="1044"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-12 427</w:t>
            </w:r>
          </w:p>
        </w:tc>
        <w:tc>
          <w:tcPr>
            <w:tcW w:w="1098"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22,9</w:t>
            </w:r>
          </w:p>
        </w:tc>
        <w:tc>
          <w:tcPr>
            <w:tcW w:w="877"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0,9</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13,0</w:t>
            </w:r>
          </w:p>
        </w:tc>
        <w:tc>
          <w:tcPr>
            <w:tcW w:w="110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5,8</w:t>
            </w:r>
          </w:p>
        </w:tc>
        <w:tc>
          <w:tcPr>
            <w:tcW w:w="1841" w:type="dxa"/>
            <w:vAlign w:val="center"/>
          </w:tcPr>
          <w:p w:rsidR="004C3DC1" w:rsidRPr="00424215" w:rsidRDefault="004C3DC1" w:rsidP="00D212ED">
            <w:pPr>
              <w:pStyle w:val="NormalWeb"/>
              <w:spacing w:before="0" w:beforeAutospacing="0" w:after="0" w:afterAutospacing="0" w:line="276" w:lineRule="auto"/>
              <w:jc w:val="center"/>
              <w:textAlignment w:val="center"/>
              <w:rPr>
                <w:sz w:val="20"/>
                <w:szCs w:val="20"/>
                <w:lang w:eastAsia="en-US"/>
              </w:rPr>
            </w:pPr>
            <w:r w:rsidRPr="00424215">
              <w:rPr>
                <w:sz w:val="20"/>
                <w:szCs w:val="20"/>
                <w:lang w:eastAsia="en-US"/>
              </w:rPr>
              <w:t>Dominates</w:t>
            </w:r>
          </w:p>
        </w:tc>
      </w:tr>
    </w:tbl>
    <w:p w:rsidR="004C3DC1" w:rsidRPr="000D75C6" w:rsidRDefault="004C3DC1" w:rsidP="00D212ED">
      <w:pPr>
        <w:rPr>
          <w:rFonts w:ascii="Times New Roman" w:hAnsi="Times New Roman" w:cs="Times New Roman"/>
          <w:lang w:val="en-US"/>
        </w:rPr>
      </w:pPr>
      <w:r>
        <w:rPr>
          <w:rFonts w:ascii="Times New Roman" w:hAnsi="Times New Roman" w:cs="Times New Roman"/>
          <w:lang w:val="en-US"/>
        </w:rPr>
        <w:t xml:space="preserve">BMI: body mass index; </w:t>
      </w:r>
      <w:r w:rsidRPr="000D75C6">
        <w:rPr>
          <w:rFonts w:ascii="Times New Roman" w:hAnsi="Times New Roman" w:cs="Times New Roman"/>
          <w:lang w:val="en-US"/>
        </w:rPr>
        <w:t xml:space="preserve">ICER: incremental cost-effectiveness ratio; </w:t>
      </w:r>
      <w:r>
        <w:rPr>
          <w:rFonts w:ascii="Times New Roman" w:hAnsi="Times New Roman" w:cs="Times New Roman"/>
          <w:lang w:val="en-US"/>
        </w:rPr>
        <w:t xml:space="preserve">LYG: life years gained; </w:t>
      </w:r>
      <w:r w:rsidRPr="000D75C6">
        <w:rPr>
          <w:rFonts w:ascii="Times New Roman" w:hAnsi="Times New Roman" w:cs="Times New Roman"/>
          <w:lang w:val="en-US"/>
        </w:rPr>
        <w:t>OMM: optimal medical management; QALY: quality-adjusted life years.</w:t>
      </w:r>
    </w:p>
    <w:p w:rsidR="004C3DC1" w:rsidRPr="00354164" w:rsidRDefault="004C3DC1" w:rsidP="00D212ED">
      <w:pPr>
        <w:rPr>
          <w:rFonts w:ascii="Times New Roman" w:hAnsi="Times New Roman" w:cs="Times New Roman"/>
          <w:sz w:val="20"/>
          <w:szCs w:val="20"/>
          <w:lang w:val="en-US"/>
        </w:rPr>
      </w:pPr>
    </w:p>
    <w:p w:rsidR="004C3DC1" w:rsidRDefault="004C3DC1" w:rsidP="00D212ED">
      <w:pPr>
        <w:tabs>
          <w:tab w:val="left" w:pos="1035"/>
        </w:tabs>
        <w:rPr>
          <w:rFonts w:ascii="Times New Roman" w:hAnsi="Times New Roman" w:cs="Times New Roman"/>
          <w:sz w:val="20"/>
          <w:szCs w:val="20"/>
          <w:lang w:val="en-US"/>
        </w:rPr>
      </w:pPr>
      <w:r>
        <w:rPr>
          <w:rFonts w:ascii="Times New Roman" w:hAnsi="Times New Roman" w:cs="Times New Roman"/>
          <w:sz w:val="20"/>
          <w:szCs w:val="20"/>
          <w:lang w:val="en-US"/>
        </w:rPr>
        <w:br w:type="page"/>
      </w:r>
    </w:p>
    <w:p w:rsidR="0027665A" w:rsidRPr="00091DA2" w:rsidRDefault="0027665A" w:rsidP="00D212ED">
      <w:pPr>
        <w:tabs>
          <w:tab w:val="left" w:pos="1035"/>
        </w:tabs>
        <w:rPr>
          <w:rFonts w:ascii="Times New Roman" w:hAnsi="Times New Roman" w:cs="Times New Roman"/>
          <w:sz w:val="24"/>
          <w:szCs w:val="24"/>
          <w:lang w:val="en-US"/>
        </w:rPr>
      </w:pPr>
      <w:r>
        <w:rPr>
          <w:noProof/>
          <w:lang w:val="en-US"/>
        </w:rPr>
        <w:lastRenderedPageBreak/>
        <w:drawing>
          <wp:inline distT="0" distB="0" distL="0" distR="0" wp14:anchorId="3F73C404" wp14:editId="573392E9">
            <wp:extent cx="5760720" cy="29508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950845"/>
                    </a:xfrm>
                    <a:prstGeom prst="rect">
                      <a:avLst/>
                    </a:prstGeom>
                  </pic:spPr>
                </pic:pic>
              </a:graphicData>
            </a:graphic>
          </wp:inline>
        </w:drawing>
      </w:r>
    </w:p>
    <w:p w:rsidR="004C3DC1" w:rsidRDefault="004C3DC1" w:rsidP="00D212ED">
      <w:pPr>
        <w:tabs>
          <w:tab w:val="left" w:pos="1035"/>
        </w:tabs>
        <w:rPr>
          <w:rFonts w:ascii="Times New Roman" w:hAnsi="Times New Roman" w:cs="Times New Roman"/>
          <w:sz w:val="24"/>
          <w:szCs w:val="24"/>
          <w:lang w:val="en-US"/>
        </w:rPr>
      </w:pPr>
      <w:r w:rsidRPr="00AF32D6">
        <w:rPr>
          <w:rFonts w:ascii="Times New Roman" w:hAnsi="Times New Roman" w:cs="Times New Roman"/>
          <w:b/>
          <w:bCs/>
          <w:sz w:val="24"/>
          <w:szCs w:val="24"/>
          <w:lang w:val="en-US"/>
        </w:rPr>
        <w:t>Fig.</w:t>
      </w:r>
      <w:r>
        <w:rPr>
          <w:rFonts w:ascii="Times New Roman" w:hAnsi="Times New Roman" w:cs="Times New Roman"/>
          <w:b/>
          <w:bCs/>
          <w:sz w:val="24"/>
          <w:szCs w:val="24"/>
          <w:lang w:val="en-US"/>
        </w:rPr>
        <w:t xml:space="preserve"> S6A</w:t>
      </w:r>
      <w:r w:rsidRPr="00AF32D6">
        <w:rPr>
          <w:rFonts w:ascii="Times New Roman" w:hAnsi="Times New Roman" w:cs="Times New Roman"/>
          <w:b/>
          <w:bCs/>
          <w:sz w:val="24"/>
          <w:szCs w:val="24"/>
          <w:lang w:val="en-US"/>
        </w:rPr>
        <w:t xml:space="preserve"> </w:t>
      </w:r>
      <w:r w:rsidRPr="00091DA2">
        <w:rPr>
          <w:rFonts w:ascii="Times New Roman" w:hAnsi="Times New Roman" w:cs="Times New Roman"/>
          <w:sz w:val="24"/>
          <w:szCs w:val="24"/>
          <w:lang w:val="en-US"/>
        </w:rPr>
        <w:t>Clinical benefits in cohorts of male patients</w:t>
      </w:r>
      <w:r>
        <w:rPr>
          <w:rFonts w:ascii="Times New Roman" w:hAnsi="Times New Roman" w:cs="Times New Roman"/>
          <w:sz w:val="24"/>
          <w:szCs w:val="24"/>
          <w:lang w:val="en-US"/>
        </w:rPr>
        <w:t xml:space="preserve"> </w:t>
      </w:r>
    </w:p>
    <w:p w:rsidR="004C3DC1" w:rsidRPr="002A4881" w:rsidRDefault="004C3DC1" w:rsidP="00D212ED">
      <w:pPr>
        <w:tabs>
          <w:tab w:val="left" w:pos="1035"/>
        </w:tabs>
        <w:rPr>
          <w:rFonts w:ascii="Times New Roman" w:hAnsi="Times New Roman" w:cs="Times New Roman"/>
          <w:sz w:val="20"/>
          <w:szCs w:val="24"/>
          <w:lang w:val="en-US"/>
        </w:rPr>
      </w:pPr>
      <w:r w:rsidRPr="002A4881">
        <w:rPr>
          <w:rFonts w:ascii="Times New Roman" w:hAnsi="Times New Roman" w:cs="Times New Roman"/>
          <w:sz w:val="20"/>
          <w:szCs w:val="24"/>
          <w:lang w:val="en-US"/>
        </w:rPr>
        <w:t xml:space="preserve">The figure shows the number of additional life years and quality-adjusted life years in the surgical arm in comparison with optimal medical management. </w:t>
      </w:r>
    </w:p>
    <w:p w:rsidR="004C3DC1" w:rsidRDefault="004C3DC1" w:rsidP="00D212ED">
      <w:pPr>
        <w:tabs>
          <w:tab w:val="left" w:pos="1035"/>
        </w:tabs>
        <w:rPr>
          <w:rFonts w:ascii="Times New Roman" w:hAnsi="Times New Roman" w:cs="Times New Roman"/>
          <w:sz w:val="24"/>
          <w:szCs w:val="24"/>
          <w:lang w:val="en-US"/>
        </w:rPr>
      </w:pPr>
    </w:p>
    <w:p w:rsidR="0027665A" w:rsidRDefault="0027665A" w:rsidP="00D212ED">
      <w:pPr>
        <w:tabs>
          <w:tab w:val="left" w:pos="1035"/>
        </w:tabs>
        <w:rPr>
          <w:rFonts w:ascii="Times New Roman" w:hAnsi="Times New Roman" w:cs="Times New Roman"/>
          <w:sz w:val="24"/>
          <w:szCs w:val="24"/>
          <w:lang w:val="en-US"/>
        </w:rPr>
      </w:pPr>
      <w:r>
        <w:rPr>
          <w:noProof/>
          <w:lang w:val="en-US"/>
        </w:rPr>
        <w:drawing>
          <wp:inline distT="0" distB="0" distL="0" distR="0" wp14:anchorId="4A9DE0FD" wp14:editId="25CD1B6F">
            <wp:extent cx="5760720" cy="29578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957830"/>
                    </a:xfrm>
                    <a:prstGeom prst="rect">
                      <a:avLst/>
                    </a:prstGeom>
                  </pic:spPr>
                </pic:pic>
              </a:graphicData>
            </a:graphic>
          </wp:inline>
        </w:drawing>
      </w:r>
    </w:p>
    <w:p w:rsidR="004C3DC1" w:rsidRDefault="004C3DC1" w:rsidP="00D212ED">
      <w:pPr>
        <w:tabs>
          <w:tab w:val="left" w:pos="1035"/>
        </w:tabs>
        <w:rPr>
          <w:rFonts w:ascii="Times New Roman" w:hAnsi="Times New Roman" w:cs="Times New Roman"/>
          <w:sz w:val="24"/>
          <w:szCs w:val="24"/>
          <w:lang w:val="en-US"/>
        </w:rPr>
      </w:pPr>
      <w:r>
        <w:rPr>
          <w:rFonts w:ascii="Times New Roman" w:hAnsi="Times New Roman" w:cs="Times New Roman"/>
          <w:b/>
          <w:bCs/>
          <w:sz w:val="24"/>
          <w:szCs w:val="24"/>
          <w:lang w:val="en-US"/>
        </w:rPr>
        <w:t>Fig.</w:t>
      </w:r>
      <w:r w:rsidRPr="00091DA2">
        <w:rPr>
          <w:rFonts w:ascii="Times New Roman" w:hAnsi="Times New Roman" w:cs="Times New Roman"/>
          <w:sz w:val="24"/>
          <w:szCs w:val="24"/>
          <w:lang w:val="en-US"/>
        </w:rPr>
        <w:t xml:space="preserve"> </w:t>
      </w:r>
      <w:r>
        <w:rPr>
          <w:rFonts w:ascii="Times New Roman" w:hAnsi="Times New Roman" w:cs="Times New Roman"/>
          <w:b/>
          <w:bCs/>
          <w:sz w:val="24"/>
          <w:szCs w:val="24"/>
          <w:lang w:val="en-US"/>
        </w:rPr>
        <w:t>S6B</w:t>
      </w:r>
      <w:r w:rsidRPr="00AF32D6">
        <w:rPr>
          <w:rFonts w:ascii="Times New Roman" w:hAnsi="Times New Roman" w:cs="Times New Roman"/>
          <w:b/>
          <w:bCs/>
          <w:sz w:val="24"/>
          <w:szCs w:val="24"/>
          <w:lang w:val="en-US"/>
        </w:rPr>
        <w:t xml:space="preserve"> </w:t>
      </w:r>
      <w:r w:rsidRPr="00091DA2">
        <w:rPr>
          <w:rFonts w:ascii="Times New Roman" w:hAnsi="Times New Roman" w:cs="Times New Roman"/>
          <w:sz w:val="24"/>
          <w:szCs w:val="24"/>
          <w:lang w:val="en-US"/>
        </w:rPr>
        <w:t>Clinical benefits in cohorts of female patients</w:t>
      </w:r>
    </w:p>
    <w:p w:rsidR="004C3DC1" w:rsidRPr="002A4881" w:rsidRDefault="004C3DC1" w:rsidP="00D212ED">
      <w:pPr>
        <w:tabs>
          <w:tab w:val="left" w:pos="1035"/>
        </w:tabs>
        <w:rPr>
          <w:rFonts w:ascii="Times New Roman" w:hAnsi="Times New Roman" w:cs="Times New Roman"/>
          <w:sz w:val="20"/>
          <w:szCs w:val="24"/>
          <w:lang w:val="en-US"/>
        </w:rPr>
      </w:pPr>
      <w:r w:rsidRPr="002A4881">
        <w:rPr>
          <w:rFonts w:ascii="Times New Roman" w:hAnsi="Times New Roman" w:cs="Times New Roman"/>
          <w:sz w:val="20"/>
          <w:szCs w:val="24"/>
          <w:lang w:val="en-US"/>
        </w:rPr>
        <w:t xml:space="preserve">The figure shows the number of additional life years and quality-adjusted life years in the surgical arm in comparison with optimal medical management. </w:t>
      </w:r>
    </w:p>
    <w:p w:rsidR="004C3DC1" w:rsidRDefault="004C3DC1" w:rsidP="00D212ED">
      <w:pPr>
        <w:tabs>
          <w:tab w:val="left" w:pos="1035"/>
        </w:tabs>
        <w:rPr>
          <w:rFonts w:ascii="Times New Roman" w:hAnsi="Times New Roman" w:cs="Times New Roman"/>
          <w:sz w:val="24"/>
          <w:szCs w:val="24"/>
          <w:lang w:val="en-US"/>
        </w:rPr>
      </w:pPr>
    </w:p>
    <w:p w:rsidR="004C3DC1" w:rsidRDefault="004C3DC1" w:rsidP="00D212ED">
      <w:pPr>
        <w:tabs>
          <w:tab w:val="left" w:pos="1035"/>
        </w:tabs>
        <w:rPr>
          <w:rFonts w:ascii="Times New Roman" w:hAnsi="Times New Roman" w:cs="Times New Roman"/>
          <w:sz w:val="24"/>
          <w:szCs w:val="24"/>
          <w:lang w:val="en-US"/>
        </w:rPr>
      </w:pPr>
    </w:p>
    <w:p w:rsidR="004C3DC1" w:rsidRPr="00AF32D6" w:rsidRDefault="004C3DC1" w:rsidP="00D212ED">
      <w:pPr>
        <w:rPr>
          <w:rFonts w:ascii="Times New Roman" w:hAnsi="Times New Roman" w:cs="Times New Roman"/>
          <w:sz w:val="24"/>
          <w:szCs w:val="24"/>
          <w:lang w:val="en-US"/>
        </w:rPr>
      </w:pPr>
      <w:r w:rsidRPr="00AF32D6">
        <w:rPr>
          <w:rFonts w:ascii="Times New Roman" w:hAnsi="Times New Roman" w:cs="Times New Roman"/>
          <w:b/>
          <w:bCs/>
          <w:sz w:val="24"/>
          <w:szCs w:val="24"/>
          <w:lang w:val="en-US"/>
        </w:rPr>
        <w:lastRenderedPageBreak/>
        <w:t>Table S13</w:t>
      </w:r>
      <w:r w:rsidRPr="00AF32D6">
        <w:rPr>
          <w:rFonts w:ascii="Times New Roman" w:hAnsi="Times New Roman" w:cs="Times New Roman"/>
          <w:sz w:val="24"/>
          <w:szCs w:val="24"/>
          <w:lang w:val="en-US"/>
        </w:rPr>
        <w:t xml:space="preserve"> Total cost, life years and QALYs gained with no delay and 3-year delay in surgery provision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6"/>
        <w:gridCol w:w="1007"/>
        <w:gridCol w:w="1007"/>
        <w:gridCol w:w="1007"/>
        <w:gridCol w:w="1007"/>
        <w:gridCol w:w="1007"/>
        <w:gridCol w:w="1007"/>
        <w:gridCol w:w="1007"/>
        <w:gridCol w:w="1007"/>
      </w:tblGrid>
      <w:tr w:rsidR="004C3DC1" w:rsidRPr="00424215">
        <w:trPr>
          <w:jc w:val="center"/>
        </w:trPr>
        <w:tc>
          <w:tcPr>
            <w:tcW w:w="1006" w:type="dxa"/>
            <w:vMerge w:val="restart"/>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Delay in surgery</w:t>
            </w:r>
          </w:p>
        </w:tc>
        <w:tc>
          <w:tcPr>
            <w:tcW w:w="2014" w:type="dxa"/>
            <w:gridSpan w:val="2"/>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Moderately obese</w:t>
            </w:r>
          </w:p>
        </w:tc>
        <w:tc>
          <w:tcPr>
            <w:tcW w:w="2014" w:type="dxa"/>
            <w:gridSpan w:val="2"/>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Severely obese</w:t>
            </w:r>
          </w:p>
        </w:tc>
        <w:tc>
          <w:tcPr>
            <w:tcW w:w="2014" w:type="dxa"/>
            <w:gridSpan w:val="2"/>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Morbidly obese</w:t>
            </w:r>
          </w:p>
        </w:tc>
        <w:tc>
          <w:tcPr>
            <w:tcW w:w="2014" w:type="dxa"/>
            <w:gridSpan w:val="2"/>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Super obese</w:t>
            </w:r>
          </w:p>
        </w:tc>
      </w:tr>
      <w:tr w:rsidR="004C3DC1" w:rsidRPr="00424215">
        <w:trPr>
          <w:jc w:val="center"/>
        </w:trPr>
        <w:tc>
          <w:tcPr>
            <w:tcW w:w="1006" w:type="dxa"/>
            <w:vMerge/>
          </w:tcPr>
          <w:p w:rsidR="004C3DC1" w:rsidRPr="00424215" w:rsidRDefault="004C3DC1" w:rsidP="00D212ED">
            <w:pPr>
              <w:spacing w:after="0" w:line="240" w:lineRule="auto"/>
              <w:jc w:val="center"/>
              <w:rPr>
                <w:rFonts w:ascii="Times New Roman" w:hAnsi="Times New Roman" w:cs="Times New Roman"/>
                <w:sz w:val="20"/>
                <w:szCs w:val="20"/>
              </w:rPr>
            </w:pP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Males</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Females</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Males</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Females</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Males</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Females</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Males</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Females</w:t>
            </w:r>
          </w:p>
        </w:tc>
      </w:tr>
      <w:tr w:rsidR="004C3DC1" w:rsidRPr="00424215">
        <w:trPr>
          <w:jc w:val="center"/>
        </w:trPr>
        <w:tc>
          <w:tcPr>
            <w:tcW w:w="9062" w:type="dxa"/>
            <w:gridSpan w:val="9"/>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Total cost, €</w:t>
            </w:r>
          </w:p>
        </w:tc>
      </w:tr>
      <w:tr w:rsidR="004C3DC1" w:rsidRPr="00424215">
        <w:trPr>
          <w:jc w:val="center"/>
        </w:trPr>
        <w:tc>
          <w:tcPr>
            <w:tcW w:w="9062" w:type="dxa"/>
            <w:gridSpan w:val="9"/>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Non-diabetic</w:t>
            </w:r>
          </w:p>
        </w:tc>
      </w:tr>
      <w:tr w:rsidR="004C3DC1" w:rsidRPr="00424215">
        <w:trPr>
          <w:trHeight w:val="284"/>
          <w:jc w:val="center"/>
        </w:trPr>
        <w:tc>
          <w:tcPr>
            <w:tcW w:w="1006"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22 690</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19 755</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24 175</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21 278</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23 841</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20 914</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27 316</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24 847</w:t>
            </w:r>
          </w:p>
        </w:tc>
      </w:tr>
      <w:tr w:rsidR="004C3DC1" w:rsidRPr="00424215">
        <w:trPr>
          <w:jc w:val="center"/>
        </w:trPr>
        <w:tc>
          <w:tcPr>
            <w:tcW w:w="1006"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3-year</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22 253</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19 307</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23 736</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20 811</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23 867</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20 908</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27 512</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25 017</w:t>
            </w:r>
          </w:p>
        </w:tc>
      </w:tr>
      <w:tr w:rsidR="004C3DC1" w:rsidRPr="00424215">
        <w:trPr>
          <w:jc w:val="center"/>
        </w:trPr>
        <w:tc>
          <w:tcPr>
            <w:tcW w:w="9062" w:type="dxa"/>
            <w:gridSpan w:val="9"/>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Diabetic</w:t>
            </w:r>
          </w:p>
        </w:tc>
      </w:tr>
      <w:tr w:rsidR="004C3DC1" w:rsidRPr="00424215">
        <w:trPr>
          <w:jc w:val="center"/>
        </w:trPr>
        <w:tc>
          <w:tcPr>
            <w:tcW w:w="1006"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33 083</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33 300</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34 266</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34 525</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33 996</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34 224</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36 695</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37 291</w:t>
            </w:r>
          </w:p>
        </w:tc>
      </w:tr>
      <w:tr w:rsidR="004C3DC1" w:rsidRPr="00424215">
        <w:trPr>
          <w:jc w:val="center"/>
        </w:trPr>
        <w:tc>
          <w:tcPr>
            <w:tcW w:w="1006"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3-year</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35 228</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36 008</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36 328</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37 150</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36 295</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37 027</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38 761</w:t>
            </w:r>
          </w:p>
        </w:tc>
        <w:tc>
          <w:tcPr>
            <w:tcW w:w="1007" w:type="dxa"/>
            <w:vAlign w:val="bottom"/>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39 842</w:t>
            </w:r>
          </w:p>
        </w:tc>
      </w:tr>
      <w:tr w:rsidR="004C3DC1" w:rsidRPr="00424215">
        <w:trPr>
          <w:trHeight w:val="263"/>
          <w:jc w:val="center"/>
        </w:trPr>
        <w:tc>
          <w:tcPr>
            <w:tcW w:w="9062" w:type="dxa"/>
            <w:gridSpan w:val="9"/>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Life years gained</w:t>
            </w:r>
          </w:p>
        </w:tc>
      </w:tr>
      <w:tr w:rsidR="004C3DC1" w:rsidRPr="00424215">
        <w:trPr>
          <w:jc w:val="center"/>
        </w:trPr>
        <w:tc>
          <w:tcPr>
            <w:tcW w:w="9062" w:type="dxa"/>
            <w:gridSpan w:val="9"/>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Non-diabetic</w:t>
            </w:r>
          </w:p>
        </w:tc>
      </w:tr>
      <w:tr w:rsidR="004C3DC1" w:rsidRPr="00424215">
        <w:trPr>
          <w:jc w:val="center"/>
        </w:trPr>
        <w:tc>
          <w:tcPr>
            <w:tcW w:w="1006"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20.9</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23.1</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20.8</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23.1</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20.8</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23.1</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20.4</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22.9</w:t>
            </w:r>
          </w:p>
        </w:tc>
      </w:tr>
      <w:tr w:rsidR="004C3DC1" w:rsidRPr="00424215">
        <w:trPr>
          <w:jc w:val="center"/>
        </w:trPr>
        <w:tc>
          <w:tcPr>
            <w:tcW w:w="1006"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3-year</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20.8</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23.1</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20.6</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23.0</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20.6</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23.0</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20.2</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22.8</w:t>
            </w:r>
          </w:p>
        </w:tc>
      </w:tr>
      <w:tr w:rsidR="004C3DC1" w:rsidRPr="00424215">
        <w:trPr>
          <w:jc w:val="center"/>
        </w:trPr>
        <w:tc>
          <w:tcPr>
            <w:tcW w:w="9062" w:type="dxa"/>
            <w:gridSpan w:val="9"/>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Diabetic</w:t>
            </w:r>
          </w:p>
        </w:tc>
      </w:tr>
      <w:tr w:rsidR="004C3DC1" w:rsidRPr="00424215">
        <w:trPr>
          <w:jc w:val="center"/>
        </w:trPr>
        <w:tc>
          <w:tcPr>
            <w:tcW w:w="1006"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20.1</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22.9</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19.9</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22.8</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19.9</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22.8</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19.6</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22.7</w:t>
            </w:r>
          </w:p>
        </w:tc>
      </w:tr>
      <w:tr w:rsidR="004C3DC1" w:rsidRPr="00424215">
        <w:trPr>
          <w:jc w:val="center"/>
        </w:trPr>
        <w:tc>
          <w:tcPr>
            <w:tcW w:w="1006"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3-year</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19.5</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22.8</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19.3</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22.8</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19.3</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22.8</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19.0</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22.6</w:t>
            </w:r>
          </w:p>
        </w:tc>
      </w:tr>
      <w:tr w:rsidR="004C3DC1" w:rsidRPr="00424215">
        <w:trPr>
          <w:jc w:val="center"/>
        </w:trPr>
        <w:tc>
          <w:tcPr>
            <w:tcW w:w="9062" w:type="dxa"/>
            <w:gridSpan w:val="9"/>
          </w:tcPr>
          <w:p w:rsidR="004C3DC1" w:rsidRPr="00424215" w:rsidRDefault="004C3DC1" w:rsidP="00D212ED">
            <w:pPr>
              <w:spacing w:after="0" w:line="240" w:lineRule="auto"/>
              <w:jc w:val="center"/>
              <w:rPr>
                <w:rFonts w:ascii="Times New Roman" w:hAnsi="Times New Roman" w:cs="Times New Roman"/>
                <w:sz w:val="20"/>
                <w:szCs w:val="20"/>
                <w:lang w:val="en-US"/>
              </w:rPr>
            </w:pPr>
            <w:r w:rsidRPr="00424215">
              <w:rPr>
                <w:rFonts w:ascii="Times New Roman" w:hAnsi="Times New Roman" w:cs="Times New Roman"/>
                <w:sz w:val="20"/>
                <w:szCs w:val="20"/>
                <w:lang w:val="en-US"/>
              </w:rPr>
              <w:t>Quality-adjusted life years gained</w:t>
            </w:r>
          </w:p>
        </w:tc>
      </w:tr>
      <w:tr w:rsidR="004C3DC1" w:rsidRPr="00424215">
        <w:trPr>
          <w:jc w:val="center"/>
        </w:trPr>
        <w:tc>
          <w:tcPr>
            <w:tcW w:w="9062" w:type="dxa"/>
            <w:gridSpan w:val="9"/>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Non-diabetic</w:t>
            </w:r>
          </w:p>
        </w:tc>
      </w:tr>
      <w:tr w:rsidR="004C3DC1" w:rsidRPr="00424215">
        <w:trPr>
          <w:jc w:val="center"/>
        </w:trPr>
        <w:tc>
          <w:tcPr>
            <w:tcW w:w="1006"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14.0</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15.5</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13.1</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14.6</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13.3</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14.8</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11.5</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13.0</w:t>
            </w:r>
          </w:p>
        </w:tc>
      </w:tr>
      <w:tr w:rsidR="004C3DC1" w:rsidRPr="00424215">
        <w:trPr>
          <w:jc w:val="center"/>
        </w:trPr>
        <w:tc>
          <w:tcPr>
            <w:tcW w:w="1006"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3-year</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13.7</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15.3</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12.8</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14.3</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12.7</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14.3</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10.7</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12.3</w:t>
            </w:r>
          </w:p>
        </w:tc>
      </w:tr>
      <w:tr w:rsidR="004C3DC1" w:rsidRPr="00424215">
        <w:trPr>
          <w:jc w:val="center"/>
        </w:trPr>
        <w:tc>
          <w:tcPr>
            <w:tcW w:w="9062" w:type="dxa"/>
            <w:gridSpan w:val="9"/>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Diabetic</w:t>
            </w:r>
          </w:p>
        </w:tc>
      </w:tr>
      <w:tr w:rsidR="004C3DC1" w:rsidRPr="00424215">
        <w:trPr>
          <w:jc w:val="center"/>
        </w:trPr>
        <w:tc>
          <w:tcPr>
            <w:tcW w:w="1006"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None</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12.9</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14.8</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12.1</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13.9</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12.3</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14.1</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10.7</w:t>
            </w:r>
          </w:p>
        </w:tc>
        <w:tc>
          <w:tcPr>
            <w:tcW w:w="1007" w:type="dxa"/>
          </w:tcPr>
          <w:p w:rsidR="004C3DC1" w:rsidRPr="00424215" w:rsidRDefault="004C3DC1" w:rsidP="00D212ED">
            <w:pPr>
              <w:spacing w:after="0" w:line="240" w:lineRule="auto"/>
              <w:jc w:val="center"/>
              <w:rPr>
                <w:rFonts w:ascii="Times New Roman" w:hAnsi="Times New Roman" w:cs="Times New Roman"/>
                <w:color w:val="000000"/>
                <w:sz w:val="20"/>
                <w:szCs w:val="20"/>
              </w:rPr>
            </w:pPr>
            <w:r w:rsidRPr="00424215">
              <w:rPr>
                <w:rFonts w:ascii="Times New Roman" w:hAnsi="Times New Roman" w:cs="Times New Roman"/>
                <w:color w:val="000000"/>
                <w:sz w:val="20"/>
                <w:szCs w:val="20"/>
              </w:rPr>
              <w:t>12.4</w:t>
            </w:r>
          </w:p>
        </w:tc>
      </w:tr>
      <w:tr w:rsidR="004C3DC1" w:rsidRPr="00424215">
        <w:trPr>
          <w:jc w:val="center"/>
        </w:trPr>
        <w:tc>
          <w:tcPr>
            <w:tcW w:w="1006"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3-year</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12.2</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14.4</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11.4</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13.5</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11.3</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13.5</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9.5</w:t>
            </w:r>
          </w:p>
        </w:tc>
        <w:tc>
          <w:tcPr>
            <w:tcW w:w="1007" w:type="dxa"/>
          </w:tcPr>
          <w:p w:rsidR="004C3DC1" w:rsidRPr="00424215" w:rsidRDefault="004C3DC1" w:rsidP="00D212ED">
            <w:pPr>
              <w:spacing w:after="0" w:line="240" w:lineRule="auto"/>
              <w:jc w:val="center"/>
              <w:rPr>
                <w:rFonts w:ascii="Times New Roman" w:hAnsi="Times New Roman" w:cs="Times New Roman"/>
                <w:sz w:val="20"/>
                <w:szCs w:val="20"/>
              </w:rPr>
            </w:pPr>
            <w:r w:rsidRPr="00424215">
              <w:rPr>
                <w:rFonts w:ascii="Times New Roman" w:hAnsi="Times New Roman" w:cs="Times New Roman"/>
                <w:sz w:val="20"/>
                <w:szCs w:val="20"/>
              </w:rPr>
              <w:t>11.6</w:t>
            </w:r>
          </w:p>
        </w:tc>
      </w:tr>
    </w:tbl>
    <w:p w:rsidR="004C3DC1" w:rsidRPr="00DD61C2" w:rsidRDefault="004C3DC1" w:rsidP="00D212ED">
      <w:pPr>
        <w:rPr>
          <w:rFonts w:ascii="Times New Roman" w:hAnsi="Times New Roman" w:cs="Times New Roman"/>
          <w:lang w:val="en-US"/>
        </w:rPr>
      </w:pPr>
    </w:p>
    <w:p w:rsidR="004C3DC1" w:rsidRPr="002A4881" w:rsidRDefault="004C3DC1" w:rsidP="00D212ED">
      <w:pPr>
        <w:spacing w:after="0" w:line="480" w:lineRule="auto"/>
        <w:jc w:val="both"/>
        <w:rPr>
          <w:rFonts w:ascii="Times New Roman" w:hAnsi="Times New Roman" w:cs="Times New Roman"/>
          <w:bCs/>
          <w:sz w:val="24"/>
          <w:szCs w:val="24"/>
        </w:rPr>
      </w:pPr>
      <w:r>
        <w:rPr>
          <w:rFonts w:ascii="Times New Roman" w:hAnsi="Times New Roman" w:cs="Times New Roman"/>
          <w:sz w:val="20"/>
          <w:szCs w:val="20"/>
          <w:lang w:val="en-US"/>
        </w:rPr>
        <w:br w:type="page"/>
      </w:r>
      <w:r w:rsidRPr="002A4881">
        <w:rPr>
          <w:rFonts w:ascii="Times New Roman" w:hAnsi="Times New Roman" w:cs="Times New Roman"/>
          <w:b/>
          <w:bCs/>
          <w:sz w:val="24"/>
          <w:szCs w:val="24"/>
        </w:rPr>
        <w:lastRenderedPageBreak/>
        <w:t>Section S4</w:t>
      </w:r>
      <w:r>
        <w:rPr>
          <w:rFonts w:ascii="Times New Roman" w:hAnsi="Times New Roman" w:cs="Times New Roman"/>
          <w:sz w:val="20"/>
          <w:szCs w:val="20"/>
          <w:lang w:val="en-US"/>
        </w:rPr>
        <w:t xml:space="preserve"> </w:t>
      </w:r>
      <w:r w:rsidRPr="002A4881">
        <w:rPr>
          <w:rFonts w:ascii="Times New Roman" w:hAnsi="Times New Roman" w:cs="Times New Roman"/>
          <w:sz w:val="24"/>
          <w:szCs w:val="24"/>
          <w:lang w:val="en-US"/>
        </w:rPr>
        <w:t xml:space="preserve">Results of </w:t>
      </w:r>
      <w:r w:rsidRPr="002A4881">
        <w:rPr>
          <w:rFonts w:ascii="Times New Roman" w:hAnsi="Times New Roman" w:cs="Times New Roman"/>
          <w:bCs/>
          <w:sz w:val="24"/>
          <w:szCs w:val="24"/>
        </w:rPr>
        <w:t>Scenario Analysis</w:t>
      </w:r>
    </w:p>
    <w:p w:rsidR="004C3DC1" w:rsidRDefault="004C3DC1" w:rsidP="00D212ED">
      <w:pPr>
        <w:spacing w:after="0" w:line="480" w:lineRule="auto"/>
        <w:jc w:val="both"/>
        <w:rPr>
          <w:rFonts w:ascii="Times New Roman" w:hAnsi="Times New Roman" w:cs="Times New Roman"/>
          <w:sz w:val="24"/>
          <w:szCs w:val="24"/>
        </w:rPr>
      </w:pPr>
      <w:r w:rsidRPr="00CC7B06">
        <w:rPr>
          <w:rFonts w:ascii="Times New Roman" w:hAnsi="Times New Roman" w:cs="Times New Roman"/>
          <w:sz w:val="24"/>
          <w:szCs w:val="24"/>
        </w:rPr>
        <w:t xml:space="preserve">Results of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scenario analyses are </w:t>
      </w:r>
      <w:r>
        <w:rPr>
          <w:rFonts w:ascii="Times New Roman" w:hAnsi="Times New Roman" w:cs="Times New Roman"/>
          <w:sz w:val="24"/>
          <w:szCs w:val="24"/>
        </w:rPr>
        <w:t xml:space="preserve">presented </w:t>
      </w:r>
      <w:r w:rsidRPr="00CC7B06">
        <w:rPr>
          <w:rFonts w:ascii="Times New Roman" w:hAnsi="Times New Roman" w:cs="Times New Roman"/>
          <w:sz w:val="24"/>
          <w:szCs w:val="24"/>
        </w:rPr>
        <w:t>below:</w:t>
      </w:r>
    </w:p>
    <w:p w:rsidR="004C3DC1" w:rsidRPr="00CC7B06" w:rsidRDefault="004C3DC1" w:rsidP="00D212ED">
      <w:pPr>
        <w:pStyle w:val="NoSpacing"/>
        <w:numPr>
          <w:ilvl w:val="0"/>
          <w:numId w:val="7"/>
        </w:numPr>
        <w:spacing w:line="480" w:lineRule="auto"/>
        <w:jc w:val="both"/>
        <w:rPr>
          <w:rFonts w:ascii="Times New Roman" w:hAnsi="Times New Roman" w:cs="Times New Roman"/>
          <w:sz w:val="24"/>
          <w:szCs w:val="24"/>
        </w:rPr>
      </w:pPr>
      <w:r w:rsidRPr="00AF32D6">
        <w:rPr>
          <w:rFonts w:ascii="Times New Roman" w:hAnsi="Times New Roman" w:cs="Times New Roman"/>
          <w:i/>
          <w:iCs/>
          <w:sz w:val="24"/>
          <w:szCs w:val="24"/>
        </w:rPr>
        <w:t xml:space="preserve">assuming </w:t>
      </w:r>
      <w:r>
        <w:rPr>
          <w:rFonts w:ascii="Times New Roman" w:hAnsi="Times New Roman" w:cs="Times New Roman"/>
          <w:i/>
          <w:iCs/>
          <w:sz w:val="24"/>
          <w:szCs w:val="24"/>
        </w:rPr>
        <w:t xml:space="preserve">the improbable </w:t>
      </w:r>
      <w:r w:rsidRPr="00AF32D6">
        <w:rPr>
          <w:rFonts w:ascii="Times New Roman" w:hAnsi="Times New Roman" w:cs="Times New Roman"/>
          <w:i/>
          <w:iCs/>
          <w:sz w:val="24"/>
          <w:szCs w:val="24"/>
        </w:rPr>
        <w:t xml:space="preserve">immediate rebound of </w:t>
      </w:r>
      <w:r>
        <w:rPr>
          <w:rFonts w:ascii="Times New Roman" w:hAnsi="Times New Roman" w:cs="Times New Roman"/>
          <w:i/>
          <w:iCs/>
          <w:sz w:val="24"/>
          <w:szCs w:val="24"/>
        </w:rPr>
        <w:t xml:space="preserve">the </w:t>
      </w:r>
      <w:r w:rsidRPr="00AF32D6">
        <w:rPr>
          <w:rFonts w:ascii="Times New Roman" w:hAnsi="Times New Roman" w:cs="Times New Roman"/>
          <w:i/>
          <w:iCs/>
          <w:sz w:val="24"/>
          <w:szCs w:val="24"/>
        </w:rPr>
        <w:t xml:space="preserve">effect of bariatric surgery 15 years after </w:t>
      </w:r>
      <w:r>
        <w:rPr>
          <w:rFonts w:ascii="Times New Roman" w:hAnsi="Times New Roman" w:cs="Times New Roman"/>
          <w:i/>
          <w:iCs/>
          <w:sz w:val="24"/>
          <w:szCs w:val="24"/>
        </w:rPr>
        <w:t xml:space="preserve">the </w:t>
      </w:r>
      <w:r w:rsidRPr="00AF32D6">
        <w:rPr>
          <w:rFonts w:ascii="Times New Roman" w:hAnsi="Times New Roman" w:cs="Times New Roman"/>
          <w:i/>
          <w:iCs/>
          <w:sz w:val="24"/>
          <w:szCs w:val="24"/>
        </w:rPr>
        <w:t xml:space="preserve">operation with </w:t>
      </w:r>
      <w:r>
        <w:rPr>
          <w:rFonts w:ascii="Times New Roman" w:hAnsi="Times New Roman" w:cs="Times New Roman"/>
          <w:i/>
          <w:iCs/>
          <w:sz w:val="24"/>
          <w:szCs w:val="24"/>
        </w:rPr>
        <w:t xml:space="preserve">a </w:t>
      </w:r>
      <w:r w:rsidRPr="00AF32D6">
        <w:rPr>
          <w:rFonts w:ascii="Times New Roman" w:hAnsi="Times New Roman" w:cs="Times New Roman"/>
          <w:i/>
          <w:iCs/>
          <w:sz w:val="24"/>
          <w:szCs w:val="24"/>
        </w:rPr>
        <w:t xml:space="preserve">BMI level reverting </w:t>
      </w:r>
      <w:r>
        <w:rPr>
          <w:rFonts w:ascii="Times New Roman" w:hAnsi="Times New Roman" w:cs="Times New Roman"/>
          <w:i/>
          <w:iCs/>
          <w:sz w:val="24"/>
          <w:szCs w:val="24"/>
        </w:rPr>
        <w:t>to the</w:t>
      </w:r>
      <w:r w:rsidRPr="00AF32D6">
        <w:rPr>
          <w:rFonts w:ascii="Times New Roman" w:hAnsi="Times New Roman" w:cs="Times New Roman"/>
          <w:i/>
          <w:iCs/>
          <w:sz w:val="24"/>
          <w:szCs w:val="24"/>
        </w:rPr>
        <w:t xml:space="preserve"> level</w:t>
      </w:r>
      <w:r>
        <w:rPr>
          <w:rFonts w:ascii="Times New Roman" w:hAnsi="Times New Roman" w:cs="Times New Roman"/>
          <w:i/>
          <w:iCs/>
          <w:sz w:val="24"/>
          <w:szCs w:val="24"/>
        </w:rPr>
        <w:t xml:space="preserve"> of</w:t>
      </w:r>
      <w:r w:rsidRPr="00AF32D6">
        <w:rPr>
          <w:rFonts w:ascii="Times New Roman" w:hAnsi="Times New Roman" w:cs="Times New Roman"/>
          <w:i/>
          <w:iCs/>
          <w:sz w:val="24"/>
          <w:szCs w:val="24"/>
        </w:rPr>
        <w:t xml:space="preserve"> </w:t>
      </w:r>
      <w:r>
        <w:rPr>
          <w:rFonts w:ascii="Times New Roman" w:hAnsi="Times New Roman" w:cs="Times New Roman"/>
          <w:i/>
          <w:iCs/>
          <w:sz w:val="24"/>
          <w:szCs w:val="24"/>
        </w:rPr>
        <w:t xml:space="preserve">the </w:t>
      </w:r>
      <w:r w:rsidRPr="00AF32D6">
        <w:rPr>
          <w:rFonts w:ascii="Times New Roman" w:hAnsi="Times New Roman" w:cs="Times New Roman"/>
          <w:i/>
          <w:iCs/>
          <w:sz w:val="24"/>
          <w:szCs w:val="24"/>
        </w:rPr>
        <w:t>optimal medical management arm</w:t>
      </w:r>
      <w:r w:rsidRPr="00CC7B06">
        <w:rPr>
          <w:rFonts w:ascii="Times New Roman" w:hAnsi="Times New Roman" w:cs="Times New Roman"/>
          <w:sz w:val="24"/>
          <w:szCs w:val="24"/>
        </w:rPr>
        <w:t>;</w:t>
      </w:r>
    </w:p>
    <w:p w:rsidR="004C3DC1" w:rsidRDefault="004C3DC1" w:rsidP="00D212ED">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The r</w:t>
      </w:r>
      <w:r w:rsidRPr="00CC7B06">
        <w:rPr>
          <w:rFonts w:ascii="Times New Roman" w:hAnsi="Times New Roman" w:cs="Times New Roman"/>
          <w:sz w:val="24"/>
          <w:szCs w:val="24"/>
        </w:rPr>
        <w:t xml:space="preserve">ebound effect </w:t>
      </w:r>
      <w:r>
        <w:rPr>
          <w:rFonts w:ascii="Times New Roman" w:hAnsi="Times New Roman" w:cs="Times New Roman"/>
          <w:sz w:val="24"/>
          <w:szCs w:val="24"/>
        </w:rPr>
        <w:t xml:space="preserve">(assuming that the BMI level will be reverted to the BMI level in optimal medical management arm after 15 years) </w:t>
      </w:r>
      <w:r w:rsidRPr="00CC7B06">
        <w:rPr>
          <w:rFonts w:ascii="Times New Roman" w:hAnsi="Times New Roman" w:cs="Times New Roman"/>
          <w:sz w:val="24"/>
          <w:szCs w:val="24"/>
        </w:rPr>
        <w:t xml:space="preserve">provides </w:t>
      </w:r>
      <w:r>
        <w:rPr>
          <w:rFonts w:ascii="Times New Roman" w:hAnsi="Times New Roman" w:cs="Times New Roman"/>
          <w:sz w:val="24"/>
          <w:szCs w:val="24"/>
        </w:rPr>
        <w:t xml:space="preserve">a </w:t>
      </w:r>
      <w:r w:rsidRPr="00CC7B06">
        <w:rPr>
          <w:rFonts w:ascii="Times New Roman" w:hAnsi="Times New Roman" w:cs="Times New Roman"/>
          <w:sz w:val="24"/>
          <w:szCs w:val="24"/>
        </w:rPr>
        <w:t xml:space="preserve">moderate impact on the level of cost savings (from </w:t>
      </w:r>
      <w:r>
        <w:rPr>
          <w:rFonts w:ascii="Times New Roman" w:hAnsi="Times New Roman" w:cs="Times New Roman"/>
          <w:sz w:val="24"/>
          <w:szCs w:val="24"/>
        </w:rPr>
        <w:t>€3082</w:t>
      </w:r>
      <w:r w:rsidRPr="00CC7B06">
        <w:rPr>
          <w:rFonts w:ascii="Times New Roman" w:hAnsi="Times New Roman" w:cs="Times New Roman"/>
          <w:sz w:val="24"/>
          <w:szCs w:val="24"/>
        </w:rPr>
        <w:t xml:space="preserve"> with no rebound to </w:t>
      </w:r>
      <w:r>
        <w:rPr>
          <w:rFonts w:ascii="Times New Roman" w:hAnsi="Times New Roman" w:cs="Times New Roman"/>
          <w:sz w:val="24"/>
          <w:szCs w:val="24"/>
        </w:rPr>
        <w:t>€1379</w:t>
      </w:r>
      <w:r w:rsidRPr="00CC7B06">
        <w:rPr>
          <w:rFonts w:ascii="Times New Roman" w:hAnsi="Times New Roman" w:cs="Times New Roman"/>
          <w:sz w:val="24"/>
          <w:szCs w:val="24"/>
        </w:rPr>
        <w:t xml:space="preserve"> with </w:t>
      </w:r>
      <w:r>
        <w:rPr>
          <w:rFonts w:ascii="Times New Roman" w:hAnsi="Times New Roman" w:cs="Times New Roman"/>
          <w:sz w:val="24"/>
          <w:szCs w:val="24"/>
        </w:rPr>
        <w:t xml:space="preserve">a </w:t>
      </w:r>
      <w:r w:rsidRPr="00CC7B06">
        <w:rPr>
          <w:rFonts w:ascii="Times New Roman" w:hAnsi="Times New Roman" w:cs="Times New Roman"/>
          <w:sz w:val="24"/>
          <w:szCs w:val="24"/>
        </w:rPr>
        <w:t>rebound effect) and clinical benefits (life years gained from 0.9 to 0.7 and QALYs from 3.5 to 2.4 with no rebound and rebound effect</w:t>
      </w:r>
      <w:r>
        <w:rPr>
          <w:rFonts w:ascii="Times New Roman" w:hAnsi="Times New Roman" w:cs="Times New Roman"/>
          <w:sz w:val="24"/>
          <w:szCs w:val="24"/>
        </w:rPr>
        <w:t>, respectively)</w:t>
      </w:r>
      <w:r w:rsidRPr="00CC7B06">
        <w:rPr>
          <w:rFonts w:ascii="Times New Roman" w:hAnsi="Times New Roman" w:cs="Times New Roman"/>
          <w:sz w:val="24"/>
          <w:szCs w:val="24"/>
        </w:rPr>
        <w:t>.</w:t>
      </w:r>
    </w:p>
    <w:p w:rsidR="004C3DC1" w:rsidRPr="00CC7B06" w:rsidRDefault="004C3DC1" w:rsidP="00D212ED">
      <w:pPr>
        <w:pStyle w:val="NoSpacing"/>
        <w:numPr>
          <w:ilvl w:val="0"/>
          <w:numId w:val="7"/>
        </w:numPr>
        <w:spacing w:line="480" w:lineRule="auto"/>
        <w:jc w:val="both"/>
        <w:rPr>
          <w:rFonts w:ascii="Times New Roman" w:hAnsi="Times New Roman" w:cs="Times New Roman"/>
          <w:sz w:val="24"/>
          <w:szCs w:val="24"/>
        </w:rPr>
      </w:pPr>
      <w:r w:rsidRPr="00CC7B06">
        <w:rPr>
          <w:rFonts w:ascii="Times New Roman" w:hAnsi="Times New Roman" w:cs="Times New Roman"/>
          <w:i/>
          <w:iCs/>
          <w:sz w:val="24"/>
          <w:szCs w:val="24"/>
        </w:rPr>
        <w:t>varying</w:t>
      </w:r>
      <w:r w:rsidRPr="00AF32D6">
        <w:rPr>
          <w:rFonts w:ascii="Times New Roman" w:hAnsi="Times New Roman" w:cs="Times New Roman"/>
          <w:i/>
          <w:iCs/>
          <w:sz w:val="24"/>
          <w:szCs w:val="24"/>
        </w:rPr>
        <w:t xml:space="preserve"> </w:t>
      </w:r>
      <w:r>
        <w:rPr>
          <w:rFonts w:ascii="Times New Roman" w:hAnsi="Times New Roman" w:cs="Times New Roman"/>
          <w:i/>
          <w:iCs/>
          <w:sz w:val="24"/>
          <w:szCs w:val="24"/>
        </w:rPr>
        <w:t xml:space="preserve">the </w:t>
      </w:r>
      <w:r w:rsidRPr="00AF32D6">
        <w:rPr>
          <w:rFonts w:ascii="Times New Roman" w:hAnsi="Times New Roman" w:cs="Times New Roman"/>
          <w:i/>
          <w:iCs/>
          <w:sz w:val="24"/>
          <w:szCs w:val="24"/>
        </w:rPr>
        <w:t xml:space="preserve">one-year impact on </w:t>
      </w:r>
      <w:r>
        <w:rPr>
          <w:rFonts w:ascii="Times New Roman" w:hAnsi="Times New Roman" w:cs="Times New Roman"/>
          <w:i/>
          <w:iCs/>
          <w:sz w:val="24"/>
          <w:szCs w:val="24"/>
        </w:rPr>
        <w:t xml:space="preserve">the </w:t>
      </w:r>
      <w:r w:rsidRPr="00AF32D6">
        <w:rPr>
          <w:rFonts w:ascii="Times New Roman" w:hAnsi="Times New Roman" w:cs="Times New Roman"/>
          <w:i/>
          <w:iCs/>
          <w:sz w:val="24"/>
          <w:szCs w:val="24"/>
        </w:rPr>
        <w:t>BMI level</w:t>
      </w:r>
      <w:r w:rsidRPr="00CC7B06">
        <w:rPr>
          <w:rFonts w:ascii="Times New Roman" w:hAnsi="Times New Roman" w:cs="Times New Roman"/>
          <w:sz w:val="24"/>
          <w:szCs w:val="24"/>
        </w:rPr>
        <w:t>;</w:t>
      </w:r>
    </w:p>
    <w:p w:rsidR="004C3DC1" w:rsidRPr="00CC7B06" w:rsidRDefault="004C3DC1" w:rsidP="00D212ED">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present analysis, the impact of potentially very high (20 </w:t>
      </w:r>
      <w:r w:rsidRPr="00CC7B06">
        <w:rPr>
          <w:rFonts w:ascii="Times New Roman" w:hAnsi="Times New Roman" w:cs="Times New Roman"/>
          <w:sz w:val="24"/>
          <w:szCs w:val="24"/>
        </w:rPr>
        <w:t>kg/m</w:t>
      </w:r>
      <w:r w:rsidRPr="00CC7B06">
        <w:rPr>
          <w:rFonts w:ascii="Times New Roman" w:hAnsi="Times New Roman" w:cs="Times New Roman"/>
          <w:sz w:val="24"/>
          <w:szCs w:val="24"/>
          <w:vertAlign w:val="superscript"/>
        </w:rPr>
        <w:t>2</w:t>
      </w:r>
      <w:r>
        <w:rPr>
          <w:rFonts w:ascii="Times New Roman" w:hAnsi="Times New Roman" w:cs="Times New Roman"/>
          <w:sz w:val="24"/>
          <w:szCs w:val="24"/>
        </w:rPr>
        <w:t xml:space="preserve"> reduction at one year) or unrealistically low (4 </w:t>
      </w:r>
      <w:r w:rsidRPr="00CC7B06">
        <w:rPr>
          <w:rFonts w:ascii="Times New Roman" w:hAnsi="Times New Roman" w:cs="Times New Roman"/>
          <w:sz w:val="24"/>
          <w:szCs w:val="24"/>
        </w:rPr>
        <w:t>kg/m</w:t>
      </w:r>
      <w:r w:rsidRPr="00CC7B06">
        <w:rPr>
          <w:rFonts w:ascii="Times New Roman" w:hAnsi="Times New Roman" w:cs="Times New Roman"/>
          <w:sz w:val="24"/>
          <w:szCs w:val="24"/>
          <w:vertAlign w:val="superscript"/>
        </w:rPr>
        <w:t>2</w:t>
      </w:r>
      <w:r>
        <w:rPr>
          <w:rFonts w:ascii="Times New Roman" w:hAnsi="Times New Roman" w:cs="Times New Roman"/>
          <w:sz w:val="24"/>
          <w:szCs w:val="24"/>
        </w:rPr>
        <w:t xml:space="preserve"> reduction at one year) weight-loss effect on the cost-effectiveness of surgery was tested. The a</w:t>
      </w:r>
      <w:r w:rsidRPr="00CC7B06">
        <w:rPr>
          <w:rFonts w:ascii="Times New Roman" w:hAnsi="Times New Roman" w:cs="Times New Roman"/>
          <w:sz w:val="24"/>
          <w:szCs w:val="24"/>
        </w:rPr>
        <w:t xml:space="preserve">nalysis showed that with unrealistically low effect (reduction of </w:t>
      </w:r>
      <w:r>
        <w:rPr>
          <w:rFonts w:ascii="Times New Roman" w:hAnsi="Times New Roman" w:cs="Times New Roman"/>
          <w:sz w:val="24"/>
          <w:szCs w:val="24"/>
        </w:rPr>
        <w:t>4</w:t>
      </w:r>
      <w:r w:rsidRPr="00CC7B06">
        <w:rPr>
          <w:rFonts w:ascii="Times New Roman" w:hAnsi="Times New Roman" w:cs="Times New Roman"/>
          <w:sz w:val="24"/>
          <w:szCs w:val="24"/>
        </w:rPr>
        <w:t xml:space="preserve"> kg/m</w:t>
      </w:r>
      <w:r w:rsidRPr="00CC7B06">
        <w:rPr>
          <w:rFonts w:ascii="Times New Roman" w:hAnsi="Times New Roman" w:cs="Times New Roman"/>
          <w:sz w:val="24"/>
          <w:szCs w:val="24"/>
          <w:vertAlign w:val="superscript"/>
        </w:rPr>
        <w:t xml:space="preserve">2 </w:t>
      </w:r>
      <w:r w:rsidRPr="00CC7B06">
        <w:rPr>
          <w:rFonts w:ascii="Times New Roman" w:hAnsi="Times New Roman" w:cs="Times New Roman"/>
          <w:sz w:val="24"/>
          <w:szCs w:val="24"/>
        </w:rPr>
        <w:t>one year post-GBP)</w:t>
      </w:r>
      <w:r>
        <w:rPr>
          <w:rFonts w:ascii="Times New Roman" w:hAnsi="Times New Roman" w:cs="Times New Roman"/>
          <w:sz w:val="24"/>
          <w:szCs w:val="24"/>
        </w:rPr>
        <w:t>,</w:t>
      </w:r>
      <w:r w:rsidRPr="00CC7B06">
        <w:rPr>
          <w:rFonts w:ascii="Times New Roman" w:hAnsi="Times New Roman" w:cs="Times New Roman"/>
          <w:sz w:val="24"/>
          <w:szCs w:val="24"/>
        </w:rPr>
        <w:t xml:space="preserve"> surgery produce</w:t>
      </w:r>
      <w:r>
        <w:rPr>
          <w:rFonts w:ascii="Times New Roman" w:hAnsi="Times New Roman" w:cs="Times New Roman"/>
          <w:sz w:val="24"/>
          <w:szCs w:val="24"/>
        </w:rPr>
        <w:t>s</w:t>
      </w:r>
      <w:r w:rsidRPr="00CC7B06">
        <w:rPr>
          <w:rFonts w:ascii="Times New Roman" w:hAnsi="Times New Roman" w:cs="Times New Roman"/>
          <w:sz w:val="24"/>
          <w:szCs w:val="24"/>
        </w:rPr>
        <w:t xml:space="preserve"> lifetime benefits (0.2 life years and QALYs) and remains cost-effective in Swedish settings (ICER of</w:t>
      </w:r>
      <w:r>
        <w:rPr>
          <w:rFonts w:ascii="Times New Roman" w:hAnsi="Times New Roman" w:cs="Times New Roman"/>
          <w:sz w:val="24"/>
          <w:szCs w:val="24"/>
        </w:rPr>
        <w:t xml:space="preserve"> €21,097</w:t>
      </w:r>
      <w:r w:rsidRPr="00CC7B06">
        <w:rPr>
          <w:rFonts w:ascii="Times New Roman" w:hAnsi="Times New Roman" w:cs="Times New Roman"/>
          <w:sz w:val="24"/>
          <w:szCs w:val="24"/>
        </w:rPr>
        <w:t xml:space="preserve">/QALY). Overall, realistic change of </w:t>
      </w:r>
      <w:r>
        <w:rPr>
          <w:rFonts w:ascii="Times New Roman" w:hAnsi="Times New Roman" w:cs="Times New Roman"/>
          <w:sz w:val="24"/>
          <w:szCs w:val="24"/>
        </w:rPr>
        <w:t xml:space="preserve">the effect of </w:t>
      </w:r>
      <w:r w:rsidRPr="00CC7B06">
        <w:rPr>
          <w:rFonts w:ascii="Times New Roman" w:hAnsi="Times New Roman" w:cs="Times New Roman"/>
          <w:sz w:val="24"/>
          <w:szCs w:val="24"/>
        </w:rPr>
        <w:t xml:space="preserve">surgery does not affect its economic/clinical position. </w:t>
      </w:r>
    </w:p>
    <w:p w:rsidR="004C3DC1" w:rsidRPr="00CC7B06" w:rsidRDefault="004C3DC1" w:rsidP="00D212ED">
      <w:pPr>
        <w:pStyle w:val="NoSpacing"/>
        <w:numPr>
          <w:ilvl w:val="0"/>
          <w:numId w:val="7"/>
        </w:numPr>
        <w:spacing w:line="480" w:lineRule="auto"/>
        <w:jc w:val="both"/>
        <w:rPr>
          <w:rFonts w:ascii="Times New Roman" w:hAnsi="Times New Roman" w:cs="Times New Roman"/>
          <w:sz w:val="24"/>
          <w:szCs w:val="24"/>
        </w:rPr>
      </w:pPr>
      <w:r w:rsidRPr="00AF32D6">
        <w:rPr>
          <w:rFonts w:ascii="Times New Roman" w:hAnsi="Times New Roman" w:cs="Times New Roman"/>
          <w:i/>
          <w:iCs/>
          <w:sz w:val="24"/>
          <w:szCs w:val="24"/>
        </w:rPr>
        <w:t>applying different annual discount rates</w:t>
      </w:r>
      <w:r>
        <w:rPr>
          <w:rFonts w:ascii="Times New Roman" w:hAnsi="Times New Roman" w:cs="Times New Roman"/>
          <w:i/>
          <w:iCs/>
          <w:sz w:val="24"/>
          <w:szCs w:val="24"/>
        </w:rPr>
        <w:t xml:space="preserve"> for costs and benefits</w:t>
      </w:r>
      <w:r w:rsidRPr="00CC7B06">
        <w:rPr>
          <w:rFonts w:ascii="Times New Roman" w:hAnsi="Times New Roman" w:cs="Times New Roman"/>
          <w:sz w:val="24"/>
          <w:szCs w:val="24"/>
        </w:rPr>
        <w:t>;</w:t>
      </w:r>
    </w:p>
    <w:p w:rsidR="004C3DC1" w:rsidRPr="00CC7B06" w:rsidRDefault="004C3DC1" w:rsidP="00D212ED">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In the base-case analysis, a 3% discount rate for cost and benefits was applied. It means that with each subsequent year included in the model, the value of cost and QALYs incurred would be depreciated by 3%. With changes of discount rate, r</w:t>
      </w:r>
      <w:r w:rsidRPr="00CC7B06">
        <w:rPr>
          <w:rFonts w:ascii="Times New Roman" w:hAnsi="Times New Roman" w:cs="Times New Roman"/>
          <w:sz w:val="24"/>
          <w:szCs w:val="24"/>
        </w:rPr>
        <w:t xml:space="preserve">esults remained stable. Cost savings and clinical benefits were maximized with </w:t>
      </w:r>
      <w:r>
        <w:rPr>
          <w:rFonts w:ascii="Times New Roman" w:hAnsi="Times New Roman" w:cs="Times New Roman"/>
          <w:sz w:val="24"/>
          <w:szCs w:val="24"/>
        </w:rPr>
        <w:t xml:space="preserve">a </w:t>
      </w:r>
      <w:r w:rsidRPr="00CC7B06">
        <w:rPr>
          <w:rFonts w:ascii="Times New Roman" w:hAnsi="Times New Roman" w:cs="Times New Roman"/>
          <w:sz w:val="24"/>
          <w:szCs w:val="24"/>
        </w:rPr>
        <w:t xml:space="preserve">zero discount rate for both cost and effect. Details are provided in </w:t>
      </w:r>
      <w:r w:rsidRPr="009573BC">
        <w:rPr>
          <w:rFonts w:ascii="Times New Roman" w:hAnsi="Times New Roman" w:cs="Times New Roman"/>
          <w:i/>
          <w:iCs/>
          <w:sz w:val="24"/>
          <w:szCs w:val="24"/>
        </w:rPr>
        <w:t>Table S14</w:t>
      </w:r>
      <w:r w:rsidRPr="00CC7B06">
        <w:rPr>
          <w:rFonts w:ascii="Times New Roman" w:hAnsi="Times New Roman" w:cs="Times New Roman"/>
          <w:sz w:val="24"/>
          <w:szCs w:val="24"/>
        </w:rPr>
        <w:t>.</w:t>
      </w:r>
    </w:p>
    <w:p w:rsidR="004C3DC1" w:rsidRPr="00CC7B06" w:rsidRDefault="004C3DC1" w:rsidP="00D212ED">
      <w:pPr>
        <w:pStyle w:val="NoSpacing"/>
        <w:numPr>
          <w:ilvl w:val="0"/>
          <w:numId w:val="7"/>
        </w:numPr>
        <w:spacing w:line="480" w:lineRule="auto"/>
        <w:jc w:val="both"/>
        <w:rPr>
          <w:rFonts w:ascii="Times New Roman" w:hAnsi="Times New Roman" w:cs="Times New Roman"/>
          <w:sz w:val="24"/>
          <w:szCs w:val="24"/>
        </w:rPr>
      </w:pPr>
      <w:r w:rsidRPr="00AF32D6">
        <w:rPr>
          <w:rFonts w:ascii="Times New Roman" w:hAnsi="Times New Roman" w:cs="Times New Roman"/>
          <w:i/>
          <w:iCs/>
          <w:sz w:val="24"/>
          <w:szCs w:val="24"/>
        </w:rPr>
        <w:t xml:space="preserve">removing from </w:t>
      </w:r>
      <w:r>
        <w:rPr>
          <w:rFonts w:ascii="Times New Roman" w:hAnsi="Times New Roman" w:cs="Times New Roman"/>
          <w:i/>
          <w:iCs/>
          <w:sz w:val="24"/>
          <w:szCs w:val="24"/>
        </w:rPr>
        <w:t xml:space="preserve">the </w:t>
      </w:r>
      <w:r w:rsidRPr="00AF32D6">
        <w:rPr>
          <w:rFonts w:ascii="Times New Roman" w:hAnsi="Times New Roman" w:cs="Times New Roman"/>
          <w:i/>
          <w:iCs/>
          <w:sz w:val="24"/>
          <w:szCs w:val="24"/>
        </w:rPr>
        <w:t xml:space="preserve">analysis of health-related quality of life disutility </w:t>
      </w:r>
      <w:r>
        <w:rPr>
          <w:rFonts w:ascii="Times New Roman" w:hAnsi="Times New Roman" w:cs="Times New Roman"/>
          <w:i/>
          <w:iCs/>
          <w:sz w:val="24"/>
          <w:szCs w:val="24"/>
        </w:rPr>
        <w:t>of</w:t>
      </w:r>
      <w:r w:rsidRPr="00AF32D6">
        <w:rPr>
          <w:rFonts w:ascii="Times New Roman" w:hAnsi="Times New Roman" w:cs="Times New Roman"/>
          <w:i/>
          <w:iCs/>
          <w:sz w:val="24"/>
          <w:szCs w:val="24"/>
        </w:rPr>
        <w:t xml:space="preserve"> </w:t>
      </w:r>
      <w:r>
        <w:rPr>
          <w:rFonts w:ascii="Times New Roman" w:hAnsi="Times New Roman" w:cs="Times New Roman"/>
          <w:i/>
          <w:iCs/>
          <w:sz w:val="24"/>
          <w:szCs w:val="24"/>
        </w:rPr>
        <w:t xml:space="preserve">adverse </w:t>
      </w:r>
      <w:r w:rsidRPr="00AF32D6">
        <w:rPr>
          <w:rFonts w:ascii="Times New Roman" w:hAnsi="Times New Roman" w:cs="Times New Roman"/>
          <w:i/>
          <w:iCs/>
          <w:sz w:val="24"/>
          <w:szCs w:val="24"/>
        </w:rPr>
        <w:t>health events</w:t>
      </w:r>
      <w:r w:rsidRPr="00CC7B06">
        <w:rPr>
          <w:rFonts w:ascii="Times New Roman" w:hAnsi="Times New Roman" w:cs="Times New Roman"/>
          <w:sz w:val="24"/>
          <w:szCs w:val="24"/>
        </w:rPr>
        <w:t>;</w:t>
      </w:r>
    </w:p>
    <w:p w:rsidR="004C3DC1" w:rsidRPr="00CC7B06" w:rsidRDefault="004C3DC1" w:rsidP="00D212ED">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 the base-case analysis, disutility of adverse health events (i.e., stroke) is included. The r</w:t>
      </w:r>
      <w:r w:rsidRPr="00CC7B06">
        <w:rPr>
          <w:rFonts w:ascii="Times New Roman" w:hAnsi="Times New Roman" w:cs="Times New Roman"/>
          <w:sz w:val="24"/>
          <w:szCs w:val="24"/>
        </w:rPr>
        <w:t xml:space="preserve">emoval of disutility had </w:t>
      </w:r>
      <w:r>
        <w:rPr>
          <w:rFonts w:ascii="Times New Roman" w:hAnsi="Times New Roman" w:cs="Times New Roman"/>
          <w:sz w:val="24"/>
          <w:szCs w:val="24"/>
        </w:rPr>
        <w:t xml:space="preserve">a </w:t>
      </w:r>
      <w:r w:rsidRPr="00CC7B06">
        <w:rPr>
          <w:rFonts w:ascii="Times New Roman" w:hAnsi="Times New Roman" w:cs="Times New Roman"/>
          <w:sz w:val="24"/>
          <w:szCs w:val="24"/>
        </w:rPr>
        <w:t xml:space="preserve">limited impact on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level of QALY gained: 3.45 </w:t>
      </w:r>
      <w:r w:rsidRPr="009573BC">
        <w:rPr>
          <w:rFonts w:ascii="Times New Roman" w:hAnsi="Times New Roman" w:cs="Times New Roman"/>
          <w:i/>
          <w:iCs/>
          <w:sz w:val="24"/>
          <w:szCs w:val="24"/>
        </w:rPr>
        <w:t>versus</w:t>
      </w:r>
      <w:r w:rsidRPr="00CC7B06">
        <w:rPr>
          <w:rFonts w:ascii="Times New Roman" w:hAnsi="Times New Roman" w:cs="Times New Roman"/>
          <w:sz w:val="24"/>
          <w:szCs w:val="24"/>
        </w:rPr>
        <w:t xml:space="preserve"> 3.52 with disutility </w:t>
      </w:r>
      <w:r>
        <w:rPr>
          <w:rFonts w:ascii="Times New Roman" w:hAnsi="Times New Roman" w:cs="Times New Roman"/>
          <w:sz w:val="24"/>
          <w:szCs w:val="24"/>
        </w:rPr>
        <w:t xml:space="preserve">excluded and </w:t>
      </w:r>
      <w:r w:rsidRPr="00CC7B06">
        <w:rPr>
          <w:rFonts w:ascii="Times New Roman" w:hAnsi="Times New Roman" w:cs="Times New Roman"/>
          <w:sz w:val="24"/>
          <w:szCs w:val="24"/>
        </w:rPr>
        <w:t>included</w:t>
      </w:r>
      <w:r>
        <w:rPr>
          <w:rFonts w:ascii="Times New Roman" w:hAnsi="Times New Roman" w:cs="Times New Roman"/>
          <w:sz w:val="24"/>
          <w:szCs w:val="24"/>
        </w:rPr>
        <w:t>, respectively</w:t>
      </w:r>
      <w:r w:rsidRPr="00CC7B06">
        <w:rPr>
          <w:rFonts w:ascii="Times New Roman" w:hAnsi="Times New Roman" w:cs="Times New Roman"/>
          <w:sz w:val="24"/>
          <w:szCs w:val="24"/>
        </w:rPr>
        <w:t>.</w:t>
      </w:r>
    </w:p>
    <w:p w:rsidR="004C3DC1" w:rsidRPr="00AF32D6" w:rsidRDefault="004C3DC1" w:rsidP="00D212ED">
      <w:pPr>
        <w:pStyle w:val="ListParagraph"/>
        <w:numPr>
          <w:ilvl w:val="0"/>
          <w:numId w:val="7"/>
        </w:numPr>
        <w:spacing w:line="480" w:lineRule="auto"/>
        <w:jc w:val="both"/>
        <w:rPr>
          <w:i/>
          <w:iCs/>
        </w:rPr>
      </w:pPr>
      <w:r w:rsidRPr="00AF32D6">
        <w:rPr>
          <w:i/>
          <w:iCs/>
        </w:rPr>
        <w:t xml:space="preserve">applying </w:t>
      </w:r>
      <w:r>
        <w:rPr>
          <w:i/>
          <w:iCs/>
        </w:rPr>
        <w:t xml:space="preserve">a </w:t>
      </w:r>
      <w:r w:rsidRPr="00AF32D6">
        <w:rPr>
          <w:i/>
          <w:iCs/>
        </w:rPr>
        <w:t>50% reduction of health-related quality of life for the month of surgery</w:t>
      </w:r>
      <w:r w:rsidRPr="00CC7B06">
        <w:rPr>
          <w:i/>
          <w:iCs/>
        </w:rPr>
        <w:t>;</w:t>
      </w:r>
      <w:r w:rsidRPr="00AF32D6">
        <w:rPr>
          <w:i/>
          <w:iCs/>
        </w:rPr>
        <w:t xml:space="preserve"> </w:t>
      </w:r>
    </w:p>
    <w:p w:rsidR="004C3DC1" w:rsidRPr="00AF32D6" w:rsidRDefault="004C3DC1" w:rsidP="00D212ED">
      <w:pPr>
        <w:pStyle w:val="NoSpacing"/>
        <w:spacing w:line="480" w:lineRule="auto"/>
        <w:jc w:val="both"/>
        <w:rPr>
          <w:rFonts w:ascii="Times New Roman" w:hAnsi="Times New Roman" w:cs="Times New Roman"/>
          <w:i/>
          <w:iCs/>
          <w:sz w:val="24"/>
          <w:szCs w:val="24"/>
        </w:rPr>
      </w:pPr>
      <w:r w:rsidRPr="00AF32D6">
        <w:rPr>
          <w:rFonts w:ascii="Times New Roman" w:hAnsi="Times New Roman" w:cs="Times New Roman"/>
          <w:sz w:val="24"/>
          <w:szCs w:val="24"/>
        </w:rPr>
        <w:t xml:space="preserve">Acknowledging </w:t>
      </w:r>
      <w:r>
        <w:rPr>
          <w:rFonts w:ascii="Times New Roman" w:hAnsi="Times New Roman" w:cs="Times New Roman"/>
          <w:sz w:val="24"/>
          <w:szCs w:val="24"/>
        </w:rPr>
        <w:t xml:space="preserve">the </w:t>
      </w:r>
      <w:r w:rsidRPr="00AF32D6">
        <w:rPr>
          <w:rFonts w:ascii="Times New Roman" w:hAnsi="Times New Roman" w:cs="Times New Roman"/>
          <w:sz w:val="24"/>
          <w:szCs w:val="24"/>
        </w:rPr>
        <w:t xml:space="preserve">impact of primary surgery on health-related quality of life led only to </w:t>
      </w:r>
      <w:r>
        <w:rPr>
          <w:rFonts w:ascii="Times New Roman" w:hAnsi="Times New Roman" w:cs="Times New Roman"/>
          <w:sz w:val="24"/>
          <w:szCs w:val="24"/>
        </w:rPr>
        <w:t xml:space="preserve">a </w:t>
      </w:r>
      <w:r w:rsidRPr="00AF32D6">
        <w:rPr>
          <w:rFonts w:ascii="Times New Roman" w:hAnsi="Times New Roman" w:cs="Times New Roman"/>
          <w:sz w:val="24"/>
          <w:szCs w:val="24"/>
        </w:rPr>
        <w:t xml:space="preserve">0.02 QALY loss </w:t>
      </w:r>
      <w:r>
        <w:rPr>
          <w:rFonts w:ascii="Times New Roman" w:hAnsi="Times New Roman" w:cs="Times New Roman"/>
          <w:sz w:val="24"/>
          <w:szCs w:val="24"/>
        </w:rPr>
        <w:t xml:space="preserve">of the </w:t>
      </w:r>
      <w:r w:rsidRPr="00AF32D6">
        <w:rPr>
          <w:rFonts w:ascii="Times New Roman" w:hAnsi="Times New Roman" w:cs="Times New Roman"/>
          <w:sz w:val="24"/>
          <w:szCs w:val="24"/>
        </w:rPr>
        <w:t xml:space="preserve">overall QALY gained in </w:t>
      </w:r>
      <w:r>
        <w:rPr>
          <w:rFonts w:ascii="Times New Roman" w:hAnsi="Times New Roman" w:cs="Times New Roman"/>
          <w:sz w:val="24"/>
          <w:szCs w:val="24"/>
        </w:rPr>
        <w:t xml:space="preserve">the </w:t>
      </w:r>
      <w:r w:rsidRPr="00AF32D6">
        <w:rPr>
          <w:rFonts w:ascii="Times New Roman" w:hAnsi="Times New Roman" w:cs="Times New Roman"/>
          <w:sz w:val="24"/>
          <w:szCs w:val="24"/>
        </w:rPr>
        <w:t>surgery arm</w:t>
      </w:r>
      <w:r>
        <w:rPr>
          <w:rFonts w:ascii="Times New Roman" w:hAnsi="Times New Roman" w:cs="Times New Roman"/>
          <w:sz w:val="24"/>
          <w:szCs w:val="24"/>
        </w:rPr>
        <w:t xml:space="preserve"> and</w:t>
      </w:r>
      <w:r w:rsidRPr="00AF32D6">
        <w:rPr>
          <w:rFonts w:ascii="Times New Roman" w:hAnsi="Times New Roman" w:cs="Times New Roman"/>
          <w:sz w:val="24"/>
          <w:szCs w:val="24"/>
        </w:rPr>
        <w:t xml:space="preserve">, </w:t>
      </w:r>
      <w:r>
        <w:rPr>
          <w:rFonts w:ascii="Times New Roman" w:hAnsi="Times New Roman" w:cs="Times New Roman"/>
          <w:sz w:val="24"/>
          <w:szCs w:val="24"/>
        </w:rPr>
        <w:t xml:space="preserve">therefore, it does </w:t>
      </w:r>
      <w:r w:rsidRPr="00AF32D6">
        <w:rPr>
          <w:rFonts w:ascii="Times New Roman" w:hAnsi="Times New Roman" w:cs="Times New Roman"/>
          <w:sz w:val="24"/>
          <w:szCs w:val="24"/>
        </w:rPr>
        <w:t xml:space="preserve">not </w:t>
      </w:r>
      <w:r w:rsidRPr="00FA2DD5">
        <w:rPr>
          <w:rFonts w:ascii="Times New Roman" w:hAnsi="Times New Roman" w:cs="Times New Roman"/>
          <w:sz w:val="24"/>
          <w:szCs w:val="24"/>
        </w:rPr>
        <w:t>influenc</w:t>
      </w:r>
      <w:r>
        <w:rPr>
          <w:rFonts w:ascii="Times New Roman" w:hAnsi="Times New Roman" w:cs="Times New Roman"/>
          <w:sz w:val="24"/>
          <w:szCs w:val="24"/>
        </w:rPr>
        <w:t>e the</w:t>
      </w:r>
      <w:r w:rsidRPr="00AF32D6">
        <w:rPr>
          <w:rFonts w:ascii="Times New Roman" w:hAnsi="Times New Roman" w:cs="Times New Roman"/>
          <w:sz w:val="24"/>
          <w:szCs w:val="24"/>
        </w:rPr>
        <w:t xml:space="preserve"> results significantly.</w:t>
      </w:r>
    </w:p>
    <w:p w:rsidR="004C3DC1" w:rsidRPr="00AF32D6" w:rsidRDefault="004C3DC1" w:rsidP="00D212ED">
      <w:pPr>
        <w:pStyle w:val="NoSpacing"/>
        <w:numPr>
          <w:ilvl w:val="0"/>
          <w:numId w:val="7"/>
        </w:numPr>
        <w:spacing w:line="480" w:lineRule="auto"/>
        <w:jc w:val="both"/>
        <w:rPr>
          <w:rFonts w:ascii="Times New Roman" w:hAnsi="Times New Roman" w:cs="Times New Roman"/>
          <w:i/>
          <w:iCs/>
          <w:sz w:val="24"/>
          <w:szCs w:val="24"/>
        </w:rPr>
      </w:pPr>
      <w:r w:rsidRPr="00AF32D6">
        <w:rPr>
          <w:rFonts w:ascii="Times New Roman" w:hAnsi="Times New Roman" w:cs="Times New Roman"/>
          <w:i/>
          <w:iCs/>
          <w:sz w:val="24"/>
          <w:szCs w:val="24"/>
        </w:rPr>
        <w:t xml:space="preserve">changing </w:t>
      </w:r>
      <w:r>
        <w:rPr>
          <w:rFonts w:ascii="Times New Roman" w:hAnsi="Times New Roman" w:cs="Times New Roman"/>
          <w:i/>
          <w:iCs/>
          <w:sz w:val="24"/>
          <w:szCs w:val="24"/>
        </w:rPr>
        <w:t xml:space="preserve">the </w:t>
      </w:r>
      <w:r w:rsidRPr="00AF32D6">
        <w:rPr>
          <w:rFonts w:ascii="Times New Roman" w:hAnsi="Times New Roman" w:cs="Times New Roman"/>
          <w:i/>
          <w:iCs/>
          <w:sz w:val="24"/>
          <w:szCs w:val="24"/>
        </w:rPr>
        <w:t>distribution of surgeries;</w:t>
      </w:r>
    </w:p>
    <w:p w:rsidR="004C3DC1" w:rsidRPr="00CC7B06" w:rsidRDefault="004C3DC1" w:rsidP="00D212ED">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The r</w:t>
      </w:r>
      <w:r w:rsidRPr="00CC7B06">
        <w:rPr>
          <w:rFonts w:ascii="Times New Roman" w:hAnsi="Times New Roman" w:cs="Times New Roman"/>
          <w:sz w:val="24"/>
          <w:szCs w:val="24"/>
        </w:rPr>
        <w:t xml:space="preserve">eduction of share of GBP (from current 98%) </w:t>
      </w:r>
      <w:r>
        <w:rPr>
          <w:rFonts w:ascii="Times New Roman" w:hAnsi="Times New Roman" w:cs="Times New Roman"/>
          <w:sz w:val="24"/>
          <w:szCs w:val="24"/>
        </w:rPr>
        <w:t xml:space="preserve">with corresponding proportional increase of SG and GP </w:t>
      </w:r>
      <w:r w:rsidRPr="00CC7B06">
        <w:rPr>
          <w:rFonts w:ascii="Times New Roman" w:hAnsi="Times New Roman" w:cs="Times New Roman"/>
          <w:sz w:val="24"/>
          <w:szCs w:val="24"/>
        </w:rPr>
        <w:t>result</w:t>
      </w:r>
      <w:r>
        <w:rPr>
          <w:rFonts w:ascii="Times New Roman" w:hAnsi="Times New Roman" w:cs="Times New Roman"/>
          <w:sz w:val="24"/>
          <w:szCs w:val="24"/>
        </w:rPr>
        <w:t>ed</w:t>
      </w:r>
      <w:r w:rsidRPr="00CC7B06">
        <w:rPr>
          <w:rFonts w:ascii="Times New Roman" w:hAnsi="Times New Roman" w:cs="Times New Roman"/>
          <w:sz w:val="24"/>
          <w:szCs w:val="24"/>
        </w:rPr>
        <w:t xml:space="preserve"> in decrease</w:t>
      </w:r>
      <w:r>
        <w:rPr>
          <w:rFonts w:ascii="Times New Roman" w:hAnsi="Times New Roman" w:cs="Times New Roman"/>
          <w:sz w:val="24"/>
          <w:szCs w:val="24"/>
        </w:rPr>
        <w:t>s</w:t>
      </w:r>
      <w:r w:rsidRPr="00CC7B06">
        <w:rPr>
          <w:rFonts w:ascii="Times New Roman" w:hAnsi="Times New Roman" w:cs="Times New Roman"/>
          <w:sz w:val="24"/>
          <w:szCs w:val="24"/>
        </w:rPr>
        <w:t xml:space="preserve"> of cost savings (98% - minus </w:t>
      </w:r>
      <w:r>
        <w:rPr>
          <w:rFonts w:ascii="Times New Roman" w:hAnsi="Times New Roman" w:cs="Times New Roman"/>
          <w:sz w:val="24"/>
          <w:szCs w:val="24"/>
        </w:rPr>
        <w:t>€3082;</w:t>
      </w:r>
      <w:r w:rsidRPr="00CC7B06">
        <w:rPr>
          <w:rFonts w:ascii="Times New Roman" w:hAnsi="Times New Roman" w:cs="Times New Roman"/>
          <w:sz w:val="24"/>
          <w:szCs w:val="24"/>
        </w:rPr>
        <w:t xml:space="preserve"> 80% - minus </w:t>
      </w:r>
      <w:r>
        <w:rPr>
          <w:rFonts w:ascii="Times New Roman" w:hAnsi="Times New Roman" w:cs="Times New Roman"/>
          <w:sz w:val="24"/>
          <w:szCs w:val="24"/>
        </w:rPr>
        <w:t>€2520;</w:t>
      </w:r>
      <w:r w:rsidRPr="00CC7B06">
        <w:rPr>
          <w:rFonts w:ascii="Times New Roman" w:hAnsi="Times New Roman" w:cs="Times New Roman"/>
          <w:sz w:val="24"/>
          <w:szCs w:val="24"/>
        </w:rPr>
        <w:t xml:space="preserve"> 70% - minus </w:t>
      </w:r>
      <w:r>
        <w:rPr>
          <w:rFonts w:ascii="Times New Roman" w:hAnsi="Times New Roman" w:cs="Times New Roman"/>
          <w:sz w:val="24"/>
          <w:szCs w:val="24"/>
        </w:rPr>
        <w:t>€2223;</w:t>
      </w:r>
      <w:r w:rsidRPr="00CC7B06">
        <w:rPr>
          <w:rFonts w:ascii="Times New Roman" w:hAnsi="Times New Roman" w:cs="Times New Roman"/>
          <w:sz w:val="24"/>
          <w:szCs w:val="24"/>
        </w:rPr>
        <w:t xml:space="preserve"> 60% - minus </w:t>
      </w:r>
      <w:r>
        <w:rPr>
          <w:rFonts w:ascii="Times New Roman" w:hAnsi="Times New Roman" w:cs="Times New Roman"/>
          <w:sz w:val="24"/>
          <w:szCs w:val="24"/>
        </w:rPr>
        <w:t>€1925</w:t>
      </w:r>
      <w:r w:rsidRPr="00CC7B06">
        <w:rPr>
          <w:rFonts w:ascii="Times New Roman" w:hAnsi="Times New Roman" w:cs="Times New Roman"/>
          <w:sz w:val="24"/>
          <w:szCs w:val="24"/>
        </w:rPr>
        <w:t>) and clinical benefits (98% - 3.5 QALYs</w:t>
      </w:r>
      <w:r>
        <w:rPr>
          <w:rFonts w:ascii="Times New Roman" w:hAnsi="Times New Roman" w:cs="Times New Roman"/>
          <w:sz w:val="24"/>
          <w:szCs w:val="24"/>
        </w:rPr>
        <w:t>;</w:t>
      </w:r>
      <w:r w:rsidRPr="00CC7B06">
        <w:rPr>
          <w:rFonts w:ascii="Times New Roman" w:hAnsi="Times New Roman" w:cs="Times New Roman"/>
          <w:sz w:val="24"/>
          <w:szCs w:val="24"/>
        </w:rPr>
        <w:t xml:space="preserve"> 80% - 3.2 QALYs</w:t>
      </w:r>
      <w:r>
        <w:rPr>
          <w:rFonts w:ascii="Times New Roman" w:hAnsi="Times New Roman" w:cs="Times New Roman"/>
          <w:sz w:val="24"/>
          <w:szCs w:val="24"/>
        </w:rPr>
        <w:t>;</w:t>
      </w:r>
      <w:r w:rsidRPr="00CC7B06">
        <w:rPr>
          <w:rFonts w:ascii="Times New Roman" w:hAnsi="Times New Roman" w:cs="Times New Roman"/>
          <w:sz w:val="24"/>
          <w:szCs w:val="24"/>
        </w:rPr>
        <w:t xml:space="preserve"> 70% - 3.1 QALYs</w:t>
      </w:r>
      <w:r>
        <w:rPr>
          <w:rFonts w:ascii="Times New Roman" w:hAnsi="Times New Roman" w:cs="Times New Roman"/>
          <w:sz w:val="24"/>
          <w:szCs w:val="24"/>
        </w:rPr>
        <w:t>; 60% - 2.9 QALYs).</w:t>
      </w:r>
    </w:p>
    <w:p w:rsidR="004C3DC1" w:rsidRPr="00CC7B06" w:rsidRDefault="004C3DC1" w:rsidP="00D212ED">
      <w:pPr>
        <w:pStyle w:val="NoSpacing"/>
        <w:numPr>
          <w:ilvl w:val="0"/>
          <w:numId w:val="7"/>
        </w:numPr>
        <w:spacing w:line="480" w:lineRule="auto"/>
        <w:jc w:val="both"/>
        <w:rPr>
          <w:rFonts w:ascii="Times New Roman" w:hAnsi="Times New Roman" w:cs="Times New Roman"/>
          <w:sz w:val="24"/>
          <w:szCs w:val="24"/>
        </w:rPr>
      </w:pPr>
      <w:r>
        <w:rPr>
          <w:rFonts w:ascii="Times New Roman" w:hAnsi="Times New Roman" w:cs="Times New Roman"/>
          <w:i/>
          <w:iCs/>
          <w:sz w:val="24"/>
          <w:szCs w:val="24"/>
        </w:rPr>
        <w:t>c</w:t>
      </w:r>
      <w:r w:rsidRPr="00AF32D6">
        <w:rPr>
          <w:rFonts w:ascii="Times New Roman" w:hAnsi="Times New Roman" w:cs="Times New Roman"/>
          <w:i/>
          <w:iCs/>
          <w:sz w:val="24"/>
          <w:szCs w:val="24"/>
        </w:rPr>
        <w:t>hanging</w:t>
      </w:r>
      <w:r>
        <w:rPr>
          <w:rFonts w:ascii="Times New Roman" w:hAnsi="Times New Roman" w:cs="Times New Roman"/>
          <w:i/>
          <w:iCs/>
          <w:sz w:val="24"/>
          <w:szCs w:val="24"/>
        </w:rPr>
        <w:t xml:space="preserve"> the</w:t>
      </w:r>
      <w:r w:rsidRPr="00AF32D6">
        <w:rPr>
          <w:rFonts w:ascii="Times New Roman" w:hAnsi="Times New Roman" w:cs="Times New Roman"/>
          <w:i/>
          <w:iCs/>
          <w:sz w:val="24"/>
          <w:szCs w:val="24"/>
        </w:rPr>
        <w:t xml:space="preserve"> proportion of high-volume centres</w:t>
      </w:r>
      <w:r w:rsidRPr="00CC7B06">
        <w:rPr>
          <w:rFonts w:ascii="Times New Roman" w:hAnsi="Times New Roman" w:cs="Times New Roman"/>
          <w:sz w:val="24"/>
          <w:szCs w:val="24"/>
        </w:rPr>
        <w:t>;</w:t>
      </w:r>
    </w:p>
    <w:p w:rsidR="004C3DC1" w:rsidRPr="00CC7B06" w:rsidRDefault="004C3DC1" w:rsidP="00D212ED">
      <w:pPr>
        <w:pStyle w:val="NoSpacing"/>
        <w:spacing w:line="480" w:lineRule="auto"/>
        <w:jc w:val="both"/>
        <w:rPr>
          <w:rFonts w:ascii="Times New Roman" w:hAnsi="Times New Roman" w:cs="Times New Roman"/>
          <w:sz w:val="24"/>
          <w:szCs w:val="24"/>
        </w:rPr>
      </w:pPr>
      <w:r w:rsidRPr="00CC7B06">
        <w:rPr>
          <w:rFonts w:ascii="Times New Roman" w:hAnsi="Times New Roman" w:cs="Times New Roman"/>
          <w:sz w:val="24"/>
          <w:szCs w:val="24"/>
        </w:rPr>
        <w:t xml:space="preserve">Changing </w:t>
      </w:r>
      <w:r>
        <w:rPr>
          <w:rFonts w:ascii="Times New Roman" w:hAnsi="Times New Roman" w:cs="Times New Roman"/>
          <w:sz w:val="24"/>
          <w:szCs w:val="24"/>
        </w:rPr>
        <w:t>the</w:t>
      </w:r>
      <w:r w:rsidRPr="00CC7B06">
        <w:rPr>
          <w:rFonts w:ascii="Times New Roman" w:hAnsi="Times New Roman" w:cs="Times New Roman"/>
          <w:sz w:val="24"/>
          <w:szCs w:val="24"/>
        </w:rPr>
        <w:t xml:space="preserve"> proportion of high-volume centres had </w:t>
      </w:r>
      <w:r>
        <w:rPr>
          <w:rFonts w:ascii="Times New Roman" w:hAnsi="Times New Roman" w:cs="Times New Roman"/>
          <w:sz w:val="24"/>
          <w:szCs w:val="24"/>
        </w:rPr>
        <w:t xml:space="preserve">a </w:t>
      </w:r>
      <w:r w:rsidRPr="00CC7B06">
        <w:rPr>
          <w:rFonts w:ascii="Times New Roman" w:hAnsi="Times New Roman" w:cs="Times New Roman"/>
          <w:sz w:val="24"/>
          <w:szCs w:val="24"/>
        </w:rPr>
        <w:t xml:space="preserve">limited impact on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overall cost of surgery as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cost of primary surgery </w:t>
      </w:r>
      <w:r>
        <w:rPr>
          <w:rFonts w:ascii="Times New Roman" w:hAnsi="Times New Roman" w:cs="Times New Roman"/>
          <w:sz w:val="24"/>
          <w:szCs w:val="24"/>
        </w:rPr>
        <w:t xml:space="preserve">only </w:t>
      </w:r>
      <w:r w:rsidRPr="00CC7B06">
        <w:rPr>
          <w:rFonts w:ascii="Times New Roman" w:hAnsi="Times New Roman" w:cs="Times New Roman"/>
          <w:sz w:val="24"/>
          <w:szCs w:val="24"/>
        </w:rPr>
        <w:t xml:space="preserve">contributes 22% </w:t>
      </w:r>
      <w:r>
        <w:rPr>
          <w:rFonts w:ascii="Times New Roman" w:hAnsi="Times New Roman" w:cs="Times New Roman"/>
          <w:sz w:val="24"/>
          <w:szCs w:val="24"/>
        </w:rPr>
        <w:t>to the</w:t>
      </w:r>
      <w:r w:rsidRPr="00CC7B06">
        <w:rPr>
          <w:rFonts w:ascii="Times New Roman" w:hAnsi="Times New Roman" w:cs="Times New Roman"/>
          <w:sz w:val="24"/>
          <w:szCs w:val="24"/>
        </w:rPr>
        <w:t xml:space="preserve"> overall lifetime cost in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surgical arm. Details are provided in </w:t>
      </w:r>
      <w:r w:rsidRPr="00AE3BA4">
        <w:rPr>
          <w:rFonts w:ascii="Times New Roman" w:hAnsi="Times New Roman" w:cs="Times New Roman"/>
          <w:i/>
          <w:iCs/>
          <w:sz w:val="24"/>
          <w:szCs w:val="24"/>
        </w:rPr>
        <w:t>Fig. S</w:t>
      </w:r>
      <w:r>
        <w:rPr>
          <w:rFonts w:ascii="Times New Roman" w:hAnsi="Times New Roman" w:cs="Times New Roman"/>
          <w:i/>
          <w:iCs/>
          <w:sz w:val="24"/>
          <w:szCs w:val="24"/>
        </w:rPr>
        <w:t>7</w:t>
      </w:r>
      <w:r w:rsidRPr="00AE3BA4">
        <w:rPr>
          <w:rFonts w:ascii="Times New Roman" w:hAnsi="Times New Roman" w:cs="Times New Roman"/>
          <w:i/>
          <w:iCs/>
          <w:sz w:val="24"/>
          <w:szCs w:val="24"/>
        </w:rPr>
        <w:t>-</w:t>
      </w:r>
      <w:r>
        <w:rPr>
          <w:rFonts w:ascii="Times New Roman" w:hAnsi="Times New Roman" w:cs="Times New Roman"/>
          <w:i/>
          <w:iCs/>
          <w:sz w:val="24"/>
          <w:szCs w:val="24"/>
        </w:rPr>
        <w:t>8.</w:t>
      </w:r>
    </w:p>
    <w:p w:rsidR="004C3DC1" w:rsidRPr="00CC7B06" w:rsidRDefault="004C3DC1" w:rsidP="00D212ED">
      <w:pPr>
        <w:pStyle w:val="NoSpacing"/>
        <w:numPr>
          <w:ilvl w:val="0"/>
          <w:numId w:val="7"/>
        </w:numPr>
        <w:spacing w:line="480" w:lineRule="auto"/>
        <w:jc w:val="both"/>
        <w:rPr>
          <w:rFonts w:ascii="Times New Roman" w:hAnsi="Times New Roman" w:cs="Times New Roman"/>
          <w:sz w:val="24"/>
          <w:szCs w:val="24"/>
        </w:rPr>
      </w:pPr>
      <w:r w:rsidRPr="00AF32D6">
        <w:rPr>
          <w:rFonts w:ascii="Times New Roman" w:hAnsi="Times New Roman" w:cs="Times New Roman"/>
          <w:i/>
          <w:iCs/>
          <w:sz w:val="24"/>
          <w:szCs w:val="24"/>
        </w:rPr>
        <w:t xml:space="preserve">performing </w:t>
      </w:r>
      <w:r>
        <w:rPr>
          <w:rFonts w:ascii="Times New Roman" w:hAnsi="Times New Roman" w:cs="Times New Roman"/>
          <w:i/>
          <w:iCs/>
          <w:sz w:val="24"/>
          <w:szCs w:val="24"/>
        </w:rPr>
        <w:t xml:space="preserve">the </w:t>
      </w:r>
      <w:r w:rsidRPr="00AF32D6">
        <w:rPr>
          <w:rFonts w:ascii="Times New Roman" w:hAnsi="Times New Roman" w:cs="Times New Roman"/>
          <w:i/>
          <w:iCs/>
          <w:sz w:val="24"/>
          <w:szCs w:val="24"/>
        </w:rPr>
        <w:t>analysis</w:t>
      </w:r>
      <w:r>
        <w:rPr>
          <w:rFonts w:ascii="Times New Roman" w:hAnsi="Times New Roman" w:cs="Times New Roman"/>
          <w:i/>
          <w:iCs/>
          <w:sz w:val="24"/>
          <w:szCs w:val="24"/>
        </w:rPr>
        <w:t xml:space="preserve"> with indirect costs included</w:t>
      </w:r>
      <w:r w:rsidRPr="00CC7B06">
        <w:rPr>
          <w:rFonts w:ascii="Times New Roman" w:hAnsi="Times New Roman" w:cs="Times New Roman"/>
          <w:sz w:val="24"/>
          <w:szCs w:val="24"/>
        </w:rPr>
        <w:t>;</w:t>
      </w:r>
    </w:p>
    <w:p w:rsidR="004C3DC1" w:rsidRPr="00CC7B06" w:rsidRDefault="004C3DC1" w:rsidP="00D212ED">
      <w:pPr>
        <w:pStyle w:val="NoSpacing"/>
        <w:spacing w:line="480" w:lineRule="auto"/>
        <w:jc w:val="both"/>
        <w:rPr>
          <w:rFonts w:ascii="Times New Roman" w:hAnsi="Times New Roman" w:cs="Times New Roman"/>
          <w:sz w:val="24"/>
          <w:szCs w:val="24"/>
        </w:rPr>
      </w:pPr>
      <w:r w:rsidRPr="00CC7B06">
        <w:rPr>
          <w:rFonts w:ascii="Times New Roman" w:hAnsi="Times New Roman" w:cs="Times New Roman"/>
          <w:sz w:val="24"/>
          <w:szCs w:val="24"/>
        </w:rPr>
        <w:t xml:space="preserve">When indirect costs </w:t>
      </w:r>
      <w:r>
        <w:rPr>
          <w:rFonts w:ascii="Times New Roman" w:hAnsi="Times New Roman" w:cs="Times New Roman"/>
          <w:sz w:val="24"/>
          <w:szCs w:val="24"/>
        </w:rPr>
        <w:t xml:space="preserve">(absenteeism from work due to sickness and early retirement) </w:t>
      </w:r>
      <w:r w:rsidRPr="00CC7B06">
        <w:rPr>
          <w:rFonts w:ascii="Times New Roman" w:hAnsi="Times New Roman" w:cs="Times New Roman"/>
          <w:sz w:val="24"/>
          <w:szCs w:val="24"/>
        </w:rPr>
        <w:t xml:space="preserve">were included in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analysis,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total cost in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surgical arm was </w:t>
      </w:r>
      <w:r>
        <w:rPr>
          <w:rFonts w:ascii="Times New Roman" w:hAnsi="Times New Roman" w:cs="Times New Roman"/>
          <w:sz w:val="24"/>
          <w:szCs w:val="24"/>
        </w:rPr>
        <w:t>€38,822</w:t>
      </w:r>
      <w:r w:rsidRPr="00CC7B06">
        <w:rPr>
          <w:rFonts w:ascii="Times New Roman" w:hAnsi="Times New Roman" w:cs="Times New Roman"/>
          <w:sz w:val="24"/>
          <w:szCs w:val="24"/>
        </w:rPr>
        <w:t xml:space="preserve"> </w:t>
      </w:r>
      <w:r w:rsidRPr="00590831">
        <w:rPr>
          <w:rFonts w:ascii="Times New Roman" w:hAnsi="Times New Roman" w:cs="Times New Roman"/>
          <w:i/>
          <w:iCs/>
          <w:sz w:val="24"/>
          <w:szCs w:val="24"/>
        </w:rPr>
        <w:t>versus</w:t>
      </w:r>
      <w:r w:rsidRPr="00CC7B06">
        <w:rPr>
          <w:rFonts w:ascii="Times New Roman" w:hAnsi="Times New Roman" w:cs="Times New Roman"/>
          <w:sz w:val="24"/>
          <w:szCs w:val="24"/>
        </w:rPr>
        <w:t xml:space="preserve"> </w:t>
      </w:r>
      <w:r>
        <w:rPr>
          <w:rFonts w:ascii="Times New Roman" w:hAnsi="Times New Roman" w:cs="Times New Roman"/>
          <w:sz w:val="24"/>
          <w:szCs w:val="24"/>
        </w:rPr>
        <w:t>€54,789</w:t>
      </w:r>
      <w:r w:rsidRPr="00CC7B06">
        <w:rPr>
          <w:rFonts w:ascii="Times New Roman" w:hAnsi="Times New Roman" w:cs="Times New Roman"/>
          <w:sz w:val="24"/>
          <w:szCs w:val="24"/>
        </w:rPr>
        <w:t xml:space="preserve"> in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optimal medical management arm. Overall,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cost savings </w:t>
      </w:r>
      <w:r>
        <w:rPr>
          <w:rFonts w:ascii="Times New Roman" w:hAnsi="Times New Roman" w:cs="Times New Roman"/>
          <w:sz w:val="24"/>
          <w:szCs w:val="24"/>
        </w:rPr>
        <w:t xml:space="preserve">increased </w:t>
      </w:r>
      <w:r w:rsidRPr="00CC7B06">
        <w:rPr>
          <w:rFonts w:ascii="Times New Roman" w:hAnsi="Times New Roman" w:cs="Times New Roman"/>
          <w:sz w:val="24"/>
          <w:szCs w:val="24"/>
        </w:rPr>
        <w:t xml:space="preserve">from </w:t>
      </w:r>
      <w:r>
        <w:rPr>
          <w:rFonts w:ascii="Times New Roman" w:hAnsi="Times New Roman" w:cs="Times New Roman"/>
          <w:sz w:val="24"/>
          <w:szCs w:val="24"/>
        </w:rPr>
        <w:t>€7798</w:t>
      </w:r>
      <w:r w:rsidRPr="00CC7B06">
        <w:rPr>
          <w:rFonts w:ascii="Times New Roman" w:hAnsi="Times New Roman" w:cs="Times New Roman"/>
          <w:sz w:val="24"/>
          <w:szCs w:val="24"/>
        </w:rPr>
        <w:t xml:space="preserve"> in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analysis from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health care payer perspective to </w:t>
      </w:r>
      <w:r>
        <w:rPr>
          <w:rFonts w:ascii="Times New Roman" w:hAnsi="Times New Roman" w:cs="Times New Roman"/>
          <w:sz w:val="24"/>
          <w:szCs w:val="24"/>
        </w:rPr>
        <w:t>€15,967</w:t>
      </w:r>
      <w:r w:rsidRPr="00CC7B06">
        <w:rPr>
          <w:rFonts w:ascii="Times New Roman" w:hAnsi="Times New Roman" w:cs="Times New Roman"/>
          <w:sz w:val="24"/>
          <w:szCs w:val="24"/>
        </w:rPr>
        <w:t xml:space="preserve"> in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analysis from </w:t>
      </w:r>
      <w:r>
        <w:rPr>
          <w:rFonts w:ascii="Times New Roman" w:hAnsi="Times New Roman" w:cs="Times New Roman"/>
          <w:sz w:val="24"/>
          <w:szCs w:val="24"/>
        </w:rPr>
        <w:t>the societal perspective.</w:t>
      </w:r>
    </w:p>
    <w:p w:rsidR="004C3DC1" w:rsidRPr="00CC7B06" w:rsidRDefault="004C3DC1" w:rsidP="00D212ED">
      <w:pPr>
        <w:pStyle w:val="NoSpacing"/>
        <w:numPr>
          <w:ilvl w:val="0"/>
          <w:numId w:val="7"/>
        </w:numPr>
        <w:spacing w:line="480" w:lineRule="auto"/>
        <w:jc w:val="both"/>
        <w:rPr>
          <w:rFonts w:ascii="Times New Roman" w:hAnsi="Times New Roman" w:cs="Times New Roman"/>
          <w:sz w:val="24"/>
          <w:szCs w:val="24"/>
        </w:rPr>
      </w:pPr>
      <w:r w:rsidRPr="00AF32D6">
        <w:rPr>
          <w:rFonts w:ascii="Times New Roman" w:hAnsi="Times New Roman" w:cs="Times New Roman"/>
          <w:i/>
          <w:iCs/>
          <w:sz w:val="24"/>
          <w:szCs w:val="24"/>
        </w:rPr>
        <w:t xml:space="preserve">using data </w:t>
      </w:r>
      <w:r>
        <w:rPr>
          <w:rFonts w:ascii="Times New Roman" w:hAnsi="Times New Roman" w:cs="Times New Roman"/>
          <w:i/>
          <w:iCs/>
          <w:sz w:val="24"/>
          <w:szCs w:val="24"/>
        </w:rPr>
        <w:t xml:space="preserve">from a </w:t>
      </w:r>
      <w:r w:rsidRPr="00AF32D6">
        <w:rPr>
          <w:rFonts w:ascii="Times New Roman" w:hAnsi="Times New Roman" w:cs="Times New Roman"/>
          <w:i/>
          <w:iCs/>
          <w:sz w:val="24"/>
          <w:szCs w:val="24"/>
        </w:rPr>
        <w:t>network meta-analysis</w:t>
      </w:r>
      <w:r>
        <w:rPr>
          <w:rFonts w:ascii="Times New Roman" w:hAnsi="Times New Roman" w:cs="Times New Roman"/>
          <w:i/>
          <w:iCs/>
          <w:sz w:val="24"/>
          <w:szCs w:val="24"/>
        </w:rPr>
        <w:t xml:space="preserve"> on the </w:t>
      </w:r>
      <w:r w:rsidRPr="00AF32D6">
        <w:rPr>
          <w:rFonts w:ascii="Times New Roman" w:hAnsi="Times New Roman" w:cs="Times New Roman"/>
          <w:i/>
          <w:iCs/>
          <w:sz w:val="24"/>
          <w:szCs w:val="24"/>
        </w:rPr>
        <w:t xml:space="preserve">impact of surgery on </w:t>
      </w:r>
      <w:r>
        <w:rPr>
          <w:rFonts w:ascii="Times New Roman" w:hAnsi="Times New Roman" w:cs="Times New Roman"/>
          <w:i/>
          <w:iCs/>
          <w:sz w:val="24"/>
          <w:szCs w:val="24"/>
        </w:rPr>
        <w:t xml:space="preserve">the </w:t>
      </w:r>
      <w:r w:rsidRPr="00AF32D6">
        <w:rPr>
          <w:rFonts w:ascii="Times New Roman" w:hAnsi="Times New Roman" w:cs="Times New Roman"/>
          <w:i/>
          <w:iCs/>
          <w:sz w:val="24"/>
          <w:szCs w:val="24"/>
        </w:rPr>
        <w:t>BMI level</w:t>
      </w:r>
      <w:r>
        <w:rPr>
          <w:rFonts w:ascii="Times New Roman" w:hAnsi="Times New Roman" w:cs="Times New Roman"/>
          <w:i/>
          <w:iCs/>
          <w:sz w:val="24"/>
          <w:szCs w:val="24"/>
        </w:rPr>
        <w:t>;</w:t>
      </w:r>
    </w:p>
    <w:p w:rsidR="004C3DC1" w:rsidRDefault="004C3DC1" w:rsidP="00D212ED">
      <w:pPr>
        <w:spacing w:after="0" w:line="480" w:lineRule="auto"/>
        <w:jc w:val="both"/>
        <w:rPr>
          <w:rFonts w:ascii="Times New Roman" w:hAnsi="Times New Roman" w:cs="Times New Roman"/>
          <w:sz w:val="24"/>
          <w:szCs w:val="24"/>
        </w:rPr>
      </w:pPr>
      <w:r w:rsidRPr="00CC7B06">
        <w:rPr>
          <w:rFonts w:ascii="Times New Roman" w:hAnsi="Times New Roman" w:cs="Times New Roman"/>
          <w:sz w:val="24"/>
          <w:szCs w:val="24"/>
        </w:rPr>
        <w:lastRenderedPageBreak/>
        <w:t xml:space="preserve">In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analysis using conservative effectiveness </w:t>
      </w:r>
      <w:proofErr w:type="gramStart"/>
      <w:r w:rsidRPr="00CC7B06">
        <w:rPr>
          <w:rFonts w:ascii="Times New Roman" w:hAnsi="Times New Roman" w:cs="Times New Roman"/>
          <w:sz w:val="24"/>
          <w:szCs w:val="24"/>
        </w:rPr>
        <w:t>input</w:t>
      </w:r>
      <w:r>
        <w:rPr>
          <w:rFonts w:ascii="Times New Roman" w:hAnsi="Times New Roman" w:cs="Times New Roman"/>
          <w:sz w:val="24"/>
          <w:szCs w:val="24"/>
        </w:rPr>
        <w:t>s</w:t>
      </w:r>
      <w:r>
        <w:rPr>
          <w:rFonts w:ascii="Times New Roman" w:hAnsi="Times New Roman" w:cs="Times New Roman"/>
          <w:noProof/>
          <w:sz w:val="24"/>
          <w:szCs w:val="24"/>
          <w:vertAlign w:val="superscript"/>
        </w:rPr>
        <w:t>(</w:t>
      </w:r>
      <w:proofErr w:type="gramEnd"/>
      <w:r>
        <w:rPr>
          <w:rFonts w:ascii="Times New Roman" w:hAnsi="Times New Roman" w:cs="Times New Roman"/>
          <w:noProof/>
          <w:sz w:val="24"/>
          <w:szCs w:val="24"/>
          <w:vertAlign w:val="superscript"/>
        </w:rPr>
        <w:t>44)</w:t>
      </w:r>
      <w:r>
        <w:rPr>
          <w:rFonts w:ascii="Times New Roman" w:hAnsi="Times New Roman" w:cs="Times New Roman"/>
          <w:sz w:val="24"/>
          <w:szCs w:val="24"/>
        </w:rPr>
        <w:t xml:space="preserve"> </w:t>
      </w:r>
      <w:r w:rsidRPr="00CC7B06">
        <w:rPr>
          <w:rFonts w:ascii="Times New Roman" w:hAnsi="Times New Roman" w:cs="Times New Roman"/>
          <w:sz w:val="24"/>
          <w:szCs w:val="24"/>
        </w:rPr>
        <w:t>and similar patient characteristics</w:t>
      </w:r>
      <w:r>
        <w:rPr>
          <w:rFonts w:ascii="Times New Roman" w:hAnsi="Times New Roman" w:cs="Times New Roman"/>
          <w:sz w:val="24"/>
          <w:szCs w:val="24"/>
        </w:rPr>
        <w:t xml:space="preserve"> to</w:t>
      </w:r>
      <w:r w:rsidRPr="00CC7B06">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CC7B06">
        <w:rPr>
          <w:rFonts w:ascii="Times New Roman" w:hAnsi="Times New Roman" w:cs="Times New Roman"/>
          <w:sz w:val="24"/>
          <w:szCs w:val="24"/>
        </w:rPr>
        <w:t>base-case scenario</w:t>
      </w:r>
      <w:r>
        <w:rPr>
          <w:rFonts w:ascii="Times New Roman" w:hAnsi="Times New Roman" w:cs="Times New Roman"/>
          <w:sz w:val="24"/>
          <w:szCs w:val="24"/>
        </w:rPr>
        <w:t>,</w:t>
      </w:r>
      <w:r w:rsidRPr="00CC7B06">
        <w:rPr>
          <w:rFonts w:ascii="Times New Roman" w:hAnsi="Times New Roman" w:cs="Times New Roman"/>
          <w:sz w:val="24"/>
          <w:szCs w:val="24"/>
        </w:rPr>
        <w:t xml:space="preserve"> surgery </w:t>
      </w:r>
      <w:r>
        <w:rPr>
          <w:rFonts w:ascii="Times New Roman" w:hAnsi="Times New Roman" w:cs="Times New Roman"/>
          <w:sz w:val="24"/>
          <w:szCs w:val="24"/>
        </w:rPr>
        <w:t xml:space="preserve">was </w:t>
      </w:r>
      <w:r w:rsidRPr="00CC7B06">
        <w:rPr>
          <w:rFonts w:ascii="Times New Roman" w:hAnsi="Times New Roman" w:cs="Times New Roman"/>
          <w:sz w:val="24"/>
          <w:szCs w:val="24"/>
        </w:rPr>
        <w:t xml:space="preserve">still cost saving. Over </w:t>
      </w:r>
      <w:r>
        <w:rPr>
          <w:rFonts w:ascii="Times New Roman" w:hAnsi="Times New Roman" w:cs="Times New Roman"/>
          <w:sz w:val="24"/>
          <w:szCs w:val="24"/>
        </w:rPr>
        <w:t xml:space="preserve">a </w:t>
      </w:r>
      <w:r w:rsidRPr="00CC7B06">
        <w:rPr>
          <w:rFonts w:ascii="Times New Roman" w:hAnsi="Times New Roman" w:cs="Times New Roman"/>
          <w:sz w:val="24"/>
          <w:szCs w:val="24"/>
        </w:rPr>
        <w:t xml:space="preserve">lifetime, it led to savings of </w:t>
      </w:r>
      <w:r>
        <w:rPr>
          <w:rFonts w:ascii="Times New Roman" w:hAnsi="Times New Roman" w:cs="Times New Roman"/>
          <w:sz w:val="24"/>
          <w:szCs w:val="24"/>
        </w:rPr>
        <w:t>€3423</w:t>
      </w:r>
      <w:r w:rsidRPr="00CC7B06">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CC7B06">
        <w:rPr>
          <w:rFonts w:ascii="Times New Roman" w:hAnsi="Times New Roman" w:cs="Times New Roman"/>
          <w:sz w:val="24"/>
          <w:szCs w:val="24"/>
        </w:rPr>
        <w:t>gain of 0.5 life y</w:t>
      </w:r>
      <w:r>
        <w:rPr>
          <w:rFonts w:ascii="Times New Roman" w:hAnsi="Times New Roman" w:cs="Times New Roman"/>
          <w:sz w:val="24"/>
          <w:szCs w:val="24"/>
        </w:rPr>
        <w:t>ears and 2.0 QALYs per patient.</w:t>
      </w:r>
    </w:p>
    <w:p w:rsidR="004C3DC1" w:rsidRDefault="004C3DC1" w:rsidP="00D212ED">
      <w:pPr>
        <w:spacing w:after="0" w:line="480" w:lineRule="auto"/>
        <w:ind w:firstLine="720"/>
        <w:jc w:val="both"/>
        <w:rPr>
          <w:rFonts w:ascii="Times New Roman" w:hAnsi="Times New Roman" w:cs="Times New Roman"/>
          <w:sz w:val="24"/>
          <w:szCs w:val="24"/>
        </w:rPr>
      </w:pPr>
      <w:r w:rsidRPr="00CC7B06">
        <w:rPr>
          <w:rFonts w:ascii="Times New Roman" w:hAnsi="Times New Roman" w:cs="Times New Roman"/>
          <w:sz w:val="24"/>
          <w:szCs w:val="24"/>
        </w:rPr>
        <w:t xml:space="preserve">In general, extensive sensitivity </w:t>
      </w:r>
      <w:r>
        <w:rPr>
          <w:rFonts w:ascii="Times New Roman" w:hAnsi="Times New Roman" w:cs="Times New Roman"/>
          <w:sz w:val="24"/>
          <w:szCs w:val="24"/>
        </w:rPr>
        <w:t xml:space="preserve">and scenario </w:t>
      </w:r>
      <w:r w:rsidRPr="00CC7B06">
        <w:rPr>
          <w:rFonts w:ascii="Times New Roman" w:hAnsi="Times New Roman" w:cs="Times New Roman"/>
          <w:sz w:val="24"/>
          <w:szCs w:val="24"/>
        </w:rPr>
        <w:t xml:space="preserve">analyses showed that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uncertainty around </w:t>
      </w:r>
      <w:r>
        <w:rPr>
          <w:rFonts w:ascii="Times New Roman" w:hAnsi="Times New Roman" w:cs="Times New Roman"/>
          <w:sz w:val="24"/>
          <w:szCs w:val="24"/>
        </w:rPr>
        <w:t xml:space="preserve">the </w:t>
      </w:r>
      <w:r w:rsidRPr="00CC7B06">
        <w:rPr>
          <w:rFonts w:ascii="Times New Roman" w:hAnsi="Times New Roman" w:cs="Times New Roman"/>
          <w:sz w:val="24"/>
          <w:szCs w:val="24"/>
        </w:rPr>
        <w:t xml:space="preserve">model inputs and structure </w:t>
      </w:r>
      <w:r>
        <w:rPr>
          <w:rFonts w:ascii="Times New Roman" w:hAnsi="Times New Roman" w:cs="Times New Roman"/>
          <w:sz w:val="24"/>
          <w:szCs w:val="24"/>
        </w:rPr>
        <w:t>did</w:t>
      </w:r>
      <w:r w:rsidRPr="00CC7B06">
        <w:rPr>
          <w:rFonts w:ascii="Times New Roman" w:hAnsi="Times New Roman" w:cs="Times New Roman"/>
          <w:sz w:val="24"/>
          <w:szCs w:val="24"/>
        </w:rPr>
        <w:t xml:space="preserve"> not affect </w:t>
      </w:r>
      <w:r>
        <w:rPr>
          <w:rFonts w:ascii="Times New Roman" w:hAnsi="Times New Roman" w:cs="Times New Roman"/>
          <w:sz w:val="24"/>
          <w:szCs w:val="24"/>
        </w:rPr>
        <w:t>the main results significantly.</w:t>
      </w: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Default="004C3DC1" w:rsidP="00D212ED">
      <w:pPr>
        <w:rPr>
          <w:rFonts w:ascii="Times New Roman" w:hAnsi="Times New Roman" w:cs="Times New Roman"/>
          <w:sz w:val="20"/>
          <w:szCs w:val="20"/>
        </w:rPr>
      </w:pPr>
    </w:p>
    <w:p w:rsidR="004C3DC1" w:rsidRPr="002A4881" w:rsidRDefault="004C3DC1" w:rsidP="00D212ED">
      <w:pPr>
        <w:rPr>
          <w:rFonts w:ascii="Times New Roman" w:hAnsi="Times New Roman" w:cs="Times New Roman"/>
          <w:sz w:val="20"/>
          <w:szCs w:val="20"/>
        </w:rPr>
      </w:pPr>
    </w:p>
    <w:p w:rsidR="004C3DC1" w:rsidRPr="00AF32D6" w:rsidRDefault="004C3DC1" w:rsidP="00D212ED">
      <w:pPr>
        <w:rPr>
          <w:rFonts w:ascii="Times New Roman" w:hAnsi="Times New Roman" w:cs="Times New Roman"/>
          <w:sz w:val="24"/>
          <w:szCs w:val="24"/>
          <w:lang w:val="en-US"/>
        </w:rPr>
      </w:pPr>
      <w:r w:rsidRPr="00AF32D6">
        <w:rPr>
          <w:rFonts w:ascii="Times New Roman" w:hAnsi="Times New Roman" w:cs="Times New Roman"/>
          <w:b/>
          <w:bCs/>
          <w:sz w:val="24"/>
          <w:szCs w:val="24"/>
          <w:lang w:val="en-US"/>
        </w:rPr>
        <w:lastRenderedPageBreak/>
        <w:t>Table S1</w:t>
      </w:r>
      <w:r>
        <w:rPr>
          <w:rFonts w:ascii="Times New Roman" w:hAnsi="Times New Roman" w:cs="Times New Roman"/>
          <w:b/>
          <w:bCs/>
          <w:sz w:val="24"/>
          <w:szCs w:val="24"/>
          <w:lang w:val="en-US"/>
        </w:rPr>
        <w:t>4</w:t>
      </w:r>
      <w:r w:rsidRPr="00AF32D6">
        <w:rPr>
          <w:rFonts w:ascii="Times New Roman" w:hAnsi="Times New Roman" w:cs="Times New Roman"/>
          <w:sz w:val="24"/>
          <w:szCs w:val="24"/>
          <w:lang w:val="en-US"/>
        </w:rPr>
        <w:t xml:space="preserve"> Sensitivity analysis for annual discounting rate</w:t>
      </w:r>
    </w:p>
    <w:tbl>
      <w:tblPr>
        <w:tblW w:w="946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1134"/>
        <w:gridCol w:w="992"/>
        <w:gridCol w:w="1134"/>
        <w:gridCol w:w="851"/>
        <w:gridCol w:w="1134"/>
        <w:gridCol w:w="1134"/>
        <w:gridCol w:w="1701"/>
      </w:tblGrid>
      <w:tr w:rsidR="004C3DC1" w:rsidRPr="00424215">
        <w:trPr>
          <w:cantSplit/>
          <w:trHeight w:val="20"/>
          <w:tblHeader/>
        </w:trPr>
        <w:tc>
          <w:tcPr>
            <w:tcW w:w="1384"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Cost, €</w:t>
            </w:r>
          </w:p>
        </w:tc>
        <w:tc>
          <w:tcPr>
            <w:tcW w:w="992"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cost</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LYG, years</w:t>
            </w:r>
          </w:p>
        </w:tc>
        <w:tc>
          <w:tcPr>
            <w:tcW w:w="851"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LYG</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QALY</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 QALY</w:t>
            </w:r>
          </w:p>
        </w:tc>
        <w:tc>
          <w:tcPr>
            <w:tcW w:w="1701"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ICER, €/QALY</w:t>
            </w:r>
          </w:p>
        </w:tc>
      </w:tr>
      <w:tr w:rsidR="004C3DC1" w:rsidRPr="00424215">
        <w:trPr>
          <w:cantSplit/>
          <w:trHeight w:val="20"/>
        </w:trPr>
        <w:tc>
          <w:tcPr>
            <w:tcW w:w="9464" w:type="dxa"/>
            <w:gridSpan w:val="8"/>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Base-case analysis (3% cost and benefits)</w:t>
            </w:r>
          </w:p>
        </w:tc>
      </w:tr>
      <w:tr w:rsidR="004C3DC1" w:rsidRPr="00424215">
        <w:trPr>
          <w:cantSplit/>
          <w:trHeight w:val="20"/>
        </w:trPr>
        <w:tc>
          <w:tcPr>
            <w:tcW w:w="138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49 501</w:t>
            </w:r>
          </w:p>
        </w:tc>
        <w:tc>
          <w:tcPr>
            <w:tcW w:w="992"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19,7</w:t>
            </w:r>
          </w:p>
        </w:tc>
        <w:tc>
          <w:tcPr>
            <w:tcW w:w="851"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8,8</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701"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r>
      <w:tr w:rsidR="004C3DC1" w:rsidRPr="00424215">
        <w:trPr>
          <w:cantSplit/>
          <w:trHeight w:val="20"/>
        </w:trPr>
        <w:tc>
          <w:tcPr>
            <w:tcW w:w="138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39 617</w:t>
            </w:r>
          </w:p>
        </w:tc>
        <w:tc>
          <w:tcPr>
            <w:tcW w:w="992"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-9 884</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20,6</w:t>
            </w:r>
          </w:p>
        </w:tc>
        <w:tc>
          <w:tcPr>
            <w:tcW w:w="851"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0,9</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12,3</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3,5</w:t>
            </w:r>
          </w:p>
        </w:tc>
        <w:tc>
          <w:tcPr>
            <w:tcW w:w="1701"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Dominates</w:t>
            </w:r>
          </w:p>
        </w:tc>
      </w:tr>
      <w:tr w:rsidR="004C3DC1" w:rsidRPr="00424215">
        <w:trPr>
          <w:cantSplit/>
          <w:trHeight w:val="20"/>
        </w:trPr>
        <w:tc>
          <w:tcPr>
            <w:tcW w:w="9464" w:type="dxa"/>
            <w:gridSpan w:val="8"/>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0% cost and benefits</w:t>
            </w:r>
          </w:p>
        </w:tc>
      </w:tr>
      <w:tr w:rsidR="004C3DC1" w:rsidRPr="00424215">
        <w:trPr>
          <w:cantSplit/>
          <w:trHeight w:val="20"/>
        </w:trPr>
        <w:tc>
          <w:tcPr>
            <w:tcW w:w="138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87 153</w:t>
            </w:r>
          </w:p>
        </w:tc>
        <w:tc>
          <w:tcPr>
            <w:tcW w:w="992"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31,0</w:t>
            </w:r>
          </w:p>
        </w:tc>
        <w:tc>
          <w:tcPr>
            <w:tcW w:w="851"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13,7</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701"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r>
      <w:tr w:rsidR="004C3DC1" w:rsidRPr="00424215">
        <w:trPr>
          <w:cantSplit/>
          <w:trHeight w:val="20"/>
        </w:trPr>
        <w:tc>
          <w:tcPr>
            <w:tcW w:w="138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66 959</w:t>
            </w:r>
          </w:p>
        </w:tc>
        <w:tc>
          <w:tcPr>
            <w:tcW w:w="992"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-20 194</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33,3</w:t>
            </w:r>
          </w:p>
        </w:tc>
        <w:tc>
          <w:tcPr>
            <w:tcW w:w="851"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2,3</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19,8</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6,1</w:t>
            </w:r>
          </w:p>
        </w:tc>
        <w:tc>
          <w:tcPr>
            <w:tcW w:w="1701"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Dominates</w:t>
            </w:r>
          </w:p>
        </w:tc>
      </w:tr>
      <w:tr w:rsidR="004C3DC1" w:rsidRPr="00424215">
        <w:trPr>
          <w:cantSplit/>
          <w:trHeight w:val="20"/>
        </w:trPr>
        <w:tc>
          <w:tcPr>
            <w:tcW w:w="9464" w:type="dxa"/>
            <w:gridSpan w:val="8"/>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5% cost and benefits</w:t>
            </w:r>
          </w:p>
        </w:tc>
      </w:tr>
      <w:tr w:rsidR="004C3DC1" w:rsidRPr="00424215">
        <w:trPr>
          <w:cantSplit/>
          <w:trHeight w:val="20"/>
        </w:trPr>
        <w:tc>
          <w:tcPr>
            <w:tcW w:w="138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35 711</w:t>
            </w:r>
          </w:p>
        </w:tc>
        <w:tc>
          <w:tcPr>
            <w:tcW w:w="992"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15,5</w:t>
            </w:r>
          </w:p>
        </w:tc>
        <w:tc>
          <w:tcPr>
            <w:tcW w:w="851"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7,0</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701"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r>
      <w:tr w:rsidR="004C3DC1" w:rsidRPr="00424215">
        <w:trPr>
          <w:cantSplit/>
          <w:trHeight w:val="20"/>
        </w:trPr>
        <w:tc>
          <w:tcPr>
            <w:tcW w:w="138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29 921</w:t>
            </w:r>
          </w:p>
        </w:tc>
        <w:tc>
          <w:tcPr>
            <w:tcW w:w="992"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-5 790</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16,0</w:t>
            </w:r>
          </w:p>
        </w:tc>
        <w:tc>
          <w:tcPr>
            <w:tcW w:w="851"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0,5</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9,6</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2,6</w:t>
            </w:r>
          </w:p>
        </w:tc>
        <w:tc>
          <w:tcPr>
            <w:tcW w:w="1701"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Dominates</w:t>
            </w:r>
          </w:p>
        </w:tc>
      </w:tr>
      <w:tr w:rsidR="004C3DC1" w:rsidRPr="00424215">
        <w:trPr>
          <w:cantSplit/>
          <w:trHeight w:val="20"/>
        </w:trPr>
        <w:tc>
          <w:tcPr>
            <w:tcW w:w="9464" w:type="dxa"/>
            <w:gridSpan w:val="8"/>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 cost and 0% benefits</w:t>
            </w:r>
          </w:p>
        </w:tc>
      </w:tr>
      <w:tr w:rsidR="004C3DC1" w:rsidRPr="00424215">
        <w:trPr>
          <w:cantSplit/>
          <w:trHeight w:val="20"/>
        </w:trPr>
        <w:tc>
          <w:tcPr>
            <w:tcW w:w="138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OMM</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49 501</w:t>
            </w:r>
          </w:p>
        </w:tc>
        <w:tc>
          <w:tcPr>
            <w:tcW w:w="992"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31,0</w:t>
            </w:r>
          </w:p>
        </w:tc>
        <w:tc>
          <w:tcPr>
            <w:tcW w:w="851"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13,7</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c>
          <w:tcPr>
            <w:tcW w:w="1701" w:type="dxa"/>
          </w:tcPr>
          <w:p w:rsidR="004C3DC1" w:rsidRPr="00424215" w:rsidRDefault="004C3DC1" w:rsidP="00D212ED">
            <w:pPr>
              <w:pStyle w:val="NoSpacing"/>
              <w:spacing w:line="276" w:lineRule="auto"/>
              <w:jc w:val="center"/>
              <w:rPr>
                <w:rFonts w:ascii="Times New Roman" w:hAnsi="Times New Roman" w:cs="Times New Roman"/>
                <w:sz w:val="20"/>
                <w:szCs w:val="20"/>
              </w:rPr>
            </w:pPr>
          </w:p>
        </w:tc>
      </w:tr>
      <w:tr w:rsidR="004C3DC1" w:rsidRPr="00424215">
        <w:trPr>
          <w:cantSplit/>
          <w:trHeight w:val="20"/>
        </w:trPr>
        <w:tc>
          <w:tcPr>
            <w:tcW w:w="138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Surgery</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39 617</w:t>
            </w:r>
          </w:p>
        </w:tc>
        <w:tc>
          <w:tcPr>
            <w:tcW w:w="992"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-9 884</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33,3</w:t>
            </w:r>
          </w:p>
        </w:tc>
        <w:tc>
          <w:tcPr>
            <w:tcW w:w="851"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2,3</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19,8</w:t>
            </w:r>
          </w:p>
        </w:tc>
        <w:tc>
          <w:tcPr>
            <w:tcW w:w="1134"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6,1</w:t>
            </w:r>
          </w:p>
        </w:tc>
        <w:tc>
          <w:tcPr>
            <w:tcW w:w="1701" w:type="dxa"/>
          </w:tcPr>
          <w:p w:rsidR="004C3DC1" w:rsidRPr="00424215" w:rsidRDefault="004C3DC1" w:rsidP="00D212ED">
            <w:pPr>
              <w:pStyle w:val="NoSpacing"/>
              <w:spacing w:line="276" w:lineRule="auto"/>
              <w:jc w:val="center"/>
              <w:rPr>
                <w:rFonts w:ascii="Times New Roman" w:hAnsi="Times New Roman" w:cs="Times New Roman"/>
                <w:sz w:val="20"/>
                <w:szCs w:val="20"/>
              </w:rPr>
            </w:pPr>
            <w:r w:rsidRPr="00424215">
              <w:rPr>
                <w:rFonts w:ascii="Times New Roman" w:hAnsi="Times New Roman" w:cs="Times New Roman"/>
                <w:sz w:val="20"/>
                <w:szCs w:val="20"/>
              </w:rPr>
              <w:t>Dominates</w:t>
            </w:r>
          </w:p>
        </w:tc>
      </w:tr>
    </w:tbl>
    <w:p w:rsidR="004C3DC1" w:rsidRPr="000D75C6" w:rsidRDefault="004C3DC1" w:rsidP="00D212ED">
      <w:pPr>
        <w:rPr>
          <w:rFonts w:ascii="Times New Roman" w:hAnsi="Times New Roman" w:cs="Times New Roman"/>
          <w:lang w:val="en-US"/>
        </w:rPr>
      </w:pPr>
      <w:r>
        <w:rPr>
          <w:rFonts w:ascii="Times New Roman" w:hAnsi="Times New Roman" w:cs="Times New Roman"/>
          <w:lang w:val="en-US"/>
        </w:rPr>
        <w:t xml:space="preserve">BMI: body mass index; </w:t>
      </w:r>
      <w:r w:rsidRPr="000D75C6">
        <w:rPr>
          <w:rFonts w:ascii="Times New Roman" w:hAnsi="Times New Roman" w:cs="Times New Roman"/>
          <w:lang w:val="en-US"/>
        </w:rPr>
        <w:t xml:space="preserve">ICER: incremental cost-effectiveness ratio; </w:t>
      </w:r>
      <w:r>
        <w:rPr>
          <w:rFonts w:ascii="Times New Roman" w:hAnsi="Times New Roman" w:cs="Times New Roman"/>
          <w:lang w:val="en-US"/>
        </w:rPr>
        <w:t xml:space="preserve">LYG: life years gained; </w:t>
      </w:r>
      <w:r w:rsidRPr="000D75C6">
        <w:rPr>
          <w:rFonts w:ascii="Times New Roman" w:hAnsi="Times New Roman" w:cs="Times New Roman"/>
          <w:lang w:val="en-US"/>
        </w:rPr>
        <w:t>OMM: optimal medical management; QA</w:t>
      </w:r>
      <w:r>
        <w:rPr>
          <w:rFonts w:ascii="Times New Roman" w:hAnsi="Times New Roman" w:cs="Times New Roman"/>
          <w:lang w:val="en-US"/>
        </w:rPr>
        <w:t>LY: quality-adjusted life years</w:t>
      </w:r>
      <w:r w:rsidRPr="000D75C6">
        <w:rPr>
          <w:rFonts w:ascii="Times New Roman" w:hAnsi="Times New Roman" w:cs="Times New Roman"/>
          <w:lang w:val="en-US"/>
        </w:rPr>
        <w:t>.</w:t>
      </w:r>
    </w:p>
    <w:p w:rsidR="004C3DC1" w:rsidRPr="00354164" w:rsidRDefault="004C3DC1" w:rsidP="00D212ED">
      <w:pPr>
        <w:rPr>
          <w:rFonts w:ascii="Times New Roman" w:hAnsi="Times New Roman" w:cs="Times New Roman"/>
          <w:lang w:val="en-US"/>
        </w:rPr>
      </w:pPr>
    </w:p>
    <w:p w:rsidR="004C3DC1" w:rsidRPr="00354164" w:rsidRDefault="004C3DC1" w:rsidP="00D212ED">
      <w:pPr>
        <w:rPr>
          <w:rFonts w:ascii="Times New Roman" w:hAnsi="Times New Roman" w:cs="Times New Roman"/>
          <w:lang w:val="en-US"/>
        </w:rPr>
      </w:pPr>
      <w:r>
        <w:rPr>
          <w:rFonts w:ascii="Times New Roman" w:hAnsi="Times New Roman" w:cs="Times New Roman"/>
          <w:lang w:val="en-US"/>
        </w:rPr>
        <w:br w:type="page"/>
      </w:r>
      <w:r>
        <w:rPr>
          <w:rFonts w:ascii="Times New Roman" w:hAnsi="Times New Roman" w:cs="Times New Roman"/>
          <w:noProof/>
          <w:lang w:val="en-US"/>
        </w:rPr>
        <w:lastRenderedPageBreak/>
        <w:drawing>
          <wp:inline distT="0" distB="0" distL="0" distR="0" wp14:anchorId="28BEBA08" wp14:editId="37F37C34">
            <wp:extent cx="5715000" cy="3038475"/>
            <wp:effectExtent l="19050" t="19050" r="19050" b="28575"/>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3038475"/>
                    </a:xfrm>
                    <a:prstGeom prst="rect">
                      <a:avLst/>
                    </a:prstGeom>
                    <a:noFill/>
                    <a:ln w="9525" cmpd="sng">
                      <a:solidFill>
                        <a:srgbClr val="D9D9D9"/>
                      </a:solidFill>
                      <a:miter lim="800000"/>
                      <a:headEnd/>
                      <a:tailEnd/>
                    </a:ln>
                    <a:effectLst/>
                  </pic:spPr>
                </pic:pic>
              </a:graphicData>
            </a:graphic>
          </wp:inline>
        </w:drawing>
      </w:r>
    </w:p>
    <w:p w:rsidR="004C3DC1" w:rsidRDefault="004C3DC1" w:rsidP="00D212ED">
      <w:pPr>
        <w:rPr>
          <w:rFonts w:ascii="Times New Roman" w:hAnsi="Times New Roman" w:cs="Times New Roman"/>
          <w:sz w:val="24"/>
          <w:szCs w:val="24"/>
          <w:lang w:val="en-US"/>
        </w:rPr>
      </w:pPr>
      <w:r w:rsidRPr="00AF32D6">
        <w:rPr>
          <w:rFonts w:ascii="Times New Roman" w:hAnsi="Times New Roman" w:cs="Times New Roman"/>
          <w:b/>
          <w:bCs/>
          <w:sz w:val="24"/>
          <w:szCs w:val="24"/>
          <w:lang w:val="en-US"/>
        </w:rPr>
        <w:t>Fig</w:t>
      </w:r>
      <w:r>
        <w:rPr>
          <w:rFonts w:ascii="Times New Roman" w:hAnsi="Times New Roman" w:cs="Times New Roman"/>
          <w:b/>
          <w:bCs/>
          <w:sz w:val="24"/>
          <w:szCs w:val="24"/>
          <w:lang w:val="en-US"/>
        </w:rPr>
        <w:t>.</w:t>
      </w:r>
      <w:r w:rsidRPr="00AF32D6">
        <w:rPr>
          <w:rFonts w:ascii="Times New Roman" w:hAnsi="Times New Roman" w:cs="Times New Roman"/>
          <w:b/>
          <w:bCs/>
          <w:sz w:val="24"/>
          <w:szCs w:val="24"/>
          <w:lang w:val="en-US"/>
        </w:rPr>
        <w:t xml:space="preserve"> S</w:t>
      </w:r>
      <w:r>
        <w:rPr>
          <w:rFonts w:ascii="Times New Roman" w:hAnsi="Times New Roman" w:cs="Times New Roman"/>
          <w:b/>
          <w:bCs/>
          <w:sz w:val="24"/>
          <w:szCs w:val="24"/>
          <w:lang w:val="en-US"/>
        </w:rPr>
        <w:t>7</w:t>
      </w:r>
      <w:r w:rsidRPr="00AF32D6">
        <w:rPr>
          <w:rFonts w:ascii="Times New Roman" w:hAnsi="Times New Roman" w:cs="Times New Roman"/>
          <w:sz w:val="24"/>
          <w:szCs w:val="24"/>
          <w:lang w:val="en-US"/>
        </w:rPr>
        <w:t xml:space="preserve"> Impact of proportion of high-volume hospitals on cost of bariatric surgery</w:t>
      </w:r>
    </w:p>
    <w:p w:rsidR="004C3DC1" w:rsidRDefault="004C3DC1" w:rsidP="00D212ED">
      <w:pPr>
        <w:rPr>
          <w:rFonts w:ascii="Times New Roman" w:hAnsi="Times New Roman" w:cs="Times New Roman"/>
          <w:sz w:val="24"/>
          <w:szCs w:val="24"/>
          <w:lang w:val="en-US"/>
        </w:rPr>
      </w:pPr>
    </w:p>
    <w:p w:rsidR="004C3DC1" w:rsidRPr="00354164" w:rsidRDefault="004C3DC1" w:rsidP="00D212ED">
      <w:pPr>
        <w:rPr>
          <w:rFonts w:ascii="Times New Roman" w:hAnsi="Times New Roman" w:cs="Times New Roman"/>
          <w:lang w:val="en-US"/>
        </w:rPr>
      </w:pPr>
      <w:r>
        <w:rPr>
          <w:rFonts w:ascii="Times New Roman" w:hAnsi="Times New Roman" w:cs="Times New Roman"/>
          <w:sz w:val="24"/>
          <w:szCs w:val="24"/>
          <w:lang w:val="en-US"/>
        </w:rPr>
        <w:br w:type="page"/>
      </w:r>
      <w:r>
        <w:rPr>
          <w:rFonts w:ascii="Times New Roman" w:hAnsi="Times New Roman" w:cs="Times New Roman"/>
          <w:noProof/>
          <w:lang w:val="en-US"/>
        </w:rPr>
        <w:lastRenderedPageBreak/>
        <w:drawing>
          <wp:inline distT="0" distB="0" distL="0" distR="0" wp14:anchorId="12F0B2AE" wp14:editId="3703843E">
            <wp:extent cx="5753100" cy="3333750"/>
            <wp:effectExtent l="19050" t="19050" r="19050" b="19050"/>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333750"/>
                    </a:xfrm>
                    <a:prstGeom prst="rect">
                      <a:avLst/>
                    </a:prstGeom>
                    <a:noFill/>
                    <a:ln w="9525" cmpd="sng">
                      <a:solidFill>
                        <a:srgbClr val="D9D9D9"/>
                      </a:solidFill>
                      <a:miter lim="800000"/>
                      <a:headEnd/>
                      <a:tailEnd/>
                    </a:ln>
                    <a:effectLst/>
                  </pic:spPr>
                </pic:pic>
              </a:graphicData>
            </a:graphic>
          </wp:inline>
        </w:drawing>
      </w:r>
    </w:p>
    <w:p w:rsidR="004C3DC1" w:rsidRPr="00AF32D6" w:rsidRDefault="004C3DC1" w:rsidP="00D212ED">
      <w:pPr>
        <w:rPr>
          <w:rFonts w:ascii="Times New Roman" w:hAnsi="Times New Roman" w:cs="Times New Roman"/>
          <w:sz w:val="24"/>
          <w:szCs w:val="24"/>
          <w:lang w:val="en-US"/>
        </w:rPr>
      </w:pPr>
      <w:r w:rsidRPr="00AF32D6">
        <w:rPr>
          <w:rFonts w:ascii="Times New Roman" w:hAnsi="Times New Roman" w:cs="Times New Roman"/>
          <w:b/>
          <w:bCs/>
          <w:sz w:val="24"/>
          <w:szCs w:val="24"/>
          <w:lang w:val="en-US"/>
        </w:rPr>
        <w:t>Fig</w:t>
      </w:r>
      <w:r>
        <w:rPr>
          <w:rFonts w:ascii="Times New Roman" w:hAnsi="Times New Roman" w:cs="Times New Roman"/>
          <w:b/>
          <w:bCs/>
          <w:sz w:val="24"/>
          <w:szCs w:val="24"/>
          <w:lang w:val="en-US"/>
        </w:rPr>
        <w:t>.</w:t>
      </w:r>
      <w:r w:rsidRPr="00AF32D6">
        <w:rPr>
          <w:rFonts w:ascii="Times New Roman" w:hAnsi="Times New Roman" w:cs="Times New Roman"/>
          <w:b/>
          <w:bCs/>
          <w:sz w:val="24"/>
          <w:szCs w:val="24"/>
          <w:lang w:val="en-US"/>
        </w:rPr>
        <w:t xml:space="preserve"> S</w:t>
      </w:r>
      <w:r>
        <w:rPr>
          <w:rFonts w:ascii="Times New Roman" w:hAnsi="Times New Roman" w:cs="Times New Roman"/>
          <w:b/>
          <w:bCs/>
          <w:sz w:val="24"/>
          <w:szCs w:val="24"/>
          <w:lang w:val="en-US"/>
        </w:rPr>
        <w:t>8</w:t>
      </w:r>
      <w:r w:rsidRPr="00AF32D6">
        <w:rPr>
          <w:rFonts w:ascii="Times New Roman" w:hAnsi="Times New Roman" w:cs="Times New Roman"/>
          <w:sz w:val="24"/>
          <w:szCs w:val="24"/>
          <w:lang w:val="en-US"/>
        </w:rPr>
        <w:t xml:space="preserve"> Impact of proportion of high-volume hospitals on incremental cost of bariatric surgery</w:t>
      </w:r>
    </w:p>
    <w:p w:rsidR="004C3DC1" w:rsidRDefault="004C3DC1" w:rsidP="00D212ED">
      <w:pPr>
        <w:rPr>
          <w:rFonts w:ascii="Times New Roman" w:hAnsi="Times New Roman" w:cs="Times New Roman"/>
          <w:sz w:val="24"/>
          <w:szCs w:val="24"/>
        </w:rPr>
      </w:pPr>
    </w:p>
    <w:p w:rsidR="006A5510" w:rsidRDefault="006A5510"/>
    <w:sectPr w:rsidR="006A5510" w:rsidSect="00D212ED">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66A" w:rsidRDefault="00CF366A">
      <w:pPr>
        <w:spacing w:after="0" w:line="240" w:lineRule="auto"/>
      </w:pPr>
      <w:r>
        <w:separator/>
      </w:r>
    </w:p>
  </w:endnote>
  <w:endnote w:type="continuationSeparator" w:id="0">
    <w:p w:rsidR="00CF366A" w:rsidRDefault="00CF3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2ED" w:rsidRDefault="00D212ED">
    <w:pPr>
      <w:pStyle w:val="Footer"/>
      <w:jc w:val="right"/>
    </w:pPr>
    <w:r>
      <w:fldChar w:fldCharType="begin"/>
    </w:r>
    <w:r>
      <w:instrText xml:space="preserve"> PAGE   \* MERGEFORMAT </w:instrText>
    </w:r>
    <w:r>
      <w:fldChar w:fldCharType="separate"/>
    </w:r>
    <w:r w:rsidR="00C028E5">
      <w:rPr>
        <w:noProof/>
      </w:rPr>
      <w:t>25</w:t>
    </w:r>
    <w:r>
      <w:rPr>
        <w:noProof/>
      </w:rPr>
      <w:fldChar w:fldCharType="end"/>
    </w:r>
  </w:p>
  <w:p w:rsidR="00D212ED" w:rsidRDefault="00D212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66A" w:rsidRDefault="00CF366A">
      <w:pPr>
        <w:spacing w:after="0" w:line="240" w:lineRule="auto"/>
      </w:pPr>
      <w:r>
        <w:separator/>
      </w:r>
    </w:p>
  </w:footnote>
  <w:footnote w:type="continuationSeparator" w:id="0">
    <w:p w:rsidR="00CF366A" w:rsidRDefault="00CF36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B462A"/>
    <w:multiLevelType w:val="hybridMultilevel"/>
    <w:tmpl w:val="E3E8EAA4"/>
    <w:lvl w:ilvl="0" w:tplc="041D001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nsid w:val="0B463C7A"/>
    <w:multiLevelType w:val="hybridMultilevel"/>
    <w:tmpl w:val="AA0652B6"/>
    <w:lvl w:ilvl="0" w:tplc="041D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nsid w:val="17445306"/>
    <w:multiLevelType w:val="hybridMultilevel"/>
    <w:tmpl w:val="B37C3648"/>
    <w:lvl w:ilvl="0" w:tplc="041D0019">
      <w:start w:val="1"/>
      <w:numFmt w:val="lowerLetter"/>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3">
    <w:nsid w:val="2DCB76AB"/>
    <w:multiLevelType w:val="hybridMultilevel"/>
    <w:tmpl w:val="AA0652B6"/>
    <w:lvl w:ilvl="0" w:tplc="041D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nsid w:val="4F732AB6"/>
    <w:multiLevelType w:val="hybridMultilevel"/>
    <w:tmpl w:val="AA0652B6"/>
    <w:lvl w:ilvl="0" w:tplc="041D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nsid w:val="52C34017"/>
    <w:multiLevelType w:val="hybridMultilevel"/>
    <w:tmpl w:val="E44CC3B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nsid w:val="56B11C4A"/>
    <w:multiLevelType w:val="hybridMultilevel"/>
    <w:tmpl w:val="031A6138"/>
    <w:lvl w:ilvl="0" w:tplc="328EC1F0">
      <w:start w:val="1"/>
      <w:numFmt w:val="bullet"/>
      <w:lvlText w:val="•"/>
      <w:lvlJc w:val="left"/>
      <w:pPr>
        <w:tabs>
          <w:tab w:val="num" w:pos="720"/>
        </w:tabs>
        <w:ind w:left="720" w:hanging="360"/>
      </w:pPr>
      <w:rPr>
        <w:rFonts w:ascii="Times New Roman" w:hAnsi="Times New Roman" w:cs="Times New Roman" w:hint="default"/>
      </w:rPr>
    </w:lvl>
    <w:lvl w:ilvl="1" w:tplc="BE1CE90E">
      <w:start w:val="1"/>
      <w:numFmt w:val="bullet"/>
      <w:lvlText w:val="•"/>
      <w:lvlJc w:val="left"/>
      <w:pPr>
        <w:tabs>
          <w:tab w:val="num" w:pos="1440"/>
        </w:tabs>
        <w:ind w:left="1440" w:hanging="360"/>
      </w:pPr>
      <w:rPr>
        <w:rFonts w:ascii="Times New Roman" w:hAnsi="Times New Roman" w:cs="Times New Roman" w:hint="default"/>
      </w:rPr>
    </w:lvl>
    <w:lvl w:ilvl="2" w:tplc="7CF43F96">
      <w:start w:val="1"/>
      <w:numFmt w:val="bullet"/>
      <w:lvlText w:val="•"/>
      <w:lvlJc w:val="left"/>
      <w:pPr>
        <w:tabs>
          <w:tab w:val="num" w:pos="2160"/>
        </w:tabs>
        <w:ind w:left="2160" w:hanging="360"/>
      </w:pPr>
      <w:rPr>
        <w:rFonts w:ascii="Times New Roman" w:hAnsi="Times New Roman" w:cs="Times New Roman" w:hint="default"/>
      </w:rPr>
    </w:lvl>
    <w:lvl w:ilvl="3" w:tplc="C4BCF1BA">
      <w:numFmt w:val="bullet"/>
      <w:lvlText w:val="•"/>
      <w:lvlJc w:val="left"/>
      <w:pPr>
        <w:tabs>
          <w:tab w:val="num" w:pos="2880"/>
        </w:tabs>
        <w:ind w:left="2880" w:hanging="360"/>
      </w:pPr>
      <w:rPr>
        <w:rFonts w:ascii="Arial" w:hAnsi="Arial" w:cs="Arial" w:hint="default"/>
      </w:rPr>
    </w:lvl>
    <w:lvl w:ilvl="4" w:tplc="362ED836">
      <w:start w:val="1"/>
      <w:numFmt w:val="bullet"/>
      <w:lvlText w:val="•"/>
      <w:lvlJc w:val="left"/>
      <w:pPr>
        <w:tabs>
          <w:tab w:val="num" w:pos="3600"/>
        </w:tabs>
        <w:ind w:left="3600" w:hanging="360"/>
      </w:pPr>
      <w:rPr>
        <w:rFonts w:ascii="Times New Roman" w:hAnsi="Times New Roman" w:cs="Times New Roman" w:hint="default"/>
      </w:rPr>
    </w:lvl>
    <w:lvl w:ilvl="5" w:tplc="138C44FC">
      <w:start w:val="1"/>
      <w:numFmt w:val="bullet"/>
      <w:lvlText w:val="•"/>
      <w:lvlJc w:val="left"/>
      <w:pPr>
        <w:tabs>
          <w:tab w:val="num" w:pos="4320"/>
        </w:tabs>
        <w:ind w:left="4320" w:hanging="360"/>
      </w:pPr>
      <w:rPr>
        <w:rFonts w:ascii="Times New Roman" w:hAnsi="Times New Roman" w:cs="Times New Roman" w:hint="default"/>
      </w:rPr>
    </w:lvl>
    <w:lvl w:ilvl="6" w:tplc="C9485820">
      <w:start w:val="1"/>
      <w:numFmt w:val="bullet"/>
      <w:lvlText w:val="•"/>
      <w:lvlJc w:val="left"/>
      <w:pPr>
        <w:tabs>
          <w:tab w:val="num" w:pos="5040"/>
        </w:tabs>
        <w:ind w:left="5040" w:hanging="360"/>
      </w:pPr>
      <w:rPr>
        <w:rFonts w:ascii="Times New Roman" w:hAnsi="Times New Roman" w:cs="Times New Roman" w:hint="default"/>
      </w:rPr>
    </w:lvl>
    <w:lvl w:ilvl="7" w:tplc="2240662C">
      <w:start w:val="1"/>
      <w:numFmt w:val="bullet"/>
      <w:lvlText w:val="•"/>
      <w:lvlJc w:val="left"/>
      <w:pPr>
        <w:tabs>
          <w:tab w:val="num" w:pos="5760"/>
        </w:tabs>
        <w:ind w:left="5760" w:hanging="360"/>
      </w:pPr>
      <w:rPr>
        <w:rFonts w:ascii="Times New Roman" w:hAnsi="Times New Roman" w:cs="Times New Roman" w:hint="default"/>
      </w:rPr>
    </w:lvl>
    <w:lvl w:ilvl="8" w:tplc="1C4AC11C">
      <w:start w:val="1"/>
      <w:numFmt w:val="bullet"/>
      <w:lvlText w:val="•"/>
      <w:lvlJc w:val="left"/>
      <w:pPr>
        <w:tabs>
          <w:tab w:val="num" w:pos="6480"/>
        </w:tabs>
        <w:ind w:left="6480" w:hanging="360"/>
      </w:pPr>
      <w:rPr>
        <w:rFonts w:ascii="Times New Roman" w:hAnsi="Times New Roman" w:cs="Times New Roman" w:hint="default"/>
      </w:rPr>
    </w:lvl>
  </w:abstractNum>
  <w:abstractNum w:abstractNumId="7">
    <w:nsid w:val="56CD4104"/>
    <w:multiLevelType w:val="hybridMultilevel"/>
    <w:tmpl w:val="FAD8B23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nsid w:val="73A96F57"/>
    <w:multiLevelType w:val="hybridMultilevel"/>
    <w:tmpl w:val="636EE478"/>
    <w:lvl w:ilvl="0" w:tplc="041D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nsid w:val="784A731F"/>
    <w:multiLevelType w:val="hybridMultilevel"/>
    <w:tmpl w:val="73B68210"/>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num w:numId="1">
    <w:abstractNumId w:val="6"/>
  </w:num>
  <w:num w:numId="2">
    <w:abstractNumId w:val="5"/>
  </w:num>
  <w:num w:numId="3">
    <w:abstractNumId w:val="7"/>
  </w:num>
  <w:num w:numId="4">
    <w:abstractNumId w:val="1"/>
  </w:num>
  <w:num w:numId="5">
    <w:abstractNumId w:val="4"/>
  </w:num>
  <w:num w:numId="6">
    <w:abstractNumId w:val="0"/>
  </w:num>
  <w:num w:numId="7">
    <w:abstractNumId w:val="8"/>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0&lt;/ScanUnformatted&gt;&lt;ScanChanges&gt;1&lt;/ScanChanges&gt;&lt;Suspended&gt;1&lt;/Suspended&gt;&lt;/ENInstantFormat&gt;"/>
  </w:docVars>
  <w:rsids>
    <w:rsidRoot w:val="004C3DC1"/>
    <w:rsid w:val="00032D37"/>
    <w:rsid w:val="001347B2"/>
    <w:rsid w:val="0027665A"/>
    <w:rsid w:val="002D0DB5"/>
    <w:rsid w:val="002F0BDE"/>
    <w:rsid w:val="003957C3"/>
    <w:rsid w:val="00401495"/>
    <w:rsid w:val="00404F02"/>
    <w:rsid w:val="004227F2"/>
    <w:rsid w:val="0046091B"/>
    <w:rsid w:val="004C3DC1"/>
    <w:rsid w:val="004D5E61"/>
    <w:rsid w:val="005842B4"/>
    <w:rsid w:val="006111A2"/>
    <w:rsid w:val="006A5510"/>
    <w:rsid w:val="00723A27"/>
    <w:rsid w:val="00785621"/>
    <w:rsid w:val="00816C80"/>
    <w:rsid w:val="00833536"/>
    <w:rsid w:val="00934393"/>
    <w:rsid w:val="00A04629"/>
    <w:rsid w:val="00A06AC4"/>
    <w:rsid w:val="00A11302"/>
    <w:rsid w:val="00A6145C"/>
    <w:rsid w:val="00B1361A"/>
    <w:rsid w:val="00C028E5"/>
    <w:rsid w:val="00C71482"/>
    <w:rsid w:val="00CF366A"/>
    <w:rsid w:val="00D212ED"/>
    <w:rsid w:val="00D504FA"/>
    <w:rsid w:val="00D81C38"/>
    <w:rsid w:val="00DE68AD"/>
    <w:rsid w:val="00E63B4F"/>
    <w:rsid w:val="00E65B72"/>
    <w:rsid w:val="00EF23D5"/>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6711DA-54FA-4BBF-85FB-07653FEE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DC1"/>
    <w:pPr>
      <w:spacing w:after="200" w:line="276" w:lineRule="auto"/>
    </w:pPr>
    <w:rPr>
      <w:rFonts w:ascii="Calibri" w:eastAsia="Calibri" w:hAnsi="Calibri" w:cs="Calibri"/>
      <w:lang w:val="en-GB" w:eastAsia="en-US"/>
    </w:rPr>
  </w:style>
  <w:style w:type="paragraph" w:styleId="Heading1">
    <w:name w:val="heading 1"/>
    <w:basedOn w:val="Normal"/>
    <w:next w:val="Normal"/>
    <w:link w:val="Heading1Char"/>
    <w:uiPriority w:val="99"/>
    <w:qFormat/>
    <w:rsid w:val="004C3DC1"/>
    <w:pPr>
      <w:pBdr>
        <w:top w:val="single" w:sz="24" w:space="0" w:color="AD0101"/>
        <w:left w:val="single" w:sz="24" w:space="0" w:color="AD0101"/>
        <w:bottom w:val="single" w:sz="24" w:space="0" w:color="AD0101"/>
        <w:right w:val="single" w:sz="24" w:space="0" w:color="AD0101"/>
      </w:pBdr>
      <w:shd w:val="clear" w:color="auto" w:fill="AD0101"/>
      <w:spacing w:before="200" w:after="0"/>
      <w:outlineLvl w:val="0"/>
    </w:pPr>
    <w:rPr>
      <w:b/>
      <w:bCs/>
      <w:caps/>
      <w:color w:val="FFFFFF"/>
      <w:spacing w:val="15"/>
      <w:sz w:val="20"/>
      <w:szCs w:val="20"/>
      <w:lang w:val="en-US" w:eastAsia="ja-JP"/>
    </w:rPr>
  </w:style>
  <w:style w:type="paragraph" w:styleId="Heading3">
    <w:name w:val="heading 3"/>
    <w:basedOn w:val="Normal"/>
    <w:next w:val="Normal"/>
    <w:link w:val="Heading3Char"/>
    <w:uiPriority w:val="99"/>
    <w:qFormat/>
    <w:rsid w:val="004C3DC1"/>
    <w:pPr>
      <w:keepNext/>
      <w:keepLines/>
      <w:spacing w:before="40" w:after="0"/>
      <w:outlineLvl w:val="2"/>
    </w:pPr>
    <w:rPr>
      <w:rFonts w:ascii="Cambria" w:hAnsi="Cambria" w:cs="Cambria"/>
      <w:color w:val="243F6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ynergusTable">
    <w:name w:val="Synergus Table"/>
    <w:uiPriority w:val="99"/>
    <w:rsid w:val="00B1361A"/>
    <w:pPr>
      <w:spacing w:after="0" w:line="240" w:lineRule="auto"/>
      <w:jc w:val="both"/>
    </w:pPr>
    <w:rPr>
      <w:rFonts w:ascii="Arial" w:eastAsiaTheme="majorEastAsia" w:hAnsi="Arial" w:cs="Arial"/>
      <w:sz w:val="20"/>
      <w:szCs w:val="20"/>
      <w:lang w:val="en-US" w:eastAsia="ja-JP"/>
    </w:rPr>
    <w:tblPr>
      <w:tblInd w:w="0" w:type="dxa"/>
      <w:tblBorders>
        <w:top w:val="single" w:sz="8" w:space="0" w:color="990000"/>
        <w:left w:val="single" w:sz="8" w:space="0" w:color="990000"/>
        <w:bottom w:val="single" w:sz="8" w:space="0" w:color="990000"/>
        <w:right w:val="single" w:sz="8" w:space="0" w:color="990000"/>
        <w:insideH w:val="single" w:sz="8" w:space="0" w:color="990000"/>
        <w:insideV w:val="single" w:sz="8" w:space="0" w:color="990000"/>
      </w:tblBorders>
      <w:tblCellMar>
        <w:top w:w="0" w:type="dxa"/>
        <w:left w:w="108" w:type="dxa"/>
        <w:bottom w:w="0" w:type="dxa"/>
        <w:right w:w="108" w:type="dxa"/>
      </w:tblCellMar>
    </w:tblPr>
    <w:tblStylePr w:type="firstRow">
      <w:rPr>
        <w:color w:val="FFFFFF" w:themeColor="background1"/>
      </w:rPr>
      <w:tblPr/>
      <w:tcPr>
        <w:tcBorders>
          <w:top w:val="single" w:sz="8" w:space="0" w:color="990000"/>
          <w:left w:val="single" w:sz="8" w:space="0" w:color="990000"/>
          <w:bottom w:val="single" w:sz="8" w:space="0" w:color="990000"/>
          <w:right w:val="single" w:sz="8" w:space="0" w:color="990000"/>
          <w:insideH w:val="single" w:sz="8" w:space="0" w:color="990000"/>
          <w:insideV w:val="single" w:sz="8" w:space="0" w:color="990000"/>
          <w:tl2br w:val="nil"/>
          <w:tr2bl w:val="nil"/>
        </w:tcBorders>
        <w:shd w:val="clear" w:color="auto" w:fill="990000"/>
      </w:tcPr>
    </w:tblStylePr>
  </w:style>
  <w:style w:type="paragraph" w:styleId="NoSpacing">
    <w:name w:val="No Spacing"/>
    <w:link w:val="NoSpacingChar"/>
    <w:uiPriority w:val="99"/>
    <w:qFormat/>
    <w:rsid w:val="004C3DC1"/>
    <w:pPr>
      <w:spacing w:after="0" w:line="240" w:lineRule="auto"/>
    </w:pPr>
    <w:rPr>
      <w:rFonts w:ascii="Calibri" w:eastAsia="Calibri" w:hAnsi="Calibri" w:cs="Calibri"/>
      <w:lang w:val="en-GB" w:eastAsia="en-US"/>
    </w:rPr>
  </w:style>
  <w:style w:type="character" w:customStyle="1" w:styleId="NoSpacingChar">
    <w:name w:val="No Spacing Char"/>
    <w:link w:val="NoSpacing"/>
    <w:uiPriority w:val="99"/>
    <w:rsid w:val="004C3DC1"/>
    <w:rPr>
      <w:rFonts w:ascii="Calibri" w:eastAsia="Calibri" w:hAnsi="Calibri" w:cs="Calibri"/>
      <w:lang w:val="en-GB" w:eastAsia="en-US"/>
    </w:rPr>
  </w:style>
  <w:style w:type="table" w:styleId="TableGrid">
    <w:name w:val="Table Grid"/>
    <w:basedOn w:val="TableNormal"/>
    <w:uiPriority w:val="99"/>
    <w:rsid w:val="004C3DC1"/>
    <w:pPr>
      <w:spacing w:after="0" w:line="240" w:lineRule="auto"/>
    </w:pPr>
    <w:rPr>
      <w:rFonts w:ascii="Calibri" w:eastAsia="Calibri" w:hAnsi="Calibri" w:cs="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4C3DC1"/>
    <w:rPr>
      <w:rFonts w:ascii="Calibri" w:eastAsia="Calibri" w:hAnsi="Calibri" w:cs="Calibri"/>
      <w:b/>
      <w:bCs/>
      <w:caps/>
      <w:color w:val="FFFFFF"/>
      <w:spacing w:val="15"/>
      <w:sz w:val="20"/>
      <w:szCs w:val="20"/>
      <w:shd w:val="clear" w:color="auto" w:fill="AD0101"/>
      <w:lang w:val="en-US" w:eastAsia="ja-JP"/>
    </w:rPr>
  </w:style>
  <w:style w:type="character" w:customStyle="1" w:styleId="Heading3Char">
    <w:name w:val="Heading 3 Char"/>
    <w:link w:val="Heading3"/>
    <w:uiPriority w:val="99"/>
    <w:rsid w:val="004C3DC1"/>
    <w:rPr>
      <w:rFonts w:ascii="Cambria" w:eastAsia="Calibri" w:hAnsi="Cambria" w:cs="Cambria"/>
      <w:color w:val="243F60"/>
      <w:sz w:val="24"/>
      <w:szCs w:val="24"/>
      <w:lang w:val="en-US" w:eastAsia="en-US"/>
    </w:rPr>
  </w:style>
  <w:style w:type="paragraph" w:styleId="ListParagraph">
    <w:name w:val="List Paragraph"/>
    <w:basedOn w:val="Normal"/>
    <w:uiPriority w:val="99"/>
    <w:qFormat/>
    <w:rsid w:val="004C3DC1"/>
    <w:pPr>
      <w:spacing w:after="0" w:line="240" w:lineRule="auto"/>
      <w:ind w:left="720"/>
    </w:pPr>
    <w:rPr>
      <w:rFonts w:ascii="Times New Roman" w:eastAsia="Times New Roman" w:hAnsi="Times New Roman" w:cs="Times New Roman"/>
      <w:sz w:val="24"/>
      <w:szCs w:val="24"/>
      <w:lang w:eastAsia="en-GB"/>
    </w:rPr>
  </w:style>
  <w:style w:type="character" w:styleId="IntenseEmphasis">
    <w:name w:val="Intense Emphasis"/>
    <w:uiPriority w:val="99"/>
    <w:qFormat/>
    <w:rsid w:val="004C3DC1"/>
    <w:rPr>
      <w:b/>
      <w:bCs/>
      <w:caps/>
      <w:color w:val="auto"/>
      <w:spacing w:val="10"/>
    </w:rPr>
  </w:style>
  <w:style w:type="character" w:customStyle="1" w:styleId="apple-converted-space">
    <w:name w:val="apple-converted-space"/>
    <w:basedOn w:val="DefaultParagraphFont"/>
    <w:uiPriority w:val="99"/>
    <w:rsid w:val="004C3DC1"/>
  </w:style>
  <w:style w:type="paragraph" w:styleId="NormalWeb">
    <w:name w:val="Normal (Web)"/>
    <w:basedOn w:val="Normal"/>
    <w:uiPriority w:val="99"/>
    <w:rsid w:val="004C3D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rsid w:val="004C3DC1"/>
    <w:rPr>
      <w:color w:val="0000FF"/>
      <w:u w:val="single"/>
    </w:rPr>
  </w:style>
  <w:style w:type="paragraph" w:styleId="Header">
    <w:name w:val="header"/>
    <w:basedOn w:val="Normal"/>
    <w:link w:val="HeaderChar"/>
    <w:uiPriority w:val="99"/>
    <w:rsid w:val="004C3DC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3DC1"/>
    <w:rPr>
      <w:rFonts w:ascii="Calibri" w:eastAsia="Calibri" w:hAnsi="Calibri" w:cs="Calibri"/>
      <w:lang w:val="en-GB" w:eastAsia="en-US"/>
    </w:rPr>
  </w:style>
  <w:style w:type="paragraph" w:styleId="Footer">
    <w:name w:val="footer"/>
    <w:basedOn w:val="Normal"/>
    <w:link w:val="FooterChar"/>
    <w:uiPriority w:val="99"/>
    <w:rsid w:val="004C3DC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C3DC1"/>
    <w:rPr>
      <w:rFonts w:ascii="Calibri" w:eastAsia="Calibri" w:hAnsi="Calibri" w:cs="Calibri"/>
      <w:lang w:val="en-GB" w:eastAsia="en-US"/>
    </w:rPr>
  </w:style>
  <w:style w:type="paragraph" w:customStyle="1" w:styleId="EndNoteBibliographyTitle">
    <w:name w:val="EndNote Bibliography Title"/>
    <w:basedOn w:val="Normal"/>
    <w:link w:val="EndNoteBibliographyTitleChar"/>
    <w:uiPriority w:val="99"/>
    <w:rsid w:val="004C3DC1"/>
    <w:pPr>
      <w:spacing w:after="0"/>
      <w:jc w:val="center"/>
    </w:pPr>
    <w:rPr>
      <w:noProof/>
      <w:szCs w:val="20"/>
      <w:lang w:val="en-US"/>
    </w:rPr>
  </w:style>
  <w:style w:type="character" w:customStyle="1" w:styleId="EndNoteBibliographyTitleChar">
    <w:name w:val="EndNote Bibliography Title Char"/>
    <w:link w:val="EndNoteBibliographyTitle"/>
    <w:uiPriority w:val="99"/>
    <w:locked/>
    <w:rsid w:val="004C3DC1"/>
    <w:rPr>
      <w:rFonts w:ascii="Calibri" w:eastAsia="Calibri" w:hAnsi="Calibri" w:cs="Calibri"/>
      <w:noProof/>
      <w:szCs w:val="20"/>
      <w:lang w:val="en-US" w:eastAsia="en-US"/>
    </w:rPr>
  </w:style>
  <w:style w:type="paragraph" w:customStyle="1" w:styleId="EndNoteBibliography">
    <w:name w:val="EndNote Bibliography"/>
    <w:basedOn w:val="Normal"/>
    <w:link w:val="EndNoteBibliographyChar"/>
    <w:uiPriority w:val="99"/>
    <w:rsid w:val="004C3DC1"/>
    <w:pPr>
      <w:spacing w:line="240" w:lineRule="auto"/>
    </w:pPr>
    <w:rPr>
      <w:noProof/>
      <w:szCs w:val="20"/>
      <w:lang w:val="en-US"/>
    </w:rPr>
  </w:style>
  <w:style w:type="character" w:customStyle="1" w:styleId="EndNoteBibliographyChar">
    <w:name w:val="EndNote Bibliography Char"/>
    <w:link w:val="EndNoteBibliography"/>
    <w:uiPriority w:val="99"/>
    <w:locked/>
    <w:rsid w:val="004C3DC1"/>
    <w:rPr>
      <w:rFonts w:ascii="Calibri" w:eastAsia="Calibri" w:hAnsi="Calibri" w:cs="Calibri"/>
      <w:noProof/>
      <w:szCs w:val="20"/>
      <w:lang w:val="en-US" w:eastAsia="en-US"/>
    </w:rPr>
  </w:style>
  <w:style w:type="paragraph" w:styleId="BalloonText">
    <w:name w:val="Balloon Text"/>
    <w:basedOn w:val="Normal"/>
    <w:link w:val="BalloonTextChar"/>
    <w:uiPriority w:val="99"/>
    <w:semiHidden/>
    <w:rsid w:val="004C3DC1"/>
    <w:pPr>
      <w:spacing w:after="0" w:line="240" w:lineRule="auto"/>
    </w:pPr>
    <w:rPr>
      <w:rFonts w:ascii="Tahoma" w:hAnsi="Tahoma" w:cs="Tahoma"/>
      <w:sz w:val="16"/>
      <w:szCs w:val="16"/>
      <w:lang w:val="en-US"/>
    </w:rPr>
  </w:style>
  <w:style w:type="character" w:customStyle="1" w:styleId="BalloonTextChar">
    <w:name w:val="Balloon Text Char"/>
    <w:link w:val="BalloonText"/>
    <w:uiPriority w:val="99"/>
    <w:semiHidden/>
    <w:rsid w:val="004C3DC1"/>
    <w:rPr>
      <w:rFonts w:ascii="Tahoma" w:eastAsia="Calibri" w:hAnsi="Tahoma" w:cs="Tahoma"/>
      <w:sz w:val="16"/>
      <w:szCs w:val="16"/>
      <w:lang w:val="en-US" w:eastAsia="en-US"/>
    </w:rPr>
  </w:style>
  <w:style w:type="character" w:styleId="CommentReference">
    <w:name w:val="annotation reference"/>
    <w:uiPriority w:val="99"/>
    <w:semiHidden/>
    <w:rsid w:val="004C3DC1"/>
    <w:rPr>
      <w:sz w:val="16"/>
      <w:szCs w:val="16"/>
    </w:rPr>
  </w:style>
  <w:style w:type="paragraph" w:styleId="CommentText">
    <w:name w:val="annotation text"/>
    <w:basedOn w:val="Normal"/>
    <w:link w:val="CommentTextChar"/>
    <w:uiPriority w:val="99"/>
    <w:semiHidden/>
    <w:rsid w:val="004C3DC1"/>
    <w:pPr>
      <w:spacing w:line="240" w:lineRule="auto"/>
    </w:pPr>
    <w:rPr>
      <w:sz w:val="20"/>
      <w:szCs w:val="20"/>
      <w:lang w:val="en-US"/>
    </w:rPr>
  </w:style>
  <w:style w:type="character" w:customStyle="1" w:styleId="CommentTextChar">
    <w:name w:val="Comment Text Char"/>
    <w:link w:val="CommentText"/>
    <w:uiPriority w:val="99"/>
    <w:semiHidden/>
    <w:rsid w:val="004C3DC1"/>
    <w:rPr>
      <w:rFonts w:ascii="Calibri" w:eastAsia="Calibri" w:hAnsi="Calibri" w:cs="Calibri"/>
      <w:sz w:val="20"/>
      <w:szCs w:val="20"/>
      <w:lang w:val="en-US" w:eastAsia="en-US"/>
    </w:rPr>
  </w:style>
  <w:style w:type="paragraph" w:styleId="CommentSubject">
    <w:name w:val="annotation subject"/>
    <w:basedOn w:val="CommentText"/>
    <w:next w:val="CommentText"/>
    <w:link w:val="CommentSubjectChar"/>
    <w:uiPriority w:val="99"/>
    <w:semiHidden/>
    <w:rsid w:val="004C3DC1"/>
    <w:rPr>
      <w:b/>
      <w:bCs/>
    </w:rPr>
  </w:style>
  <w:style w:type="character" w:customStyle="1" w:styleId="CommentSubjectChar">
    <w:name w:val="Comment Subject Char"/>
    <w:link w:val="CommentSubject"/>
    <w:uiPriority w:val="99"/>
    <w:semiHidden/>
    <w:rsid w:val="004C3DC1"/>
    <w:rPr>
      <w:rFonts w:ascii="Calibri" w:eastAsia="Calibri" w:hAnsi="Calibri" w:cs="Calibri"/>
      <w:b/>
      <w:bCs/>
      <w:sz w:val="20"/>
      <w:szCs w:val="20"/>
      <w:lang w:val="en-US" w:eastAsia="en-US"/>
    </w:rPr>
  </w:style>
  <w:style w:type="character" w:styleId="PlaceholderText">
    <w:name w:val="Placeholder Text"/>
    <w:uiPriority w:val="99"/>
    <w:semiHidden/>
    <w:rsid w:val="004C3DC1"/>
    <w:rPr>
      <w:color w:val="808080"/>
    </w:rPr>
  </w:style>
  <w:style w:type="paragraph" w:styleId="Revision">
    <w:name w:val="Revision"/>
    <w:hidden/>
    <w:uiPriority w:val="99"/>
    <w:semiHidden/>
    <w:rsid w:val="004C3DC1"/>
    <w:pPr>
      <w:spacing w:after="0" w:line="240" w:lineRule="auto"/>
    </w:pPr>
    <w:rPr>
      <w:rFonts w:ascii="Calibri" w:eastAsia="Calibri" w:hAnsi="Calibri" w:cs="Calibri"/>
      <w:lang w:val="en-GB" w:eastAsia="en-US"/>
    </w:rPr>
  </w:style>
  <w:style w:type="paragraph" w:styleId="E-mailSignature">
    <w:name w:val="E-mail Signature"/>
    <w:basedOn w:val="Normal"/>
    <w:link w:val="E-mailSignatureChar"/>
    <w:uiPriority w:val="99"/>
    <w:semiHidden/>
    <w:rsid w:val="004C3DC1"/>
    <w:pPr>
      <w:spacing w:after="0" w:line="240" w:lineRule="auto"/>
    </w:pPr>
    <w:rPr>
      <w:rFonts w:cs="Times New Roman"/>
      <w:sz w:val="24"/>
      <w:szCs w:val="24"/>
      <w:lang w:val="sv-SE" w:eastAsia="sv-SE"/>
    </w:rPr>
  </w:style>
  <w:style w:type="character" w:customStyle="1" w:styleId="E-mailSignatureChar">
    <w:name w:val="E-mail Signature Char"/>
    <w:link w:val="E-mailSignature"/>
    <w:uiPriority w:val="99"/>
    <w:semiHidden/>
    <w:rsid w:val="004C3DC1"/>
    <w:rPr>
      <w:rFonts w:ascii="Calibri" w:eastAsia="Calibri" w:hAnsi="Calibri" w:cs="Times New Roman"/>
      <w:sz w:val="24"/>
      <w:szCs w:val="24"/>
      <w:lang w:eastAsia="sv-SE"/>
    </w:rPr>
  </w:style>
  <w:style w:type="character" w:customStyle="1" w:styleId="affiliation">
    <w:name w:val="affiliation"/>
    <w:basedOn w:val="DefaultParagraphFont"/>
    <w:uiPriority w:val="99"/>
    <w:rsid w:val="004C3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35</Pages>
  <Words>6687</Words>
  <Characters>38120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Rongrong Zhang</dc:creator>
  <cp:keywords/>
  <dc:description/>
  <cp:lastModifiedBy>Oleg Borisenko</cp:lastModifiedBy>
  <cp:revision>16</cp:revision>
  <dcterms:created xsi:type="dcterms:W3CDTF">2014-12-18T13:10:00Z</dcterms:created>
  <dcterms:modified xsi:type="dcterms:W3CDTF">2015-01-20T19:24:00Z</dcterms:modified>
</cp:coreProperties>
</file>