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ECBC2" w14:textId="45CBD049" w:rsidR="00F323AF" w:rsidRPr="00163EDD" w:rsidRDefault="00F323AF" w:rsidP="00F323AF">
      <w:pPr>
        <w:rPr>
          <w:rFonts w:ascii="Arial" w:hAnsi="Arial" w:cs="Arial"/>
          <w:lang w:val="en-GB"/>
        </w:rPr>
      </w:pPr>
      <w:r w:rsidRPr="00163EDD">
        <w:rPr>
          <w:rFonts w:ascii="Arial" w:hAnsi="Arial" w:cs="Arial"/>
          <w:lang w:val="en-GB"/>
        </w:rPr>
        <w:t>Supplemen</w:t>
      </w:r>
      <w:r>
        <w:rPr>
          <w:rFonts w:ascii="Arial" w:hAnsi="Arial" w:cs="Arial"/>
          <w:lang w:val="en-GB"/>
        </w:rPr>
        <w:t xml:space="preserve">tary Table 5: </w:t>
      </w:r>
      <w:r w:rsidRPr="00DD2EC0">
        <w:rPr>
          <w:rFonts w:ascii="Arial" w:eastAsiaTheme="minorEastAsia" w:hAnsi="Arial" w:cs="Arial"/>
          <w:lang w:val="en-GB"/>
        </w:rPr>
        <w:t>Detailed descriptions of inclusion criteria from all included studies</w:t>
      </w:r>
    </w:p>
    <w:p w14:paraId="372BA4DF" w14:textId="77777777" w:rsidR="00F323AF" w:rsidRPr="00163EDD" w:rsidRDefault="00F323AF" w:rsidP="00F323AF">
      <w:pPr>
        <w:rPr>
          <w:rFonts w:ascii="Arial" w:hAnsi="Arial" w:cs="Arial"/>
          <w:lang w:val="en-GB"/>
        </w:rPr>
      </w:pPr>
    </w:p>
    <w:tbl>
      <w:tblPr>
        <w:tblStyle w:val="Listtabell2dekorfrg3"/>
        <w:tblW w:w="9634" w:type="dxa"/>
        <w:tblLook w:val="04A0" w:firstRow="1" w:lastRow="0" w:firstColumn="1" w:lastColumn="0" w:noHBand="0" w:noVBand="1"/>
      </w:tblPr>
      <w:tblGrid>
        <w:gridCol w:w="2694"/>
        <w:gridCol w:w="6940"/>
      </w:tblGrid>
      <w:tr w:rsidR="00F323AF" w:rsidRPr="00163EDD" w14:paraId="2D806918" w14:textId="77777777" w:rsidTr="003759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060DF39" w14:textId="77777777" w:rsidR="00F323AF" w:rsidRPr="00163EDD" w:rsidRDefault="00F323AF" w:rsidP="00375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Author</w:t>
            </w:r>
          </w:p>
        </w:tc>
        <w:tc>
          <w:tcPr>
            <w:tcW w:w="6940" w:type="dxa"/>
          </w:tcPr>
          <w:p w14:paraId="3F6049E0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131413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  <w:t>Definition of inclusion</w:t>
            </w:r>
          </w:p>
          <w:p w14:paraId="6BFEEABE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</w:pPr>
          </w:p>
        </w:tc>
      </w:tr>
      <w:tr w:rsidR="00F323AF" w:rsidRPr="00163EDD" w14:paraId="2B4DF7F5" w14:textId="77777777" w:rsidTr="00375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24C911D" w14:textId="77777777" w:rsidR="00F323AF" w:rsidRPr="00163EDD" w:rsidRDefault="00F323AF" w:rsidP="00375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Al Sabah et al.</w:t>
            </w:r>
          </w:p>
        </w:tc>
        <w:tc>
          <w:tcPr>
            <w:tcW w:w="6940" w:type="dxa"/>
          </w:tcPr>
          <w:p w14:paraId="3E67E5BE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  <w:p w14:paraId="32E58C8E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</w:pPr>
          </w:p>
        </w:tc>
      </w:tr>
      <w:tr w:rsidR="00F323AF" w:rsidRPr="00C52C20" w14:paraId="1439A5C1" w14:textId="77777777" w:rsidTr="00375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92E39B5" w14:textId="77777777" w:rsidR="00F323AF" w:rsidRPr="00163EDD" w:rsidRDefault="00F323AF" w:rsidP="00375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Andalib et al.</w:t>
            </w:r>
          </w:p>
        </w:tc>
        <w:tc>
          <w:tcPr>
            <w:tcW w:w="6940" w:type="dxa"/>
          </w:tcPr>
          <w:p w14:paraId="2D68CE70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 xml:space="preserve">“…defined a </w:t>
            </w:r>
            <w:r w:rsidRPr="00163EDD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failed </w:t>
            </w: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prior SG when any of the following was present at least 1 year after SG: (1) &lt; 50% excess weight loss (EWL); (2) ≥ 20% weight regain of the weight lost”</w:t>
            </w:r>
          </w:p>
          <w:p w14:paraId="28C477EE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323AF" w:rsidRPr="00C52C20" w14:paraId="5352ADBC" w14:textId="77777777" w:rsidTr="00375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02988AC0" w14:textId="77777777" w:rsidR="00F323AF" w:rsidRPr="00163EDD" w:rsidRDefault="00F323AF" w:rsidP="00375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Antonopoulos et al.</w:t>
            </w:r>
          </w:p>
        </w:tc>
        <w:tc>
          <w:tcPr>
            <w:tcW w:w="6940" w:type="dxa"/>
          </w:tcPr>
          <w:p w14:paraId="310F8C9E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“Revisional surgery was proposed in patients with inadequate weight loss EWL≤ 50% or weight regain after SG”</w:t>
            </w:r>
          </w:p>
          <w:p w14:paraId="3C924AF7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323AF" w:rsidRPr="00C52C20" w14:paraId="33AE3913" w14:textId="77777777" w:rsidTr="00375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5DFF47E" w14:textId="77777777" w:rsidR="00F323AF" w:rsidRPr="00163EDD" w:rsidRDefault="00F323AF" w:rsidP="00375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Bashah et al.</w:t>
            </w:r>
          </w:p>
        </w:tc>
        <w:tc>
          <w:tcPr>
            <w:tcW w:w="6940" w:type="dxa"/>
          </w:tcPr>
          <w:p w14:paraId="1BB34E88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“…revisional procedure for weight recidivism post-LSG.”</w:t>
            </w:r>
          </w:p>
          <w:p w14:paraId="48D87931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</w:pPr>
          </w:p>
        </w:tc>
      </w:tr>
      <w:tr w:rsidR="00F323AF" w:rsidRPr="00C52C20" w14:paraId="481CCB83" w14:textId="77777777" w:rsidTr="00375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3DD05370" w14:textId="77777777" w:rsidR="00F323AF" w:rsidRPr="00163EDD" w:rsidRDefault="00F323AF" w:rsidP="00375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Chiappetta et al.</w:t>
            </w:r>
          </w:p>
        </w:tc>
        <w:tc>
          <w:tcPr>
            <w:tcW w:w="6940" w:type="dxa"/>
          </w:tcPr>
          <w:p w14:paraId="7C1DB8BD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“Indications for conversion in the case of insufficient weight loss or weight regain included significant weight regain (&gt; 15%), based upon whether they had gained &gt; 15% of their 1-year postoperative weight, insufficient weight loss with an EWL &lt; 50%”</w:t>
            </w:r>
          </w:p>
          <w:p w14:paraId="1B452EB0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323AF" w:rsidRPr="00163EDD" w14:paraId="20B5F292" w14:textId="77777777" w:rsidTr="00375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3B83590" w14:textId="77777777" w:rsidR="00F323AF" w:rsidRPr="00163EDD" w:rsidRDefault="00F323AF" w:rsidP="00375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Dapri et al.</w:t>
            </w:r>
          </w:p>
        </w:tc>
        <w:tc>
          <w:tcPr>
            <w:tcW w:w="6940" w:type="dxa"/>
          </w:tcPr>
          <w:p w14:paraId="1CEB880B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N/A</w:t>
            </w:r>
          </w:p>
          <w:p w14:paraId="12CEC05A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323AF" w:rsidRPr="00C52C20" w14:paraId="0B2B5307" w14:textId="77777777" w:rsidTr="00375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F279584" w14:textId="77777777" w:rsidR="00F323AF" w:rsidRPr="000B357C" w:rsidRDefault="00F323AF" w:rsidP="003759CF">
            <w:pPr>
              <w:rPr>
                <w:rFonts w:ascii="Arial" w:hAnsi="Arial" w:cs="Arial"/>
                <w:sz w:val="20"/>
                <w:szCs w:val="20"/>
              </w:rPr>
            </w:pPr>
            <w:r w:rsidRPr="000B357C">
              <w:rPr>
                <w:rFonts w:ascii="Arial" w:hAnsi="Arial" w:cs="Arial"/>
                <w:sz w:val="20"/>
                <w:szCs w:val="20"/>
              </w:rPr>
              <w:t>De la Cruz et al.</w:t>
            </w:r>
          </w:p>
        </w:tc>
        <w:tc>
          <w:tcPr>
            <w:tcW w:w="6940" w:type="dxa"/>
          </w:tcPr>
          <w:p w14:paraId="2C9FD7EC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“…primary indication for RBS was exhaustion of the restrictive component with stagnation of weight loss after LSG and a BMI of at least 35 kg/m2 or weight regain”</w:t>
            </w:r>
          </w:p>
        </w:tc>
      </w:tr>
      <w:tr w:rsidR="00F323AF" w:rsidRPr="00C52C20" w14:paraId="3890E9ED" w14:textId="77777777" w:rsidTr="00375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81CE24D" w14:textId="77777777" w:rsidR="00F323AF" w:rsidRPr="00163EDD" w:rsidRDefault="00F323AF" w:rsidP="00375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Dijkhorst et al.</w:t>
            </w:r>
          </w:p>
        </w:tc>
        <w:tc>
          <w:tcPr>
            <w:tcW w:w="6940" w:type="dxa"/>
          </w:tcPr>
          <w:p w14:paraId="272264A3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  <w:t>“…BMI &gt;35kg/m2, and all other criteria described in the European guidelines for bariatric surgery”</w:t>
            </w:r>
          </w:p>
          <w:p w14:paraId="6D7B91AF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</w:pPr>
          </w:p>
        </w:tc>
      </w:tr>
      <w:tr w:rsidR="00F323AF" w:rsidRPr="00C52C20" w14:paraId="198A6DDE" w14:textId="77777777" w:rsidTr="00375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2A6AEC9C" w14:textId="77777777" w:rsidR="00F323AF" w:rsidRPr="00163EDD" w:rsidRDefault="00F323AF" w:rsidP="00375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Homan et al.</w:t>
            </w:r>
          </w:p>
        </w:tc>
        <w:tc>
          <w:tcPr>
            <w:tcW w:w="6940" w:type="dxa"/>
          </w:tcPr>
          <w:p w14:paraId="6303E966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  <w:t>“Progressive weight regain was defined as &gt; 25% EWL regain with respect to the minimal weight after LSG, or when a patient met the criteria for bariatric surgery again, established by the International Federation for the Surgery of Obesity. Insufficient weight loss was defined as &lt; 50% EWL without weight regain, or a when the International Federation for the Surgery of Obesity criteria for bariatric surgery were still met.”</w:t>
            </w:r>
          </w:p>
          <w:p w14:paraId="281DC7E5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</w:pPr>
          </w:p>
        </w:tc>
      </w:tr>
      <w:tr w:rsidR="00F323AF" w:rsidRPr="00C52C20" w14:paraId="62603002" w14:textId="77777777" w:rsidTr="00375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6EA590AC" w14:textId="77777777" w:rsidR="00F323AF" w:rsidRPr="00163EDD" w:rsidRDefault="00F323AF" w:rsidP="00375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Kraljević et al.</w:t>
            </w:r>
          </w:p>
        </w:tc>
        <w:tc>
          <w:tcPr>
            <w:tcW w:w="6940" w:type="dxa"/>
          </w:tcPr>
          <w:p w14:paraId="60AC0B12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  <w:t>“Weight loss failure was defined as a %EWL&lt; 50% or a body mass index (BMI) &gt; 35 kg/m2 with persistence or recurrence of comorbidities”</w:t>
            </w:r>
          </w:p>
          <w:p w14:paraId="4331A3A8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</w:pPr>
          </w:p>
        </w:tc>
      </w:tr>
      <w:tr w:rsidR="00F323AF" w:rsidRPr="00C52C20" w14:paraId="72EFE790" w14:textId="77777777" w:rsidTr="003759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1F1E9D9C" w14:textId="77777777" w:rsidR="00F323AF" w:rsidRPr="00163EDD" w:rsidRDefault="00F323AF" w:rsidP="00375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Rayman et al.</w:t>
            </w:r>
          </w:p>
        </w:tc>
        <w:tc>
          <w:tcPr>
            <w:tcW w:w="6940" w:type="dxa"/>
          </w:tcPr>
          <w:p w14:paraId="74913E30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  <w:t>“IWL was defined as failure to achieve a 50%excess weight loss (%EWL) at nadir weight following primary LSG, and WR was defined as achieving an initial 50% EWL but eventually regaining weight.”</w:t>
            </w:r>
          </w:p>
          <w:p w14:paraId="030BB373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</w:pPr>
          </w:p>
        </w:tc>
      </w:tr>
      <w:tr w:rsidR="00F323AF" w:rsidRPr="00C52C20" w14:paraId="1C85E2A3" w14:textId="77777777" w:rsidTr="003759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89386A2" w14:textId="77777777" w:rsidR="00F323AF" w:rsidRPr="00163EDD" w:rsidRDefault="00F323AF" w:rsidP="003759C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sz w:val="20"/>
                <w:szCs w:val="20"/>
                <w:lang w:val="en-GB"/>
              </w:rPr>
              <w:t>Shimon et al.</w:t>
            </w:r>
          </w:p>
        </w:tc>
        <w:tc>
          <w:tcPr>
            <w:tcW w:w="6940" w:type="dxa"/>
          </w:tcPr>
          <w:p w14:paraId="4EA0E76B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</w:pPr>
            <w:r w:rsidRPr="00163EDD"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  <w:t>“Indication for revision was failure of weight loss (insufficient weight loss (IWL)) or weight regain reflected by a body mass index (BMI) &gt; 35 kg/m2…”</w:t>
            </w:r>
          </w:p>
          <w:p w14:paraId="0DDAC360" w14:textId="77777777" w:rsidR="00F323AF" w:rsidRPr="00163EDD" w:rsidRDefault="00F323AF" w:rsidP="003759C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131413"/>
                <w:sz w:val="20"/>
                <w:szCs w:val="20"/>
                <w:lang w:val="en-GB"/>
              </w:rPr>
            </w:pPr>
          </w:p>
        </w:tc>
      </w:tr>
    </w:tbl>
    <w:p w14:paraId="2D1789FC" w14:textId="77777777" w:rsidR="004A54A4" w:rsidRPr="00F323AF" w:rsidRDefault="00F323AF">
      <w:pPr>
        <w:rPr>
          <w:lang w:val="en-US"/>
        </w:rPr>
      </w:pPr>
    </w:p>
    <w:sectPr w:rsidR="004A54A4" w:rsidRPr="00F32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AF"/>
    <w:rsid w:val="003C2ADA"/>
    <w:rsid w:val="00475B8A"/>
    <w:rsid w:val="00584B32"/>
    <w:rsid w:val="00F3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E394D"/>
  <w15:chartTrackingRefBased/>
  <w15:docId w15:val="{8C6EDEB0-DDCC-4959-9CA8-19F9145E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3AF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Listtabell2dekorfrg3">
    <w:name w:val="List Table 2 Accent 3"/>
    <w:basedOn w:val="Normaltabell"/>
    <w:uiPriority w:val="47"/>
    <w:rsid w:val="00F323A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Axer</dc:creator>
  <cp:keywords/>
  <dc:description/>
  <cp:lastModifiedBy>Stephan Axer</cp:lastModifiedBy>
  <cp:revision>1</cp:revision>
  <dcterms:created xsi:type="dcterms:W3CDTF">2022-07-25T12:36:00Z</dcterms:created>
  <dcterms:modified xsi:type="dcterms:W3CDTF">2022-07-25T12:39:00Z</dcterms:modified>
</cp:coreProperties>
</file>