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7A7" w:rsidRPr="0024147C" w:rsidRDefault="00F927A7" w:rsidP="00F927A7">
      <w:pPr>
        <w:spacing w:after="0"/>
        <w:rPr>
          <w:rFonts w:eastAsia="Times New Roman" w:cs="Times New Roman"/>
          <w:kern w:val="0"/>
          <w:sz w:val="34"/>
          <w:szCs w:val="34"/>
          <w:lang w:val="en-US"/>
          <w14:ligatures w14:val="none"/>
        </w:rPr>
      </w:pPr>
      <w:r w:rsidRPr="0024147C">
        <w:rPr>
          <w:rFonts w:eastAsia="Times New Roman" w:cs="Times New Roman"/>
          <w:kern w:val="0"/>
          <w:sz w:val="34"/>
          <w:szCs w:val="34"/>
          <w:lang w:val="en-US"/>
          <w14:ligatures w14:val="none"/>
        </w:rPr>
        <w:t xml:space="preserve">Supplementary </w:t>
      </w:r>
      <w:bookmarkStart w:id="0" w:name="_GoBack"/>
      <w:bookmarkEnd w:id="0"/>
      <w:r w:rsidRPr="0024147C">
        <w:rPr>
          <w:rFonts w:eastAsia="Times New Roman" w:cs="Times New Roman"/>
          <w:kern w:val="0"/>
          <w:sz w:val="34"/>
          <w:szCs w:val="34"/>
          <w:lang w:val="en-US"/>
          <w14:ligatures w14:val="none"/>
        </w:rPr>
        <w:t>Information</w:t>
      </w:r>
    </w:p>
    <w:p w:rsidR="00F927A7" w:rsidRPr="0024147C" w:rsidRDefault="00F927A7" w:rsidP="00F927A7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4147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Supplementary table 1. Complementary weight-related outcomes five years after surgery for RYGB vs. raRYGB</w:t>
      </w:r>
    </w:p>
    <w:tbl>
      <w:tblPr>
        <w:tblStyle w:val="PlainTable51"/>
        <w:tblW w:w="3114" w:type="pct"/>
        <w:tblLook w:val="04A0" w:firstRow="1" w:lastRow="0" w:firstColumn="1" w:lastColumn="0" w:noHBand="0" w:noVBand="1"/>
      </w:tblPr>
      <w:tblGrid>
        <w:gridCol w:w="2197"/>
        <w:gridCol w:w="2357"/>
        <w:gridCol w:w="1275"/>
      </w:tblGrid>
      <w:tr w:rsidR="00F927A7" w:rsidRPr="007A5308" w:rsidTr="00FA5A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4" w:type="pct"/>
            <w:tcBorders>
              <w:bottom w:val="single" w:sz="4" w:space="0" w:color="auto"/>
            </w:tcBorders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2022" w:type="pct"/>
            <w:tcBorders>
              <w:bottom w:val="single" w:sz="4" w:space="0" w:color="auto"/>
            </w:tcBorders>
            <w:shd w:val="clear" w:color="auto" w:fill="auto"/>
          </w:tcPr>
          <w:p w:rsidR="00F927A7" w:rsidRPr="0024147C" w:rsidRDefault="00F927A7" w:rsidP="00FA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RYGB</w:t>
            </w:r>
          </w:p>
        </w:tc>
        <w:tc>
          <w:tcPr>
            <w:tcW w:w="1095" w:type="pct"/>
            <w:tcBorders>
              <w:bottom w:val="single" w:sz="4" w:space="0" w:color="auto"/>
            </w:tcBorders>
            <w:shd w:val="clear" w:color="auto" w:fill="auto"/>
          </w:tcPr>
          <w:p w:rsidR="00F927A7" w:rsidRPr="0024147C" w:rsidRDefault="00F927A7" w:rsidP="00FA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 w:val="0"/>
                <w:iCs w:val="0"/>
                <w:sz w:val="24"/>
                <w:szCs w:val="24"/>
                <w:lang w:val="en-US"/>
              </w:rPr>
            </w:pPr>
            <w:r w:rsidRPr="0024147C">
              <w:rPr>
                <w:rFonts w:cstheme="minorHAnsi"/>
                <w:b/>
                <w:bCs/>
                <w:sz w:val="24"/>
                <w:szCs w:val="24"/>
                <w:lang w:val="en-US"/>
              </w:rPr>
              <w:t>raRYGB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b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(N = 296)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24147C">
              <w:rPr>
                <w:rFonts w:cstheme="minorHAnsi"/>
                <w:b/>
                <w:bCs/>
                <w:sz w:val="24"/>
                <w:szCs w:val="24"/>
                <w:lang w:val="en-US"/>
              </w:rPr>
              <w:t>(N = 296)</w:t>
            </w: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Continuous outcomes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i w:val="0"/>
                <w:iCs w:val="0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%TWL (mean, SD)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28.0 (9.7)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31.5 (8.8)</w:t>
            </w: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%EWL (mean, SD)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70.8 (25.1)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79.9 (23.5)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ΔBMI (mean, SD)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12.0 (4.6)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13.6 (4.3)</w:t>
            </w: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Dichotomous outcomes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b/>
                <w:bCs/>
                <w:i w:val="0"/>
                <w:iCs w:val="0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≥20 %TWL (n, %)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236 (79.7)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263 (88.9)</w:t>
            </w: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≥25 %TWL (n, %)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180 (60.8)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234 (79.1)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:rsidR="00F927A7" w:rsidRPr="0024147C" w:rsidRDefault="00F927A7" w:rsidP="00FA5A6C">
            <w:pPr>
              <w:jc w:val="left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≥ 50% EWL (n, %)</w:t>
            </w:r>
          </w:p>
        </w:tc>
        <w:tc>
          <w:tcPr>
            <w:tcW w:w="2022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sz w:val="24"/>
                <w:szCs w:val="24"/>
                <w:lang w:val="en-US"/>
              </w:rPr>
              <w:t>238 (80.4)</w:t>
            </w:r>
          </w:p>
        </w:tc>
        <w:tc>
          <w:tcPr>
            <w:tcW w:w="1095" w:type="pct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24147C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265 (89.5)</w:t>
            </w:r>
          </w:p>
        </w:tc>
      </w:tr>
    </w:tbl>
    <w:p w:rsidR="00F927A7" w:rsidRPr="0024147C" w:rsidRDefault="00F927A7" w:rsidP="00F927A7">
      <w:pPr>
        <w:spacing w:after="0"/>
        <w:rPr>
          <w:rFonts w:ascii="Aptos" w:hAnsi="Aptos" w:cs="Calibri"/>
          <w:sz w:val="24"/>
          <w:szCs w:val="24"/>
          <w:lang w:val="en-US"/>
        </w:rPr>
      </w:pPr>
      <w:r w:rsidRPr="0024147C">
        <w:rPr>
          <w:sz w:val="24"/>
          <w:szCs w:val="24"/>
          <w:lang w:val="en-US"/>
        </w:rPr>
        <w:t xml:space="preserve">RYGB = Roux-en-Y gastric bypass, raRYGB = ring augmented Roux-en-Y gastric bypass, N = number of patients,  %TWL = percentage total weight loss, %EWL = percentage excess weight loss, </w:t>
      </w:r>
      <w:r w:rsidRPr="0024147C">
        <w:rPr>
          <w:rFonts w:ascii="Calibri" w:hAnsi="Calibri" w:cs="Calibri"/>
          <w:sz w:val="24"/>
          <w:szCs w:val="24"/>
          <w:lang w:val="en-US"/>
        </w:rPr>
        <w:t>Δ</w:t>
      </w:r>
      <w:r w:rsidRPr="0024147C">
        <w:rPr>
          <w:rFonts w:ascii="Aptos" w:hAnsi="Aptos" w:cs="Calibri"/>
          <w:sz w:val="24"/>
          <w:szCs w:val="24"/>
          <w:lang w:val="en-US"/>
        </w:rPr>
        <w:t>BMI = absolute change in body mass index (kg/m</w:t>
      </w:r>
      <w:r w:rsidRPr="0024147C">
        <w:rPr>
          <w:rFonts w:ascii="Aptos" w:hAnsi="Aptos" w:cs="Calibri"/>
          <w:sz w:val="24"/>
          <w:szCs w:val="24"/>
          <w:vertAlign w:val="superscript"/>
          <w:lang w:val="en-US"/>
        </w:rPr>
        <w:t>2</w:t>
      </w:r>
      <w:r w:rsidRPr="0024147C">
        <w:rPr>
          <w:rFonts w:ascii="Aptos" w:hAnsi="Aptos" w:cs="Calibri"/>
          <w:sz w:val="24"/>
          <w:szCs w:val="24"/>
          <w:lang w:val="en-US"/>
        </w:rPr>
        <w:t>), SD = standard deviation.</w:t>
      </w:r>
    </w:p>
    <w:p w:rsidR="00F927A7" w:rsidRPr="00D67DD2" w:rsidRDefault="00F927A7" w:rsidP="00F927A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927A7" w:rsidRPr="0024147C" w:rsidRDefault="00F927A7" w:rsidP="00F927A7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  <w:r w:rsidRPr="0024147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Supplementary table 2. Availability of obesity complication status at 5 years, calculated over the number of patients who had the obesity complication preoperatively.</w:t>
      </w:r>
    </w:p>
    <w:p w:rsidR="00F927A7" w:rsidRPr="0024147C" w:rsidRDefault="00F927A7" w:rsidP="00F927A7">
      <w:pPr>
        <w:spacing w:after="0"/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2233"/>
        <w:gridCol w:w="671"/>
        <w:gridCol w:w="1187"/>
        <w:gridCol w:w="1516"/>
      </w:tblGrid>
      <w:tr w:rsidR="00F927A7" w:rsidRPr="007A5308" w:rsidTr="00FA5A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i w:val="0"/>
                <w:iCs w:val="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:rsidR="00F927A7" w:rsidRPr="0024147C" w:rsidRDefault="00F927A7" w:rsidP="00FA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i w:val="0"/>
                <w:iCs w:val="0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N</w:t>
            </w:r>
          </w:p>
        </w:tc>
        <w:tc>
          <w:tcPr>
            <w:tcW w:w="2703" w:type="dxa"/>
            <w:gridSpan w:val="2"/>
          </w:tcPr>
          <w:p w:rsidR="00F927A7" w:rsidRPr="0024147C" w:rsidRDefault="00F927A7" w:rsidP="00FA5A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/>
                <w:bCs/>
                <w:i w:val="0"/>
                <w:iCs w:val="0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Registered obesity complication status at 5 years (%)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187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RYGB</w:t>
            </w:r>
          </w:p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16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raRYGB</w:t>
            </w:r>
          </w:p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Diabetes mellitus</w:t>
            </w: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cstheme="minorHAnsi"/>
                <w:i/>
                <w:sz w:val="24"/>
                <w:szCs w:val="24"/>
                <w:lang w:val="en-US"/>
              </w:rPr>
              <w:t>115</w:t>
            </w:r>
          </w:p>
        </w:tc>
        <w:tc>
          <w:tcPr>
            <w:tcW w:w="1187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87.5</w:t>
            </w:r>
          </w:p>
        </w:tc>
        <w:tc>
          <w:tcPr>
            <w:tcW w:w="1516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79.9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Hypertension</w:t>
            </w: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cstheme="minorHAnsi"/>
                <w:i/>
                <w:sz w:val="24"/>
                <w:szCs w:val="24"/>
                <w:lang w:val="en-US"/>
              </w:rPr>
              <w:t>211</w:t>
            </w:r>
          </w:p>
        </w:tc>
        <w:tc>
          <w:tcPr>
            <w:tcW w:w="1187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89.0</w:t>
            </w:r>
          </w:p>
        </w:tc>
        <w:tc>
          <w:tcPr>
            <w:tcW w:w="1516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77.5</w:t>
            </w: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Dyslipidemia</w:t>
            </w: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cstheme="minorHAnsi"/>
                <w:i/>
                <w:sz w:val="24"/>
                <w:szCs w:val="24"/>
                <w:lang w:val="en-US"/>
              </w:rPr>
              <w:t>120</w:t>
            </w:r>
          </w:p>
        </w:tc>
        <w:tc>
          <w:tcPr>
            <w:tcW w:w="1187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70.5</w:t>
            </w:r>
          </w:p>
        </w:tc>
        <w:tc>
          <w:tcPr>
            <w:tcW w:w="1516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81.4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OSAS</w:t>
            </w: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cstheme="minorHAnsi"/>
                <w:i/>
                <w:sz w:val="24"/>
                <w:szCs w:val="24"/>
                <w:lang w:val="en-US"/>
              </w:rPr>
              <w:t>102</w:t>
            </w:r>
          </w:p>
        </w:tc>
        <w:tc>
          <w:tcPr>
            <w:tcW w:w="1187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72.0</w:t>
            </w:r>
          </w:p>
        </w:tc>
        <w:tc>
          <w:tcPr>
            <w:tcW w:w="1516" w:type="dxa"/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78.8</w:t>
            </w:r>
          </w:p>
        </w:tc>
      </w:tr>
      <w:tr w:rsidR="00F927A7" w:rsidRPr="007A5308" w:rsidTr="00FA5A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GERD</w:t>
            </w:r>
          </w:p>
        </w:tc>
        <w:tc>
          <w:tcPr>
            <w:tcW w:w="671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cstheme="minorHAnsi"/>
                <w:i/>
                <w:sz w:val="24"/>
                <w:szCs w:val="24"/>
                <w:lang w:val="en-US"/>
              </w:rPr>
              <w:t>96</w:t>
            </w:r>
          </w:p>
        </w:tc>
        <w:tc>
          <w:tcPr>
            <w:tcW w:w="1187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43.8</w:t>
            </w:r>
          </w:p>
        </w:tc>
        <w:tc>
          <w:tcPr>
            <w:tcW w:w="1516" w:type="dxa"/>
          </w:tcPr>
          <w:p w:rsidR="00F927A7" w:rsidRPr="0024147C" w:rsidRDefault="00F927A7" w:rsidP="00FA5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31.3</w:t>
            </w:r>
          </w:p>
        </w:tc>
      </w:tr>
      <w:tr w:rsidR="00F927A7" w:rsidRPr="007A5308" w:rsidTr="00FA5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:rsidR="00F927A7" w:rsidRPr="0024147C" w:rsidRDefault="00F927A7" w:rsidP="00FA5A6C">
            <w:pPr>
              <w:jc w:val="left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 xml:space="preserve">Musculoskeletal pain 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cstheme="minorHAnsi"/>
                <w:i/>
                <w:sz w:val="24"/>
                <w:szCs w:val="24"/>
                <w:lang w:val="en-US"/>
              </w:rPr>
              <w:t>377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61.6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F927A7" w:rsidRPr="0024147C" w:rsidRDefault="00F927A7" w:rsidP="00FA5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 w:rsidRPr="0024147C">
              <w:rPr>
                <w:rFonts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69.5</w:t>
            </w:r>
          </w:p>
        </w:tc>
      </w:tr>
    </w:tbl>
    <w:p w:rsidR="00F927A7" w:rsidRPr="00D67DD2" w:rsidRDefault="00F927A7" w:rsidP="00F927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4147C">
        <w:rPr>
          <w:rFonts w:eastAsia="Times New Roman" w:cs="Times New Roman"/>
          <w:kern w:val="0"/>
          <w:sz w:val="24"/>
          <w:szCs w:val="24"/>
          <w:lang w:val="en-US"/>
          <w14:ligatures w14:val="none"/>
        </w:rPr>
        <w:t>RYGB = regular Roux-en-Y gastric bypass, raRYGB = ring augmented Roux-en-Y gastric bypass, N = number of patients with the obesity complication at baseline, OSAS = obstructive sleep apnea syndrome, GERD = gastro-esophageal reflux disease.</w:t>
      </w:r>
    </w:p>
    <w:p w:rsidR="00F927A7" w:rsidRDefault="00F927A7" w:rsidP="00F927A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0E3B92" w:rsidRDefault="000E3B92"/>
    <w:sectPr w:rsidR="000E3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A7"/>
    <w:rsid w:val="00096052"/>
    <w:rsid w:val="000E3B92"/>
    <w:rsid w:val="00133882"/>
    <w:rsid w:val="00193DE8"/>
    <w:rsid w:val="001D145D"/>
    <w:rsid w:val="001D3977"/>
    <w:rsid w:val="001F6006"/>
    <w:rsid w:val="0022434A"/>
    <w:rsid w:val="00227F41"/>
    <w:rsid w:val="0023103B"/>
    <w:rsid w:val="002543DA"/>
    <w:rsid w:val="00266B16"/>
    <w:rsid w:val="002A0FCF"/>
    <w:rsid w:val="002A5B9E"/>
    <w:rsid w:val="003251E1"/>
    <w:rsid w:val="0037715B"/>
    <w:rsid w:val="00383AB3"/>
    <w:rsid w:val="003C3FDA"/>
    <w:rsid w:val="003D7943"/>
    <w:rsid w:val="0042176B"/>
    <w:rsid w:val="00431082"/>
    <w:rsid w:val="00432483"/>
    <w:rsid w:val="00457A40"/>
    <w:rsid w:val="004C4A2E"/>
    <w:rsid w:val="00504B84"/>
    <w:rsid w:val="00507668"/>
    <w:rsid w:val="00537160"/>
    <w:rsid w:val="005462BF"/>
    <w:rsid w:val="0055616E"/>
    <w:rsid w:val="00563B90"/>
    <w:rsid w:val="00573D83"/>
    <w:rsid w:val="005B4861"/>
    <w:rsid w:val="005E6440"/>
    <w:rsid w:val="005F6D87"/>
    <w:rsid w:val="00622C72"/>
    <w:rsid w:val="00650944"/>
    <w:rsid w:val="006B7EAC"/>
    <w:rsid w:val="007037E1"/>
    <w:rsid w:val="00736A43"/>
    <w:rsid w:val="007400A5"/>
    <w:rsid w:val="00740132"/>
    <w:rsid w:val="0074239F"/>
    <w:rsid w:val="00786F41"/>
    <w:rsid w:val="007876B6"/>
    <w:rsid w:val="007B77DE"/>
    <w:rsid w:val="007E7D09"/>
    <w:rsid w:val="008019BE"/>
    <w:rsid w:val="008B4F60"/>
    <w:rsid w:val="008C6762"/>
    <w:rsid w:val="009513E9"/>
    <w:rsid w:val="00962053"/>
    <w:rsid w:val="00963834"/>
    <w:rsid w:val="009C2B4F"/>
    <w:rsid w:val="009D4C6F"/>
    <w:rsid w:val="009F21C6"/>
    <w:rsid w:val="009F325F"/>
    <w:rsid w:val="00A250A7"/>
    <w:rsid w:val="00A366DF"/>
    <w:rsid w:val="00A54204"/>
    <w:rsid w:val="00A775FC"/>
    <w:rsid w:val="00A77A60"/>
    <w:rsid w:val="00AA60DC"/>
    <w:rsid w:val="00AB7E5A"/>
    <w:rsid w:val="00B44305"/>
    <w:rsid w:val="00B6447C"/>
    <w:rsid w:val="00B77399"/>
    <w:rsid w:val="00BA17E5"/>
    <w:rsid w:val="00BA31E3"/>
    <w:rsid w:val="00BC14DA"/>
    <w:rsid w:val="00BC6C05"/>
    <w:rsid w:val="00C57732"/>
    <w:rsid w:val="00C82178"/>
    <w:rsid w:val="00CD7D19"/>
    <w:rsid w:val="00CE6112"/>
    <w:rsid w:val="00D014C0"/>
    <w:rsid w:val="00D103F3"/>
    <w:rsid w:val="00D14CD2"/>
    <w:rsid w:val="00D17F9A"/>
    <w:rsid w:val="00D560FD"/>
    <w:rsid w:val="00D615DD"/>
    <w:rsid w:val="00D72F52"/>
    <w:rsid w:val="00D93D7E"/>
    <w:rsid w:val="00D973AF"/>
    <w:rsid w:val="00DC5592"/>
    <w:rsid w:val="00DF23E2"/>
    <w:rsid w:val="00F308CC"/>
    <w:rsid w:val="00F3371C"/>
    <w:rsid w:val="00F34DEF"/>
    <w:rsid w:val="00F40D20"/>
    <w:rsid w:val="00F44663"/>
    <w:rsid w:val="00F84B35"/>
    <w:rsid w:val="00F927A7"/>
    <w:rsid w:val="00FD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76EF6-582B-4DC2-A795-5A56FCD0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7A7"/>
    <w:pPr>
      <w:spacing w:line="480" w:lineRule="auto"/>
    </w:pPr>
    <w:rPr>
      <w:kern w:val="2"/>
      <w:lang w:val="nl-N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927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7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7A7"/>
    <w:rPr>
      <w:kern w:val="2"/>
      <w:sz w:val="20"/>
      <w:szCs w:val="20"/>
      <w:lang w:val="nl-NL"/>
      <w14:ligatures w14:val="standardContextual"/>
    </w:rPr>
  </w:style>
  <w:style w:type="table" w:customStyle="1" w:styleId="PlainTable51">
    <w:name w:val="Plain Table 51"/>
    <w:basedOn w:val="TableNormal"/>
    <w:uiPriority w:val="45"/>
    <w:rsid w:val="00F927A7"/>
    <w:pPr>
      <w:spacing w:after="0" w:line="240" w:lineRule="auto"/>
    </w:pPr>
    <w:rPr>
      <w:kern w:val="2"/>
      <w:lang w:val="nl-NL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92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7A7"/>
    <w:rPr>
      <w:rFonts w:ascii="Segoe UI" w:hAnsi="Segoe UI" w:cs="Segoe UI"/>
      <w:kern w:val="2"/>
      <w:sz w:val="18"/>
      <w:szCs w:val="18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Quinnie Oriola</dc:creator>
  <cp:keywords/>
  <dc:description/>
  <cp:lastModifiedBy>Quinnie Oriola</cp:lastModifiedBy>
  <cp:revision>1</cp:revision>
  <dcterms:created xsi:type="dcterms:W3CDTF">2025-01-21T00:23:00Z</dcterms:created>
  <dcterms:modified xsi:type="dcterms:W3CDTF">2025-01-21T00:23:00Z</dcterms:modified>
</cp:coreProperties>
</file>