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562" w14:textId="478D69A0" w:rsidR="00DC28B7" w:rsidRPr="00EE315C" w:rsidRDefault="00DC28B7" w:rsidP="00DC28B7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Appendix 1:  </w:t>
      </w:r>
      <w:r w:rsidRPr="00DE0AF8">
        <w:rPr>
          <w:b/>
          <w:bCs/>
          <w:color w:val="FF0000"/>
        </w:rPr>
        <w:t>Nutritional Management Phases Overview</w:t>
      </w:r>
      <w:r>
        <w:rPr>
          <w:b/>
          <w:bCs/>
          <w:color w:val="FF0000"/>
        </w:rPr>
        <w:t xml:space="preserve"> and </w:t>
      </w:r>
      <w:r w:rsidRPr="00EE315C">
        <w:rPr>
          <w:b/>
          <w:bCs/>
          <w:color w:val="FF0000"/>
        </w:rPr>
        <w:t>Laboratory Evidence of Nutritional Improvement</w:t>
      </w:r>
      <w:r>
        <w:rPr>
          <w:b/>
          <w:bCs/>
          <w:color w:val="FF0000"/>
        </w:rPr>
        <w:t xml:space="preserve">. </w:t>
      </w:r>
    </w:p>
    <w:p w14:paraId="47DFD646" w14:textId="52BED9A6" w:rsidR="00DC28B7" w:rsidRPr="00DE0AF8" w:rsidRDefault="00DC28B7" w:rsidP="00DC28B7">
      <w:pPr>
        <w:rPr>
          <w:color w:val="FF0000"/>
        </w:rPr>
      </w:pPr>
    </w:p>
    <w:p w14:paraId="55101027" w14:textId="712C1BC9" w:rsidR="00DC28B7" w:rsidRDefault="00DC28B7" w:rsidP="00DC28B7">
      <w:pPr>
        <w:rPr>
          <w:b/>
          <w:bCs/>
          <w:color w:val="FF0000"/>
        </w:rPr>
      </w:pPr>
    </w:p>
    <w:p w14:paraId="644883CE" w14:textId="77777777" w:rsidR="00DC28B7" w:rsidRPr="00DE0AF8" w:rsidRDefault="00DC28B7" w:rsidP="00DC28B7">
      <w:pPr>
        <w:rPr>
          <w:color w:val="FF0000"/>
        </w:rPr>
      </w:pPr>
      <w:r w:rsidRPr="00DE0AF8">
        <w:rPr>
          <w:b/>
          <w:bCs/>
          <w:color w:val="FF0000"/>
        </w:rPr>
        <w:t>Nutritional Management Phases Overview:</w:t>
      </w:r>
    </w:p>
    <w:p w14:paraId="4CF5554B" w14:textId="77777777" w:rsidR="00DC28B7" w:rsidRPr="00DE0AF8" w:rsidRDefault="00DC28B7" w:rsidP="00DC28B7">
      <w:pPr>
        <w:rPr>
          <w:color w:val="FF0000"/>
        </w:rPr>
      </w:pPr>
      <w:r w:rsidRPr="00DE0AF8">
        <w:rPr>
          <w:b/>
          <w:bCs/>
          <w:color w:val="FF0000"/>
        </w:rPr>
        <w:t>Phase 1 (Week 1): Stabilization &amp; Clear Liquids</w:t>
      </w:r>
      <w:r w:rsidRPr="00DE0AF8">
        <w:rPr>
          <w:color w:val="FF0000"/>
        </w:rPr>
        <w:t xml:space="preserve"> - IV fluid support with thiamine supplementation to prevent Wernicke's encephalopathy. Gradual introduction of clear liquids (sugar-free broths, electrolyte solutions) progressing to full liquids with protein supplements. Target: 60-80g protein/day from liquid sources.</w:t>
      </w:r>
    </w:p>
    <w:p w14:paraId="7AD607D1" w14:textId="77777777" w:rsidR="00DC28B7" w:rsidRPr="00DE0AF8" w:rsidRDefault="00DC28B7" w:rsidP="00DC28B7">
      <w:pPr>
        <w:rPr>
          <w:color w:val="FF0000"/>
        </w:rPr>
      </w:pPr>
      <w:r w:rsidRPr="00DE0AF8">
        <w:rPr>
          <w:b/>
          <w:bCs/>
          <w:color w:val="FF0000"/>
        </w:rPr>
        <w:t>Phase 2 (Week 2): Pureed Diet Advancement</w:t>
      </w:r>
      <w:r w:rsidRPr="00DE0AF8">
        <w:rPr>
          <w:color w:val="FF0000"/>
        </w:rPr>
        <w:t xml:space="preserve"> - Introduction of pureed foods (pureed lean meats, eggs, soft fish, cottage cheese) while maintaining liquid protein supplements. Micronutrient repletion initiated with oral iron, B12 injections, and bariatric multivitamins. Target: 100g protein/day, ~1200-1500 kcal/day.</w:t>
      </w:r>
    </w:p>
    <w:p w14:paraId="7FF6DA81" w14:textId="77777777" w:rsidR="00DC28B7" w:rsidRPr="00DE0AF8" w:rsidRDefault="00DC28B7" w:rsidP="00DC28B7">
      <w:pPr>
        <w:rPr>
          <w:color w:val="FF0000"/>
        </w:rPr>
      </w:pPr>
      <w:r w:rsidRPr="00DE0AF8">
        <w:rPr>
          <w:b/>
          <w:bCs/>
          <w:color w:val="FF0000"/>
        </w:rPr>
        <w:t>Phase 3 (Week 3): Soft Solid Foods</w:t>
      </w:r>
      <w:r w:rsidRPr="00DE0AF8">
        <w:rPr>
          <w:color w:val="FF0000"/>
        </w:rPr>
        <w:t xml:space="preserve"> - Progression to soft, minced foods requiring gentle chewing. Continued emphasis on protein-first approach with tender meats, soft vegetables, and appropriate textures. Target: 120g protein/day, ~1500-1800 kcal/day.</w:t>
      </w:r>
    </w:p>
    <w:p w14:paraId="3C297130" w14:textId="77777777" w:rsidR="00DC28B7" w:rsidRPr="00DE0AF8" w:rsidRDefault="00DC28B7" w:rsidP="00DC28B7">
      <w:pPr>
        <w:rPr>
          <w:color w:val="FF0000"/>
        </w:rPr>
      </w:pPr>
      <w:r w:rsidRPr="00DE0AF8">
        <w:rPr>
          <w:b/>
          <w:bCs/>
          <w:color w:val="FF0000"/>
        </w:rPr>
        <w:t>Phase 4 (Week 4): Pre-Surgery Optimization</w:t>
      </w:r>
      <w:r w:rsidRPr="00DE0AF8">
        <w:rPr>
          <w:color w:val="FF0000"/>
        </w:rPr>
        <w:t xml:space="preserve"> - Maintained soft solid diet with possible texture liberalization. Focus on achieving optimal nutritional parameters before surgery. Final supplementation and immunonutrition support.</w:t>
      </w:r>
    </w:p>
    <w:p w14:paraId="1CE80EB0" w14:textId="77777777" w:rsidR="00DC28B7" w:rsidRPr="00DE0AF8" w:rsidRDefault="00DC28B7" w:rsidP="00DC28B7">
      <w:pPr>
        <w:rPr>
          <w:color w:val="FF0000"/>
        </w:rPr>
      </w:pPr>
      <w:r w:rsidRPr="00DE0AF8">
        <w:rPr>
          <w:color w:val="FF0000"/>
        </w:rPr>
        <w:t xml:space="preserve">Key improvements were achieved through: (1) </w:t>
      </w:r>
      <w:r w:rsidRPr="00DE0AF8">
        <w:rPr>
          <w:b/>
          <w:bCs/>
          <w:color w:val="FF0000"/>
        </w:rPr>
        <w:t>Inflammation control</w:t>
      </w:r>
      <w:r w:rsidRPr="00DE0AF8">
        <w:rPr>
          <w:color w:val="FF0000"/>
        </w:rPr>
        <w:t xml:space="preserve"> - stent placement and antibiotics reduced sepsis, allowing the shift from catabolism to anabolism as evidenced by decreasing CRP levels; (2) </w:t>
      </w:r>
      <w:r w:rsidRPr="00DE0AF8">
        <w:rPr>
          <w:b/>
          <w:bCs/>
          <w:color w:val="FF0000"/>
        </w:rPr>
        <w:t>Protein repletion</w:t>
      </w:r>
      <w:r w:rsidRPr="00DE0AF8">
        <w:rPr>
          <w:color w:val="FF0000"/>
        </w:rPr>
        <w:t xml:space="preserve"> - adequate protein intake (140-175g/day) met stress-induced requirements, supporting tissue repair and immune function; (3) </w:t>
      </w:r>
      <w:r w:rsidRPr="00DE0AF8">
        <w:rPr>
          <w:b/>
          <w:bCs/>
          <w:color w:val="FF0000"/>
        </w:rPr>
        <w:t>Micronutrient correction</w:t>
      </w:r>
      <w:r w:rsidRPr="00DE0AF8">
        <w:rPr>
          <w:color w:val="FF0000"/>
        </w:rPr>
        <w:t xml:space="preserve"> - iron, B12, folate, and zinc supplementation addressed deficiencies and supported erythropoiesis and wound healing; (4) </w:t>
      </w:r>
      <w:r w:rsidRPr="00DE0AF8">
        <w:rPr>
          <w:b/>
          <w:bCs/>
          <w:color w:val="FF0000"/>
        </w:rPr>
        <w:t>Metabolic optimization</w:t>
      </w:r>
      <w:r w:rsidRPr="00DE0AF8">
        <w:rPr>
          <w:color w:val="FF0000"/>
        </w:rPr>
        <w:t xml:space="preserve"> - controlled glucose levels and correction of electrolyte imbalances facilitated anabolic processes.</w:t>
      </w:r>
    </w:p>
    <w:p w14:paraId="0D883E06" w14:textId="77777777" w:rsidR="00DC28B7" w:rsidRPr="00DE0AF8" w:rsidRDefault="00DC28B7" w:rsidP="00DC28B7">
      <w:pPr>
        <w:rPr>
          <w:color w:val="FF0000"/>
        </w:rPr>
      </w:pPr>
      <w:r w:rsidRPr="00DE0AF8">
        <w:rPr>
          <w:color w:val="FF0000"/>
        </w:rPr>
        <w:t>Within one month, we observed measurable improvements: hemoglobin increased from 8.4 to &gt;12 g/dL, albumin trended upward as CRP decreased (reflecting reduced inflammation and improved protein synthesis), and the patient demonstrated better functional status. This comprehensive approach, supported by evidence-based critical care nutrition guidelines for obese patients, successfully prepared the patient for definitive surgical intervention.</w:t>
      </w:r>
    </w:p>
    <w:p w14:paraId="7B58E67B" w14:textId="77777777" w:rsidR="00E64B16" w:rsidRDefault="00E64B16"/>
    <w:p w14:paraId="21E48201" w14:textId="77777777" w:rsidR="00DC28B7" w:rsidRDefault="00DC28B7"/>
    <w:p w14:paraId="46AC1BCA" w14:textId="77777777" w:rsidR="00DC28B7" w:rsidRPr="00EE315C" w:rsidRDefault="00DC28B7" w:rsidP="00DC28B7">
      <w:pPr>
        <w:rPr>
          <w:color w:val="FF0000"/>
        </w:rPr>
      </w:pPr>
      <w:r w:rsidRPr="00EE315C">
        <w:rPr>
          <w:b/>
          <w:bCs/>
          <w:color w:val="FF0000"/>
        </w:rPr>
        <w:t>Laboratory Evidence of Nutritional Improvement: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3044"/>
        <w:gridCol w:w="2523"/>
        <w:gridCol w:w="803"/>
        <w:gridCol w:w="818"/>
      </w:tblGrid>
      <w:tr w:rsidR="00DC28B7" w:rsidRPr="00EE315C" w14:paraId="41D31E55" w14:textId="77777777" w:rsidTr="007A2C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B2F830" w14:textId="77777777" w:rsidR="00DC28B7" w:rsidRPr="00EE315C" w:rsidRDefault="00DC28B7" w:rsidP="007A2C42">
            <w:pPr>
              <w:rPr>
                <w:b/>
                <w:bCs/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13E8212E" w14:textId="77777777" w:rsidR="00DC28B7" w:rsidRPr="00EE315C" w:rsidRDefault="00DC28B7" w:rsidP="007A2C42">
            <w:pPr>
              <w:rPr>
                <w:b/>
                <w:bCs/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Baseline (Post-Sepsis)</w:t>
            </w:r>
          </w:p>
        </w:tc>
        <w:tc>
          <w:tcPr>
            <w:tcW w:w="0" w:type="auto"/>
            <w:vAlign w:val="center"/>
            <w:hideMark/>
          </w:tcPr>
          <w:p w14:paraId="4B4DB016" w14:textId="77777777" w:rsidR="00DC28B7" w:rsidRPr="00EE315C" w:rsidRDefault="00DC28B7" w:rsidP="007A2C42">
            <w:pPr>
              <w:rPr>
                <w:b/>
                <w:bCs/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Week 1</w:t>
            </w:r>
          </w:p>
        </w:tc>
        <w:tc>
          <w:tcPr>
            <w:tcW w:w="0" w:type="auto"/>
            <w:vAlign w:val="center"/>
            <w:hideMark/>
          </w:tcPr>
          <w:p w14:paraId="7E6915AE" w14:textId="77777777" w:rsidR="00DC28B7" w:rsidRPr="00EE315C" w:rsidRDefault="00DC28B7" w:rsidP="007A2C42">
            <w:pPr>
              <w:rPr>
                <w:b/>
                <w:bCs/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Week 2</w:t>
            </w:r>
          </w:p>
        </w:tc>
        <w:tc>
          <w:tcPr>
            <w:tcW w:w="0" w:type="auto"/>
            <w:vAlign w:val="center"/>
            <w:hideMark/>
          </w:tcPr>
          <w:p w14:paraId="20719E50" w14:textId="77777777" w:rsidR="00DC28B7" w:rsidRPr="00EE315C" w:rsidRDefault="00DC28B7" w:rsidP="007A2C42">
            <w:pPr>
              <w:rPr>
                <w:b/>
                <w:bCs/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Week 4</w:t>
            </w:r>
          </w:p>
        </w:tc>
      </w:tr>
      <w:tr w:rsidR="00DC28B7" w:rsidRPr="00EE315C" w14:paraId="49E34BA9" w14:textId="77777777" w:rsidTr="007A2C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F705A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Weight (kg)</w:t>
            </w:r>
          </w:p>
        </w:tc>
        <w:tc>
          <w:tcPr>
            <w:tcW w:w="0" w:type="auto"/>
            <w:vAlign w:val="center"/>
            <w:hideMark/>
          </w:tcPr>
          <w:p w14:paraId="2BC625DB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 xml:space="preserve">160 kg </w:t>
            </w:r>
          </w:p>
        </w:tc>
        <w:tc>
          <w:tcPr>
            <w:tcW w:w="0" w:type="auto"/>
            <w:vAlign w:val="center"/>
            <w:hideMark/>
          </w:tcPr>
          <w:p w14:paraId="6BA71161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158-160 kg (slight loss of fluid weight)</w:t>
            </w:r>
          </w:p>
        </w:tc>
        <w:tc>
          <w:tcPr>
            <w:tcW w:w="0" w:type="auto"/>
            <w:vAlign w:val="center"/>
            <w:hideMark/>
          </w:tcPr>
          <w:p w14:paraId="0352B9BE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157 kg</w:t>
            </w:r>
          </w:p>
        </w:tc>
        <w:tc>
          <w:tcPr>
            <w:tcW w:w="0" w:type="auto"/>
            <w:vAlign w:val="center"/>
            <w:hideMark/>
          </w:tcPr>
          <w:p w14:paraId="17AC591C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156 kg</w:t>
            </w:r>
          </w:p>
        </w:tc>
      </w:tr>
      <w:tr w:rsidR="00DC28B7" w:rsidRPr="00EE315C" w14:paraId="38F141CC" w14:textId="77777777" w:rsidTr="007A2C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A5DA0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Hemoglobin (g/dL)</w:t>
            </w:r>
          </w:p>
        </w:tc>
        <w:tc>
          <w:tcPr>
            <w:tcW w:w="0" w:type="auto"/>
            <w:vAlign w:val="center"/>
            <w:hideMark/>
          </w:tcPr>
          <w:p w14:paraId="674684AF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8.4 (pre-transfusion); 11.0 after transfusion</w:t>
            </w:r>
          </w:p>
        </w:tc>
        <w:tc>
          <w:tcPr>
            <w:tcW w:w="0" w:type="auto"/>
            <w:vAlign w:val="center"/>
            <w:hideMark/>
          </w:tcPr>
          <w:p w14:paraId="175D2B4F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 xml:space="preserve">11.0 </w:t>
            </w:r>
          </w:p>
        </w:tc>
        <w:tc>
          <w:tcPr>
            <w:tcW w:w="0" w:type="auto"/>
            <w:vAlign w:val="center"/>
            <w:hideMark/>
          </w:tcPr>
          <w:p w14:paraId="6C53213B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11.5</w:t>
            </w:r>
          </w:p>
        </w:tc>
        <w:tc>
          <w:tcPr>
            <w:tcW w:w="0" w:type="auto"/>
            <w:vAlign w:val="center"/>
            <w:hideMark/>
          </w:tcPr>
          <w:p w14:paraId="4C2EC2BA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12.0</w:t>
            </w:r>
          </w:p>
        </w:tc>
      </w:tr>
      <w:tr w:rsidR="00DC28B7" w:rsidRPr="00EE315C" w14:paraId="66437B27" w14:textId="77777777" w:rsidTr="007A2C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5FBFD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Albumin (g/dL)</w:t>
            </w:r>
          </w:p>
        </w:tc>
        <w:tc>
          <w:tcPr>
            <w:tcW w:w="0" w:type="auto"/>
            <w:vAlign w:val="center"/>
            <w:hideMark/>
          </w:tcPr>
          <w:p w14:paraId="3B50DA53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2.2 g/dL (low)</w:t>
            </w:r>
          </w:p>
        </w:tc>
        <w:tc>
          <w:tcPr>
            <w:tcW w:w="0" w:type="auto"/>
            <w:vAlign w:val="center"/>
            <w:hideMark/>
          </w:tcPr>
          <w:p w14:paraId="27D46B95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 xml:space="preserve">2.3 </w:t>
            </w:r>
          </w:p>
        </w:tc>
        <w:tc>
          <w:tcPr>
            <w:tcW w:w="0" w:type="auto"/>
            <w:vAlign w:val="center"/>
            <w:hideMark/>
          </w:tcPr>
          <w:p w14:paraId="1B300D45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14:paraId="1D79D740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2.8-3.0</w:t>
            </w:r>
          </w:p>
        </w:tc>
      </w:tr>
      <w:tr w:rsidR="00DC28B7" w:rsidRPr="00EE315C" w14:paraId="7DDFC395" w14:textId="77777777" w:rsidTr="007A2C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87D41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b/>
                <w:bCs/>
                <w:color w:val="FF0000"/>
              </w:rPr>
              <w:t>CRP (mg/L)</w:t>
            </w:r>
          </w:p>
        </w:tc>
        <w:tc>
          <w:tcPr>
            <w:tcW w:w="0" w:type="auto"/>
            <w:vAlign w:val="center"/>
            <w:hideMark/>
          </w:tcPr>
          <w:p w14:paraId="1D4A0AA5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100 mg/L (peak)</w:t>
            </w:r>
          </w:p>
        </w:tc>
        <w:tc>
          <w:tcPr>
            <w:tcW w:w="0" w:type="auto"/>
            <w:vAlign w:val="center"/>
            <w:hideMark/>
          </w:tcPr>
          <w:p w14:paraId="3C87223A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 xml:space="preserve">80 </w:t>
            </w:r>
          </w:p>
        </w:tc>
        <w:tc>
          <w:tcPr>
            <w:tcW w:w="0" w:type="auto"/>
            <w:vAlign w:val="center"/>
            <w:hideMark/>
          </w:tcPr>
          <w:p w14:paraId="2738CD15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49207971" w14:textId="77777777" w:rsidR="00DC28B7" w:rsidRPr="00EE315C" w:rsidRDefault="00DC28B7" w:rsidP="007A2C42">
            <w:pPr>
              <w:rPr>
                <w:color w:val="FF0000"/>
              </w:rPr>
            </w:pPr>
            <w:r w:rsidRPr="00EE315C">
              <w:rPr>
                <w:color w:val="FF0000"/>
              </w:rPr>
              <w:t>20</w:t>
            </w:r>
          </w:p>
        </w:tc>
      </w:tr>
    </w:tbl>
    <w:p w14:paraId="0C5F1BAD" w14:textId="77777777" w:rsidR="00DC28B7" w:rsidRPr="006C1173" w:rsidRDefault="00DC28B7" w:rsidP="00DC28B7">
      <w:pPr>
        <w:rPr>
          <w:color w:val="FF0000"/>
        </w:rPr>
      </w:pPr>
    </w:p>
    <w:p w14:paraId="37B56895" w14:textId="77777777" w:rsidR="00F836C9" w:rsidRPr="00EE315C" w:rsidRDefault="00DC28B7" w:rsidP="00DC28B7">
      <w:pPr>
        <w:rPr>
          <w:color w:val="FF0000"/>
        </w:rPr>
      </w:pPr>
      <w:r w:rsidRPr="00EE315C">
        <w:rPr>
          <w:color w:val="FF0000"/>
        </w:rPr>
        <w:lastRenderedPageBreak/>
        <w:t xml:space="preserve">These serial measurements demonstrate: (1) </w:t>
      </w:r>
      <w:r w:rsidRPr="00EE315C">
        <w:rPr>
          <w:b/>
          <w:bCs/>
          <w:color w:val="FF0000"/>
        </w:rPr>
        <w:t>Hemoglobin improvement</w:t>
      </w:r>
      <w:r w:rsidRPr="00EE315C">
        <w:rPr>
          <w:color w:val="FF0000"/>
        </w:rPr>
        <w:t xml:space="preserve"> from 8.4 to 12.0 g/dL through iron and B12 supplementation and reduced inflammation; (2) </w:t>
      </w:r>
      <w:r w:rsidRPr="00EE315C">
        <w:rPr>
          <w:b/>
          <w:bCs/>
          <w:color w:val="FF0000"/>
        </w:rPr>
        <w:t>Albumin recovery</w:t>
      </w:r>
      <w:r w:rsidRPr="00EE315C">
        <w:rPr>
          <w:color w:val="FF0000"/>
        </w:rPr>
        <w:t xml:space="preserve"> from 2.2 to 2.8-3.0 g/dL, reflecting improved protein synthesis as inflammation subsided; (3) </w:t>
      </w:r>
      <w:r w:rsidRPr="00EE315C">
        <w:rPr>
          <w:b/>
          <w:bCs/>
          <w:color w:val="FF0000"/>
        </w:rPr>
        <w:t>CRP normalization</w:t>
      </w:r>
      <w:r w:rsidRPr="00EE315C">
        <w:rPr>
          <w:color w:val="FF0000"/>
        </w:rPr>
        <w:t xml:space="preserve"> from 100 to 20 mg/L, indicating resolution of sepsis and inflammatory state; (4) </w:t>
      </w:r>
      <w:r w:rsidRPr="00EE315C">
        <w:rPr>
          <w:b/>
          <w:bCs/>
          <w:color w:val="FF0000"/>
        </w:rPr>
        <w:t>Controlled weight loss</w:t>
      </w:r>
      <w:r w:rsidRPr="00EE315C">
        <w:rPr>
          <w:color w:val="FF0000"/>
        </w:rPr>
        <w:t xml:space="preserve"> primarily from fluid loss and fat reduction while preserving lean mass through high-protein nutrition.</w:t>
      </w:r>
    </w:p>
    <w:p w14:paraId="28744E1F" w14:textId="77777777" w:rsidR="00DC28B7" w:rsidRDefault="00DC28B7"/>
    <w:sectPr w:rsidR="00DC28B7" w:rsidSect="00512B2A">
      <w:pgSz w:w="11906" w:h="16838" w:code="9"/>
      <w:pgMar w:top="1440" w:right="1440" w:bottom="1440" w:left="1440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B7"/>
    <w:rsid w:val="00065DA8"/>
    <w:rsid w:val="00512B2A"/>
    <w:rsid w:val="006E103B"/>
    <w:rsid w:val="00AC0ED9"/>
    <w:rsid w:val="00B9747C"/>
    <w:rsid w:val="00C938DE"/>
    <w:rsid w:val="00DC28B7"/>
    <w:rsid w:val="00E44723"/>
    <w:rsid w:val="00E64B16"/>
    <w:rsid w:val="00F80912"/>
    <w:rsid w:val="00F836C9"/>
    <w:rsid w:val="00FC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AC4C29"/>
  <w15:chartTrackingRefBased/>
  <w15:docId w15:val="{A6623B11-6503-0C40-832A-AEEAF2EF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Theme="minorHAnsi" w:hAnsi="Helvetica Neue" w:cs="Times New Roman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8B7"/>
  </w:style>
  <w:style w:type="paragraph" w:styleId="Heading1">
    <w:name w:val="heading 1"/>
    <w:basedOn w:val="Normal"/>
    <w:next w:val="Normal"/>
    <w:link w:val="Heading1Char"/>
    <w:uiPriority w:val="9"/>
    <w:qFormat/>
    <w:rsid w:val="00DC2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8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8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8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8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8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8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8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8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8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8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8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8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8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8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8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8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8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8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8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Torensma</dc:creator>
  <cp:keywords/>
  <dc:description/>
  <cp:lastModifiedBy>Bart Torensma</cp:lastModifiedBy>
  <cp:revision>3</cp:revision>
  <dcterms:created xsi:type="dcterms:W3CDTF">2025-06-16T14:17:00Z</dcterms:created>
  <dcterms:modified xsi:type="dcterms:W3CDTF">2025-06-16T14:35:00Z</dcterms:modified>
</cp:coreProperties>
</file>