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08371" w14:textId="77777777" w:rsidR="0071677A" w:rsidRPr="00AD5140" w:rsidRDefault="0071677A" w:rsidP="0071677A">
      <w:pPr>
        <w:rPr>
          <w:rFonts w:ascii="Times New Roman" w:hAnsi="Times New Roman" w:cs="Times New Roman"/>
          <w:b/>
          <w:bCs/>
          <w:sz w:val="24"/>
          <w:szCs w:val="24"/>
          <w:lang w:val="en-US"/>
        </w:rPr>
      </w:pPr>
      <w:r w:rsidRPr="00AD5140">
        <w:rPr>
          <w:rFonts w:ascii="Times New Roman" w:hAnsi="Times New Roman" w:cs="Times New Roman"/>
          <w:b/>
          <w:bCs/>
          <w:sz w:val="24"/>
          <w:szCs w:val="24"/>
          <w:lang w:val="en-US"/>
        </w:rPr>
        <w:t>Table A. Screening inclusion and exclusion criteria.</w:t>
      </w:r>
    </w:p>
    <w:tbl>
      <w:tblPr>
        <w:tblStyle w:val="Tablaconcuadrcula"/>
        <w:tblW w:w="0" w:type="auto"/>
        <w:tblLook w:val="04A0" w:firstRow="1" w:lastRow="0" w:firstColumn="1" w:lastColumn="0" w:noHBand="0" w:noVBand="1"/>
      </w:tblPr>
      <w:tblGrid>
        <w:gridCol w:w="4247"/>
        <w:gridCol w:w="4247"/>
      </w:tblGrid>
      <w:tr w:rsidR="0071677A" w14:paraId="4FFB28B6" w14:textId="77777777" w:rsidTr="00C739F4">
        <w:tc>
          <w:tcPr>
            <w:tcW w:w="4247" w:type="dxa"/>
          </w:tcPr>
          <w:p w14:paraId="013F7E3D" w14:textId="77777777" w:rsidR="0071677A" w:rsidRPr="00AD5140" w:rsidRDefault="0071677A" w:rsidP="00C739F4">
            <w:pPr>
              <w:jc w:val="center"/>
              <w:rPr>
                <w:rFonts w:ascii="Times New Roman" w:hAnsi="Times New Roman" w:cs="Times New Roman"/>
                <w:b/>
                <w:bCs/>
                <w:lang w:val="en-US"/>
              </w:rPr>
            </w:pPr>
            <w:r w:rsidRPr="00AD5140">
              <w:rPr>
                <w:rFonts w:ascii="Times New Roman" w:hAnsi="Times New Roman" w:cs="Times New Roman"/>
                <w:b/>
                <w:bCs/>
                <w:lang w:val="en-US"/>
              </w:rPr>
              <w:t>INCLUSION CRITERIA</w:t>
            </w:r>
          </w:p>
          <w:p w14:paraId="7BDAAB1F" w14:textId="77777777" w:rsidR="0071677A" w:rsidRPr="00AD5140" w:rsidRDefault="0071677A" w:rsidP="00C739F4">
            <w:pPr>
              <w:jc w:val="center"/>
              <w:rPr>
                <w:rFonts w:ascii="Times New Roman" w:hAnsi="Times New Roman" w:cs="Times New Roman"/>
                <w:b/>
                <w:bCs/>
                <w:lang w:val="en-US"/>
              </w:rPr>
            </w:pPr>
          </w:p>
        </w:tc>
        <w:tc>
          <w:tcPr>
            <w:tcW w:w="4247" w:type="dxa"/>
          </w:tcPr>
          <w:p w14:paraId="0EE3B09D" w14:textId="77777777" w:rsidR="0071677A" w:rsidRPr="00AD5140" w:rsidRDefault="0071677A" w:rsidP="00C739F4">
            <w:pPr>
              <w:jc w:val="center"/>
              <w:rPr>
                <w:rFonts w:ascii="Times New Roman" w:hAnsi="Times New Roman" w:cs="Times New Roman"/>
                <w:b/>
                <w:bCs/>
                <w:lang w:val="en-US"/>
              </w:rPr>
            </w:pPr>
            <w:r w:rsidRPr="00AD5140">
              <w:rPr>
                <w:rFonts w:ascii="Times New Roman" w:hAnsi="Times New Roman" w:cs="Times New Roman"/>
                <w:b/>
                <w:bCs/>
                <w:lang w:val="en-US"/>
              </w:rPr>
              <w:t>EXCLUSION CRITERIA</w:t>
            </w:r>
          </w:p>
        </w:tc>
      </w:tr>
      <w:tr w:rsidR="0071677A" w14:paraId="14F2BCE2" w14:textId="77777777" w:rsidTr="00C739F4">
        <w:tc>
          <w:tcPr>
            <w:tcW w:w="4247" w:type="dxa"/>
          </w:tcPr>
          <w:p w14:paraId="7155B85D"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 Men and women, age 18 to 65 years, who have failed with previous diets and who require a physical aid that increases the sensation of satiety to reduce the amount of intake and thus promote weight loss. </w:t>
            </w:r>
          </w:p>
          <w:p w14:paraId="008EB75C" w14:textId="77777777" w:rsidR="0071677A" w:rsidRPr="00AD5140" w:rsidRDefault="0071677A" w:rsidP="00C739F4">
            <w:pPr>
              <w:rPr>
                <w:rFonts w:ascii="Times New Roman" w:hAnsi="Times New Roman" w:cs="Times New Roman"/>
                <w:sz w:val="20"/>
                <w:szCs w:val="20"/>
                <w:lang w:val="en-US"/>
              </w:rPr>
            </w:pPr>
          </w:p>
          <w:p w14:paraId="7E1CE35D" w14:textId="79E62525"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2.</w:t>
            </w:r>
            <w:r w:rsidR="00B55ABD">
              <w:rPr>
                <w:rFonts w:ascii="Times New Roman" w:hAnsi="Times New Roman" w:cs="Times New Roman"/>
                <w:sz w:val="20"/>
                <w:szCs w:val="20"/>
                <w:lang w:val="en-US"/>
              </w:rPr>
              <w:t xml:space="preserve"> Patients with gr</w:t>
            </w:r>
            <w:r w:rsidRPr="00AD5140">
              <w:rPr>
                <w:rFonts w:ascii="Times New Roman" w:hAnsi="Times New Roman" w:cs="Times New Roman"/>
                <w:sz w:val="20"/>
                <w:szCs w:val="20"/>
                <w:lang w:val="en-US"/>
              </w:rPr>
              <w:t xml:space="preserve">ade II overweight (BMI 27.00-29.99 kg/m²) and grade I </w:t>
            </w:r>
            <w:r w:rsidR="00AF0823" w:rsidRPr="00AD5140">
              <w:rPr>
                <w:rFonts w:ascii="Times New Roman" w:hAnsi="Times New Roman" w:cs="Times New Roman"/>
                <w:sz w:val="20"/>
                <w:szCs w:val="20"/>
                <w:lang w:val="en-US"/>
              </w:rPr>
              <w:t xml:space="preserve">obesity </w:t>
            </w:r>
            <w:r w:rsidRPr="00AD5140">
              <w:rPr>
                <w:rFonts w:ascii="Times New Roman" w:hAnsi="Times New Roman" w:cs="Times New Roman"/>
                <w:sz w:val="20"/>
                <w:szCs w:val="20"/>
                <w:lang w:val="en-US"/>
              </w:rPr>
              <w:t>(BMI 30.00-34.99 kg/m²)</w:t>
            </w:r>
            <w:r w:rsidR="0067771C" w:rsidRPr="00AD5140">
              <w:rPr>
                <w:rFonts w:ascii="Times New Roman" w:hAnsi="Times New Roman" w:cs="Times New Roman"/>
                <w:sz w:val="20"/>
                <w:szCs w:val="20"/>
                <w:lang w:val="en-US"/>
              </w:rPr>
              <w:t>.</w:t>
            </w:r>
          </w:p>
          <w:p w14:paraId="354B67AA" w14:textId="77777777" w:rsidR="0071677A" w:rsidRPr="00AD5140" w:rsidRDefault="0071677A" w:rsidP="00C739F4">
            <w:pPr>
              <w:rPr>
                <w:rFonts w:ascii="Times New Roman" w:hAnsi="Times New Roman" w:cs="Times New Roman"/>
                <w:sz w:val="20"/>
                <w:szCs w:val="20"/>
                <w:lang w:val="en-US"/>
              </w:rPr>
            </w:pPr>
          </w:p>
          <w:p w14:paraId="28D4B3F5" w14:textId="6B4D757C"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3. </w:t>
            </w:r>
            <w:r w:rsidR="00B55ABD">
              <w:rPr>
                <w:rFonts w:ascii="Times New Roman" w:hAnsi="Times New Roman" w:cs="Times New Roman"/>
                <w:sz w:val="20"/>
                <w:szCs w:val="20"/>
                <w:lang w:val="en-US"/>
              </w:rPr>
              <w:t>Patients with g</w:t>
            </w:r>
            <w:r w:rsidRPr="00AD5140">
              <w:rPr>
                <w:rFonts w:ascii="Times New Roman" w:hAnsi="Times New Roman" w:cs="Times New Roman"/>
                <w:sz w:val="20"/>
                <w:szCs w:val="20"/>
                <w:lang w:val="en-US"/>
              </w:rPr>
              <w:t xml:space="preserve">rade II obesity (BMI 35.00-39.99 kg/m²) provided they do not have more than 3 major </w:t>
            </w:r>
            <w:r w:rsidR="00B55ABD">
              <w:rPr>
                <w:rFonts w:ascii="Times New Roman" w:hAnsi="Times New Roman" w:cs="Times New Roman"/>
                <w:sz w:val="20"/>
                <w:szCs w:val="20"/>
                <w:lang w:val="en-US"/>
              </w:rPr>
              <w:t>obesity complications</w:t>
            </w:r>
            <w:r w:rsidRPr="00AD5140">
              <w:rPr>
                <w:rFonts w:ascii="Times New Roman" w:hAnsi="Times New Roman" w:cs="Times New Roman"/>
                <w:sz w:val="20"/>
                <w:szCs w:val="20"/>
                <w:lang w:val="en-US"/>
              </w:rPr>
              <w:t xml:space="preserve"> associated</w:t>
            </w:r>
            <w:r w:rsidR="00B55ABD">
              <w:rPr>
                <w:rFonts w:ascii="Times New Roman" w:hAnsi="Times New Roman" w:cs="Times New Roman"/>
                <w:sz w:val="20"/>
                <w:szCs w:val="20"/>
                <w:lang w:val="en-US"/>
              </w:rPr>
              <w:t>.</w:t>
            </w:r>
            <w:r w:rsidRPr="00AD5140">
              <w:rPr>
                <w:rFonts w:ascii="Times New Roman" w:hAnsi="Times New Roman" w:cs="Times New Roman"/>
                <w:sz w:val="20"/>
                <w:szCs w:val="20"/>
                <w:lang w:val="en-US"/>
              </w:rPr>
              <w:t xml:space="preserve"> </w:t>
            </w:r>
          </w:p>
          <w:p w14:paraId="0308979F" w14:textId="77777777" w:rsidR="0071677A" w:rsidRPr="00AD5140" w:rsidRDefault="0071677A" w:rsidP="00C739F4">
            <w:pPr>
              <w:rPr>
                <w:rFonts w:ascii="Times New Roman" w:hAnsi="Times New Roman" w:cs="Times New Roman"/>
                <w:sz w:val="20"/>
                <w:szCs w:val="20"/>
                <w:lang w:val="en-US"/>
              </w:rPr>
            </w:pPr>
          </w:p>
          <w:p w14:paraId="7BAD6B86" w14:textId="37E66148"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4. </w:t>
            </w:r>
            <w:r w:rsidR="00B55ABD">
              <w:rPr>
                <w:rFonts w:ascii="Times New Roman" w:hAnsi="Times New Roman" w:cs="Times New Roman"/>
                <w:sz w:val="20"/>
                <w:szCs w:val="20"/>
                <w:lang w:val="en-US"/>
              </w:rPr>
              <w:t>Patients with extreme</w:t>
            </w:r>
            <w:r w:rsidRPr="00AD5140">
              <w:rPr>
                <w:rFonts w:ascii="Times New Roman" w:hAnsi="Times New Roman" w:cs="Times New Roman"/>
                <w:sz w:val="20"/>
                <w:szCs w:val="20"/>
                <w:lang w:val="en-US"/>
              </w:rPr>
              <w:t xml:space="preserve"> obes</w:t>
            </w:r>
            <w:r w:rsidR="00B55ABD">
              <w:rPr>
                <w:rFonts w:ascii="Times New Roman" w:hAnsi="Times New Roman" w:cs="Times New Roman"/>
                <w:sz w:val="20"/>
                <w:szCs w:val="20"/>
                <w:lang w:val="en-US"/>
              </w:rPr>
              <w:t>ity</w:t>
            </w:r>
            <w:r w:rsidRPr="00AD5140">
              <w:rPr>
                <w:rFonts w:ascii="Times New Roman" w:hAnsi="Times New Roman" w:cs="Times New Roman"/>
                <w:sz w:val="20"/>
                <w:szCs w:val="20"/>
                <w:lang w:val="en-US"/>
              </w:rPr>
              <w:t xml:space="preserve"> (BMI ≥40 kg/m²) that rule out surgery or requiring weight loss by intragastric balloon prior to bariatric surgery. </w:t>
            </w:r>
          </w:p>
          <w:p w14:paraId="4702FFCC" w14:textId="77777777" w:rsidR="0071677A" w:rsidRPr="00AD5140" w:rsidRDefault="0071677A" w:rsidP="00C739F4">
            <w:pPr>
              <w:rPr>
                <w:rFonts w:ascii="Times New Roman" w:hAnsi="Times New Roman" w:cs="Times New Roman"/>
                <w:sz w:val="20"/>
                <w:szCs w:val="20"/>
                <w:lang w:val="en-US"/>
              </w:rPr>
            </w:pPr>
          </w:p>
          <w:p w14:paraId="591C194A" w14:textId="21528552"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5. The Stella</w:t>
            </w:r>
            <w:r w:rsidR="0067771C" w:rsidRPr="00AD5140">
              <w:rPr>
                <w:rFonts w:ascii="Times New Roman" w:hAnsi="Times New Roman" w:cs="Times New Roman"/>
                <w:sz w:val="20"/>
                <w:szCs w:val="20"/>
                <w:lang w:val="en-US"/>
              </w:rPr>
              <w:t>®</w:t>
            </w:r>
            <w:r w:rsidRPr="00AD5140">
              <w:rPr>
                <w:rFonts w:ascii="Times New Roman" w:hAnsi="Times New Roman" w:cs="Times New Roman"/>
                <w:sz w:val="20"/>
                <w:szCs w:val="20"/>
                <w:lang w:val="en-US"/>
              </w:rPr>
              <w:t xml:space="preserve"> balloon is especially indicated for patients with abnormal structures of the esophagus, oropharynx or with reduced lumen size, diverticula, or other processes </w:t>
            </w:r>
            <w:proofErr w:type="gramStart"/>
            <w:r w:rsidRPr="00AD5140">
              <w:rPr>
                <w:rFonts w:ascii="Times New Roman" w:hAnsi="Times New Roman" w:cs="Times New Roman"/>
                <w:sz w:val="20"/>
                <w:szCs w:val="20"/>
                <w:lang w:val="en-US"/>
              </w:rPr>
              <w:t>as long as</w:t>
            </w:r>
            <w:proofErr w:type="gramEnd"/>
            <w:r w:rsidRPr="00AD5140">
              <w:rPr>
                <w:rFonts w:ascii="Times New Roman" w:hAnsi="Times New Roman" w:cs="Times New Roman"/>
                <w:sz w:val="20"/>
                <w:szCs w:val="20"/>
                <w:lang w:val="en-US"/>
              </w:rPr>
              <w:t xml:space="preserve"> they are benign and do not impede the passage of the endoscope.</w:t>
            </w:r>
          </w:p>
          <w:p w14:paraId="2603001B" w14:textId="77777777" w:rsidR="0071677A" w:rsidRPr="00AD5140" w:rsidRDefault="0071677A" w:rsidP="00C739F4">
            <w:pPr>
              <w:rPr>
                <w:rFonts w:ascii="Times New Roman" w:hAnsi="Times New Roman" w:cs="Times New Roman"/>
                <w:sz w:val="20"/>
                <w:szCs w:val="20"/>
                <w:lang w:val="en-US"/>
              </w:rPr>
            </w:pPr>
          </w:p>
          <w:p w14:paraId="5C27C594"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6. Patients who freely give written consent.</w:t>
            </w:r>
          </w:p>
        </w:tc>
        <w:tc>
          <w:tcPr>
            <w:tcW w:w="4247" w:type="dxa"/>
          </w:tcPr>
          <w:p w14:paraId="7CD39A53"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 Patients who are participating or have participated in another clinical trial within the previous 30 days. </w:t>
            </w:r>
          </w:p>
          <w:p w14:paraId="5CD46101"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2. Patients who, in the opinion of the principal investigator or any of the specialists of the multicenter team, are not able to follow the instructions or to comply well with the assigned dietary treatment. </w:t>
            </w:r>
          </w:p>
          <w:p w14:paraId="5A9A5122" w14:textId="49356AE4"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3. Systemic diseases that prevent </w:t>
            </w:r>
            <w:r w:rsidR="0067771C" w:rsidRPr="00AD5140">
              <w:rPr>
                <w:rFonts w:ascii="Times New Roman" w:hAnsi="Times New Roman" w:cs="Times New Roman"/>
                <w:sz w:val="20"/>
                <w:szCs w:val="20"/>
                <w:lang w:val="en-US"/>
              </w:rPr>
              <w:t>the</w:t>
            </w:r>
            <w:r w:rsidRPr="00AD5140">
              <w:rPr>
                <w:rFonts w:ascii="Times New Roman" w:hAnsi="Times New Roman" w:cs="Times New Roman"/>
                <w:sz w:val="20"/>
                <w:szCs w:val="20"/>
                <w:lang w:val="en-US"/>
              </w:rPr>
              <w:t xml:space="preserve"> correct monitoring. </w:t>
            </w:r>
          </w:p>
          <w:p w14:paraId="6D276329"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4. Patients who do not give written informed consent to participate in the study. </w:t>
            </w:r>
          </w:p>
          <w:p w14:paraId="1B14059F"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5. Pregnancy and breastfeeding. </w:t>
            </w:r>
          </w:p>
          <w:p w14:paraId="6A2863A0"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6. Patients with psychological or psychiatric disorders that, in the opinion of the psychologist, contraindicate their inclusion. </w:t>
            </w:r>
          </w:p>
          <w:p w14:paraId="2A82DA2D" w14:textId="7F415641"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7. </w:t>
            </w:r>
            <w:proofErr w:type="spellStart"/>
            <w:r w:rsidRPr="00AD5140">
              <w:rPr>
                <w:rFonts w:ascii="Times New Roman" w:hAnsi="Times New Roman" w:cs="Times New Roman"/>
                <w:sz w:val="20"/>
                <w:szCs w:val="20"/>
                <w:lang w:val="en-US"/>
              </w:rPr>
              <w:t>Unfavo</w:t>
            </w:r>
            <w:r w:rsidR="0067771C" w:rsidRPr="00AD5140">
              <w:rPr>
                <w:rFonts w:ascii="Times New Roman" w:hAnsi="Times New Roman" w:cs="Times New Roman"/>
                <w:sz w:val="20"/>
                <w:szCs w:val="20"/>
                <w:lang w:val="en-US"/>
              </w:rPr>
              <w:t>u</w:t>
            </w:r>
            <w:r w:rsidRPr="00AD5140">
              <w:rPr>
                <w:rFonts w:ascii="Times New Roman" w:hAnsi="Times New Roman" w:cs="Times New Roman"/>
                <w:sz w:val="20"/>
                <w:szCs w:val="20"/>
                <w:lang w:val="en-US"/>
              </w:rPr>
              <w:t>rable</w:t>
            </w:r>
            <w:proofErr w:type="spellEnd"/>
            <w:r w:rsidRPr="00AD5140">
              <w:rPr>
                <w:rFonts w:ascii="Times New Roman" w:hAnsi="Times New Roman" w:cs="Times New Roman"/>
                <w:sz w:val="20"/>
                <w:szCs w:val="20"/>
                <w:lang w:val="en-US"/>
              </w:rPr>
              <w:t xml:space="preserve"> social-familial environment. </w:t>
            </w:r>
          </w:p>
          <w:p w14:paraId="78F8BD25" w14:textId="7CAE161A"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8. Patients who </w:t>
            </w:r>
            <w:proofErr w:type="gramStart"/>
            <w:r w:rsidRPr="00AD5140">
              <w:rPr>
                <w:rFonts w:ascii="Times New Roman" w:hAnsi="Times New Roman" w:cs="Times New Roman"/>
                <w:sz w:val="20"/>
                <w:szCs w:val="20"/>
                <w:lang w:val="en-US"/>
              </w:rPr>
              <w:t>have previously</w:t>
            </w:r>
            <w:proofErr w:type="gramEnd"/>
            <w:r w:rsidRPr="00AD5140">
              <w:rPr>
                <w:rFonts w:ascii="Times New Roman" w:hAnsi="Times New Roman" w:cs="Times New Roman"/>
                <w:sz w:val="20"/>
                <w:szCs w:val="20"/>
                <w:lang w:val="en-US"/>
              </w:rPr>
              <w:t xml:space="preserve"> had an intragastric balloon placed, even if it has been </w:t>
            </w:r>
            <w:proofErr w:type="gramStart"/>
            <w:r w:rsidRPr="00AD5140">
              <w:rPr>
                <w:rFonts w:ascii="Times New Roman" w:hAnsi="Times New Roman" w:cs="Times New Roman"/>
                <w:sz w:val="20"/>
                <w:szCs w:val="20"/>
                <w:lang w:val="en-US"/>
              </w:rPr>
              <w:t>successful</w:t>
            </w:r>
            <w:r w:rsidR="0067771C" w:rsidRPr="00AD5140">
              <w:rPr>
                <w:rFonts w:ascii="Times New Roman" w:hAnsi="Times New Roman" w:cs="Times New Roman"/>
                <w:sz w:val="20"/>
                <w:szCs w:val="20"/>
                <w:lang w:val="en-US"/>
              </w:rPr>
              <w:t>ly</w:t>
            </w:r>
            <w:proofErr w:type="gramEnd"/>
            <w:r w:rsidRPr="00AD5140">
              <w:rPr>
                <w:rFonts w:ascii="Times New Roman" w:hAnsi="Times New Roman" w:cs="Times New Roman"/>
                <w:sz w:val="20"/>
                <w:szCs w:val="20"/>
                <w:lang w:val="en-US"/>
              </w:rPr>
              <w:t xml:space="preserve">, and request the prescription of a second balloon. </w:t>
            </w:r>
          </w:p>
          <w:p w14:paraId="797D3B9C"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9. Patients undergoing pharmacological treatment with anticoagulants, antiplatelet agents and/or NSAIDs. </w:t>
            </w:r>
          </w:p>
          <w:p w14:paraId="5464C396"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10. Patients with previous surgery, bariatric or gastrointestinal surgery. </w:t>
            </w:r>
          </w:p>
          <w:p w14:paraId="38B02B55"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11. Previous esophageal or gastric surgery. </w:t>
            </w:r>
          </w:p>
          <w:p w14:paraId="597B2D8D"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12. Patients with large hiatal hernia.</w:t>
            </w:r>
          </w:p>
          <w:p w14:paraId="658F539C"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13. Patients with active esophagogastric pathology: - Inflammatory: severe esophagitis (Los Angeles C-D), eosinophilic esophagitis, gastric and/or duodenal ulcer, Crohn's disease. - Vascular: potentially bleeding lesions (varicose veins, angiomas, </w:t>
            </w:r>
            <w:proofErr w:type="spellStart"/>
            <w:r w:rsidRPr="00AD5140">
              <w:rPr>
                <w:rFonts w:ascii="Times New Roman" w:hAnsi="Times New Roman" w:cs="Times New Roman"/>
                <w:sz w:val="20"/>
                <w:szCs w:val="20"/>
                <w:lang w:val="en-US"/>
              </w:rPr>
              <w:t>angiectasias</w:t>
            </w:r>
            <w:proofErr w:type="spellEnd"/>
            <w:r w:rsidRPr="00AD5140">
              <w:rPr>
                <w:rFonts w:ascii="Times New Roman" w:hAnsi="Times New Roman" w:cs="Times New Roman"/>
                <w:sz w:val="20"/>
                <w:szCs w:val="20"/>
                <w:lang w:val="en-US"/>
              </w:rPr>
              <w:t xml:space="preserve">) or neoplasia. </w:t>
            </w:r>
          </w:p>
          <w:p w14:paraId="46877C43"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14. Anatomical alterations: digestive stenosis or occlusion. </w:t>
            </w:r>
          </w:p>
          <w:p w14:paraId="56B6E217"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15. Allergy to any of the implantable components. </w:t>
            </w:r>
          </w:p>
          <w:p w14:paraId="410C7EB2"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 xml:space="preserve">16. Hormonal, endocrine or genetic causes of obesity. </w:t>
            </w:r>
          </w:p>
          <w:p w14:paraId="1765538D" w14:textId="77777777" w:rsidR="0071677A" w:rsidRPr="00AD5140" w:rsidRDefault="0071677A" w:rsidP="00C739F4">
            <w:pPr>
              <w:rPr>
                <w:rFonts w:ascii="Times New Roman" w:hAnsi="Times New Roman" w:cs="Times New Roman"/>
                <w:sz w:val="20"/>
                <w:szCs w:val="20"/>
                <w:lang w:val="en-US"/>
              </w:rPr>
            </w:pPr>
            <w:r w:rsidRPr="00AD5140">
              <w:rPr>
                <w:rFonts w:ascii="Times New Roman" w:hAnsi="Times New Roman" w:cs="Times New Roman"/>
                <w:sz w:val="20"/>
                <w:szCs w:val="20"/>
                <w:lang w:val="en-US"/>
              </w:rPr>
              <w:t>17. Previous abdominal radiotherapy.</w:t>
            </w:r>
          </w:p>
          <w:p w14:paraId="2542F661" w14:textId="77777777" w:rsidR="0071677A" w:rsidRPr="00AD5140" w:rsidRDefault="0071677A" w:rsidP="00C739F4">
            <w:pPr>
              <w:rPr>
                <w:rFonts w:ascii="Times New Roman" w:hAnsi="Times New Roman" w:cs="Times New Roman"/>
                <w:sz w:val="20"/>
                <w:szCs w:val="20"/>
                <w:lang w:val="en-US"/>
              </w:rPr>
            </w:pPr>
          </w:p>
        </w:tc>
      </w:tr>
    </w:tbl>
    <w:p w14:paraId="5E8A29F8" w14:textId="77777777" w:rsidR="00AD5140" w:rsidRDefault="00AD5140" w:rsidP="0071677A">
      <w:pPr>
        <w:rPr>
          <w:rFonts w:ascii="Calibri" w:hAnsi="Calibri" w:cs="Calibri"/>
          <w:b/>
          <w:bCs/>
          <w:sz w:val="24"/>
          <w:szCs w:val="24"/>
          <w:lang w:val="en-US"/>
        </w:rPr>
      </w:pPr>
    </w:p>
    <w:sectPr w:rsidR="00AD5140" w:rsidSect="00E52B41">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E8B0E" w14:textId="77777777" w:rsidR="00873D64" w:rsidRDefault="00873D64" w:rsidP="00F615E8">
      <w:pPr>
        <w:spacing w:after="0" w:line="240" w:lineRule="auto"/>
      </w:pPr>
      <w:r>
        <w:separator/>
      </w:r>
    </w:p>
  </w:endnote>
  <w:endnote w:type="continuationSeparator" w:id="0">
    <w:p w14:paraId="52E8BDED" w14:textId="77777777" w:rsidR="00873D64" w:rsidRDefault="00873D64" w:rsidP="00F61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572766"/>
      <w:docPartObj>
        <w:docPartGallery w:val="Page Numbers (Bottom of Page)"/>
        <w:docPartUnique/>
      </w:docPartObj>
    </w:sdtPr>
    <w:sdtContent>
      <w:p w14:paraId="1480609F" w14:textId="4C44223A" w:rsidR="00F615E8" w:rsidRDefault="00F615E8">
        <w:pPr>
          <w:pStyle w:val="Piedepgina"/>
          <w:jc w:val="center"/>
        </w:pPr>
        <w:r>
          <w:fldChar w:fldCharType="begin"/>
        </w:r>
        <w:r>
          <w:instrText>PAGE   \* MERGEFORMAT</w:instrText>
        </w:r>
        <w:r>
          <w:fldChar w:fldCharType="separate"/>
        </w:r>
        <w:r>
          <w:t>2</w:t>
        </w:r>
        <w:r>
          <w:fldChar w:fldCharType="end"/>
        </w:r>
      </w:p>
    </w:sdtContent>
  </w:sdt>
  <w:p w14:paraId="3D7EAF89" w14:textId="77777777" w:rsidR="00F615E8" w:rsidRDefault="00F615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22D4B" w14:textId="77777777" w:rsidR="00873D64" w:rsidRDefault="00873D64" w:rsidP="00F615E8">
      <w:pPr>
        <w:spacing w:after="0" w:line="240" w:lineRule="auto"/>
      </w:pPr>
      <w:r>
        <w:separator/>
      </w:r>
    </w:p>
  </w:footnote>
  <w:footnote w:type="continuationSeparator" w:id="0">
    <w:p w14:paraId="2A5099E1" w14:textId="77777777" w:rsidR="00873D64" w:rsidRDefault="00873D64" w:rsidP="00F615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3DC"/>
    <w:multiLevelType w:val="multilevel"/>
    <w:tmpl w:val="55F4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C5A0C"/>
    <w:multiLevelType w:val="hybridMultilevel"/>
    <w:tmpl w:val="6FE8A4F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8249E3"/>
    <w:multiLevelType w:val="hybridMultilevel"/>
    <w:tmpl w:val="80EA0232"/>
    <w:lvl w:ilvl="0" w:tplc="01B60B9C">
      <w:start w:val="1"/>
      <w:numFmt w:val="bullet"/>
      <w:lvlText w:val="-"/>
      <w:lvlJc w:val="left"/>
      <w:pPr>
        <w:ind w:left="720" w:hanging="360"/>
      </w:pPr>
      <w:rPr>
        <w:rFonts w:ascii="Calibri" w:eastAsiaTheme="minorHAnsi" w:hAnsi="Calibri" w:cs="Calibri" w:hint="default"/>
        <w:b w:val="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032D2D"/>
    <w:multiLevelType w:val="hybridMultilevel"/>
    <w:tmpl w:val="F1FC10A2"/>
    <w:lvl w:ilvl="0" w:tplc="A17C9508">
      <w:numFmt w:val="bullet"/>
      <w:lvlText w:val="-"/>
      <w:lvlJc w:val="left"/>
      <w:pPr>
        <w:ind w:left="1068" w:hanging="360"/>
      </w:pPr>
      <w:rPr>
        <w:rFonts w:ascii="Calibri" w:eastAsiaTheme="minorHAnsi"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15:restartNumberingAfterBreak="0">
    <w:nsid w:val="154C3CF8"/>
    <w:multiLevelType w:val="hybridMultilevel"/>
    <w:tmpl w:val="B782AB4C"/>
    <w:lvl w:ilvl="0" w:tplc="92E4B89C">
      <w:start w:val="1"/>
      <w:numFmt w:val="decimal"/>
      <w:lvlText w:val="%1."/>
      <w:lvlJc w:val="left"/>
      <w:pPr>
        <w:ind w:left="720" w:hanging="360"/>
      </w:pPr>
      <w:rPr>
        <w:rFonts w:hint="default"/>
        <w:b/>
        <w:color w:val="FF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D1A2EC3"/>
    <w:multiLevelType w:val="hybridMultilevel"/>
    <w:tmpl w:val="02282AC8"/>
    <w:lvl w:ilvl="0" w:tplc="FF6207E4">
      <w:numFmt w:val="bullet"/>
      <w:lvlText w:val="-"/>
      <w:lvlJc w:val="left"/>
      <w:pPr>
        <w:ind w:left="1068" w:hanging="360"/>
      </w:pPr>
      <w:rPr>
        <w:rFonts w:ascii="Calibri" w:eastAsiaTheme="minorHAnsi"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31746D87"/>
    <w:multiLevelType w:val="hybridMultilevel"/>
    <w:tmpl w:val="B73C22A4"/>
    <w:lvl w:ilvl="0" w:tplc="0C0A000F">
      <w:start w:val="1"/>
      <w:numFmt w:val="decimal"/>
      <w:lvlText w:val="%1."/>
      <w:lvlJc w:val="left"/>
      <w:pPr>
        <w:ind w:left="720" w:hanging="360"/>
      </w:pPr>
      <w:rPr>
        <w:rFonts w:hint="default"/>
        <w:b/>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9727A02"/>
    <w:multiLevelType w:val="hybridMultilevel"/>
    <w:tmpl w:val="EAC29AE4"/>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3AD81DE0"/>
    <w:multiLevelType w:val="hybridMultilevel"/>
    <w:tmpl w:val="DCAAEDA0"/>
    <w:lvl w:ilvl="0" w:tplc="CCB606D0">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23E59E8"/>
    <w:multiLevelType w:val="hybridMultilevel"/>
    <w:tmpl w:val="B504EC58"/>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EE40AC9"/>
    <w:multiLevelType w:val="multilevel"/>
    <w:tmpl w:val="E992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ED0AC4"/>
    <w:multiLevelType w:val="hybridMultilevel"/>
    <w:tmpl w:val="52E20FA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99C4824"/>
    <w:multiLevelType w:val="hybridMultilevel"/>
    <w:tmpl w:val="5CEAFEE8"/>
    <w:lvl w:ilvl="0" w:tplc="E15AE77E">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74D43882"/>
    <w:multiLevelType w:val="hybridMultilevel"/>
    <w:tmpl w:val="053E7E8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7D77088F"/>
    <w:multiLevelType w:val="hybridMultilevel"/>
    <w:tmpl w:val="301865E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60654765">
    <w:abstractNumId w:val="8"/>
  </w:num>
  <w:num w:numId="2" w16cid:durableId="2110999810">
    <w:abstractNumId w:val="12"/>
  </w:num>
  <w:num w:numId="3" w16cid:durableId="2144079559">
    <w:abstractNumId w:val="14"/>
  </w:num>
  <w:num w:numId="4" w16cid:durableId="1410493131">
    <w:abstractNumId w:val="2"/>
  </w:num>
  <w:num w:numId="5" w16cid:durableId="525102229">
    <w:abstractNumId w:val="11"/>
  </w:num>
  <w:num w:numId="6" w16cid:durableId="1394088266">
    <w:abstractNumId w:val="9"/>
  </w:num>
  <w:num w:numId="7" w16cid:durableId="900752282">
    <w:abstractNumId w:val="3"/>
  </w:num>
  <w:num w:numId="8" w16cid:durableId="71238590">
    <w:abstractNumId w:val="5"/>
  </w:num>
  <w:num w:numId="9" w16cid:durableId="1646398075">
    <w:abstractNumId w:val="13"/>
  </w:num>
  <w:num w:numId="10" w16cid:durableId="471757284">
    <w:abstractNumId w:val="10"/>
  </w:num>
  <w:num w:numId="11" w16cid:durableId="1871797354">
    <w:abstractNumId w:val="0"/>
  </w:num>
  <w:num w:numId="12" w16cid:durableId="1027171923">
    <w:abstractNumId w:val="4"/>
  </w:num>
  <w:num w:numId="13" w16cid:durableId="853765709">
    <w:abstractNumId w:val="6"/>
  </w:num>
  <w:num w:numId="14" w16cid:durableId="1976714449">
    <w:abstractNumId w:val="7"/>
  </w:num>
  <w:num w:numId="15" w16cid:durableId="132974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725"/>
    <w:rsid w:val="00022516"/>
    <w:rsid w:val="00024699"/>
    <w:rsid w:val="000259A8"/>
    <w:rsid w:val="00030B5C"/>
    <w:rsid w:val="00033951"/>
    <w:rsid w:val="00040154"/>
    <w:rsid w:val="000409E8"/>
    <w:rsid w:val="00041DA6"/>
    <w:rsid w:val="000439E7"/>
    <w:rsid w:val="000472EB"/>
    <w:rsid w:val="000543B3"/>
    <w:rsid w:val="00055B92"/>
    <w:rsid w:val="000561D4"/>
    <w:rsid w:val="000567FC"/>
    <w:rsid w:val="00056C58"/>
    <w:rsid w:val="00056D0B"/>
    <w:rsid w:val="00062DF5"/>
    <w:rsid w:val="0006547C"/>
    <w:rsid w:val="000734EA"/>
    <w:rsid w:val="0007727B"/>
    <w:rsid w:val="000820C3"/>
    <w:rsid w:val="00085B2D"/>
    <w:rsid w:val="000860BB"/>
    <w:rsid w:val="000918CF"/>
    <w:rsid w:val="00091BFC"/>
    <w:rsid w:val="000956D4"/>
    <w:rsid w:val="000A7D84"/>
    <w:rsid w:val="000B02E4"/>
    <w:rsid w:val="000B0323"/>
    <w:rsid w:val="000B3776"/>
    <w:rsid w:val="000B5516"/>
    <w:rsid w:val="000B6EDE"/>
    <w:rsid w:val="000C1D3B"/>
    <w:rsid w:val="000C307D"/>
    <w:rsid w:val="000C52FE"/>
    <w:rsid w:val="000C55E9"/>
    <w:rsid w:val="000D040C"/>
    <w:rsid w:val="000D19A5"/>
    <w:rsid w:val="000D6116"/>
    <w:rsid w:val="000D69D5"/>
    <w:rsid w:val="000D6B67"/>
    <w:rsid w:val="000E3EA0"/>
    <w:rsid w:val="000E6511"/>
    <w:rsid w:val="000F0446"/>
    <w:rsid w:val="000F14AD"/>
    <w:rsid w:val="000F67B2"/>
    <w:rsid w:val="00100399"/>
    <w:rsid w:val="00102AD8"/>
    <w:rsid w:val="00117F3B"/>
    <w:rsid w:val="00124B66"/>
    <w:rsid w:val="001306D8"/>
    <w:rsid w:val="00130829"/>
    <w:rsid w:val="00133A64"/>
    <w:rsid w:val="001360E6"/>
    <w:rsid w:val="001366FC"/>
    <w:rsid w:val="00140DE5"/>
    <w:rsid w:val="00142F60"/>
    <w:rsid w:val="00146447"/>
    <w:rsid w:val="001473D2"/>
    <w:rsid w:val="00170A7D"/>
    <w:rsid w:val="00183ED0"/>
    <w:rsid w:val="00184094"/>
    <w:rsid w:val="001900E7"/>
    <w:rsid w:val="00191A33"/>
    <w:rsid w:val="001922AF"/>
    <w:rsid w:val="00195908"/>
    <w:rsid w:val="001A475D"/>
    <w:rsid w:val="001A560D"/>
    <w:rsid w:val="001B051B"/>
    <w:rsid w:val="001B566A"/>
    <w:rsid w:val="001B6F23"/>
    <w:rsid w:val="001C5E46"/>
    <w:rsid w:val="001D6775"/>
    <w:rsid w:val="001E2370"/>
    <w:rsid w:val="001E44AC"/>
    <w:rsid w:val="00207341"/>
    <w:rsid w:val="00212CCE"/>
    <w:rsid w:val="002211AC"/>
    <w:rsid w:val="00222DD9"/>
    <w:rsid w:val="00227260"/>
    <w:rsid w:val="00235B0C"/>
    <w:rsid w:val="00251826"/>
    <w:rsid w:val="0026282D"/>
    <w:rsid w:val="0026329C"/>
    <w:rsid w:val="00265FB6"/>
    <w:rsid w:val="0027755E"/>
    <w:rsid w:val="00281E0E"/>
    <w:rsid w:val="002847AB"/>
    <w:rsid w:val="00296519"/>
    <w:rsid w:val="002A71B3"/>
    <w:rsid w:val="002B2817"/>
    <w:rsid w:val="002B2A7C"/>
    <w:rsid w:val="002B3C8E"/>
    <w:rsid w:val="002B468F"/>
    <w:rsid w:val="002C02CE"/>
    <w:rsid w:val="002C1D3F"/>
    <w:rsid w:val="002C4322"/>
    <w:rsid w:val="002D0920"/>
    <w:rsid w:val="002D145F"/>
    <w:rsid w:val="002E06CA"/>
    <w:rsid w:val="002F1D3A"/>
    <w:rsid w:val="002F5277"/>
    <w:rsid w:val="003013E0"/>
    <w:rsid w:val="00306089"/>
    <w:rsid w:val="00321D00"/>
    <w:rsid w:val="003279CD"/>
    <w:rsid w:val="0033275A"/>
    <w:rsid w:val="003337E9"/>
    <w:rsid w:val="003425B7"/>
    <w:rsid w:val="0035355F"/>
    <w:rsid w:val="00361337"/>
    <w:rsid w:val="00380ABD"/>
    <w:rsid w:val="00391C03"/>
    <w:rsid w:val="003A27C5"/>
    <w:rsid w:val="003A35D2"/>
    <w:rsid w:val="003B05B2"/>
    <w:rsid w:val="003C7FDD"/>
    <w:rsid w:val="003D0562"/>
    <w:rsid w:val="003D3CC6"/>
    <w:rsid w:val="003F37AE"/>
    <w:rsid w:val="003F38FC"/>
    <w:rsid w:val="003F3BEA"/>
    <w:rsid w:val="004007D6"/>
    <w:rsid w:val="0040472B"/>
    <w:rsid w:val="0040713A"/>
    <w:rsid w:val="00410EA1"/>
    <w:rsid w:val="004152BD"/>
    <w:rsid w:val="0042235E"/>
    <w:rsid w:val="00425ED9"/>
    <w:rsid w:val="004557D5"/>
    <w:rsid w:val="0046030A"/>
    <w:rsid w:val="00463171"/>
    <w:rsid w:val="0046367E"/>
    <w:rsid w:val="004665E4"/>
    <w:rsid w:val="00467A19"/>
    <w:rsid w:val="00473D6F"/>
    <w:rsid w:val="00475872"/>
    <w:rsid w:val="004B2AE0"/>
    <w:rsid w:val="004B34DE"/>
    <w:rsid w:val="004B6DE0"/>
    <w:rsid w:val="004C2142"/>
    <w:rsid w:val="004D3EB2"/>
    <w:rsid w:val="004E0B3D"/>
    <w:rsid w:val="004E222D"/>
    <w:rsid w:val="004E3C9B"/>
    <w:rsid w:val="00506CA3"/>
    <w:rsid w:val="005255FF"/>
    <w:rsid w:val="005409B2"/>
    <w:rsid w:val="00546399"/>
    <w:rsid w:val="00555B16"/>
    <w:rsid w:val="00563A3E"/>
    <w:rsid w:val="00564702"/>
    <w:rsid w:val="0057339B"/>
    <w:rsid w:val="00575623"/>
    <w:rsid w:val="00585E1B"/>
    <w:rsid w:val="00586DA5"/>
    <w:rsid w:val="005912A0"/>
    <w:rsid w:val="005942DA"/>
    <w:rsid w:val="005A444F"/>
    <w:rsid w:val="005A537C"/>
    <w:rsid w:val="005B26E9"/>
    <w:rsid w:val="005C07F7"/>
    <w:rsid w:val="005C17FD"/>
    <w:rsid w:val="005C53AB"/>
    <w:rsid w:val="005D70FD"/>
    <w:rsid w:val="005D79B7"/>
    <w:rsid w:val="005E76DD"/>
    <w:rsid w:val="005F5D02"/>
    <w:rsid w:val="005F7713"/>
    <w:rsid w:val="00601F9F"/>
    <w:rsid w:val="00602394"/>
    <w:rsid w:val="006053A4"/>
    <w:rsid w:val="00611B24"/>
    <w:rsid w:val="00614A44"/>
    <w:rsid w:val="0062362C"/>
    <w:rsid w:val="006320D0"/>
    <w:rsid w:val="00634C67"/>
    <w:rsid w:val="006522D0"/>
    <w:rsid w:val="00652826"/>
    <w:rsid w:val="00653A31"/>
    <w:rsid w:val="006555C0"/>
    <w:rsid w:val="006650CD"/>
    <w:rsid w:val="00666924"/>
    <w:rsid w:val="00670F53"/>
    <w:rsid w:val="00671851"/>
    <w:rsid w:val="00671A06"/>
    <w:rsid w:val="00672E4B"/>
    <w:rsid w:val="006742E3"/>
    <w:rsid w:val="006771CE"/>
    <w:rsid w:val="0067771C"/>
    <w:rsid w:val="00683422"/>
    <w:rsid w:val="006922FD"/>
    <w:rsid w:val="0069319C"/>
    <w:rsid w:val="00695EE6"/>
    <w:rsid w:val="006A2D3D"/>
    <w:rsid w:val="006B0F8E"/>
    <w:rsid w:val="006B228D"/>
    <w:rsid w:val="006B3B5A"/>
    <w:rsid w:val="006B6626"/>
    <w:rsid w:val="006C54D2"/>
    <w:rsid w:val="006D43B7"/>
    <w:rsid w:val="006D520E"/>
    <w:rsid w:val="006D5936"/>
    <w:rsid w:val="006D7F06"/>
    <w:rsid w:val="006E11FF"/>
    <w:rsid w:val="006F0740"/>
    <w:rsid w:val="006F0A8F"/>
    <w:rsid w:val="006F1B38"/>
    <w:rsid w:val="006F62C9"/>
    <w:rsid w:val="00702631"/>
    <w:rsid w:val="00706E7D"/>
    <w:rsid w:val="00710ED7"/>
    <w:rsid w:val="007111C2"/>
    <w:rsid w:val="0071309C"/>
    <w:rsid w:val="00714577"/>
    <w:rsid w:val="007146DE"/>
    <w:rsid w:val="0071520F"/>
    <w:rsid w:val="0071677A"/>
    <w:rsid w:val="0072532B"/>
    <w:rsid w:val="00740FEE"/>
    <w:rsid w:val="007432C5"/>
    <w:rsid w:val="00743AD5"/>
    <w:rsid w:val="00744517"/>
    <w:rsid w:val="00756B0E"/>
    <w:rsid w:val="00767BCB"/>
    <w:rsid w:val="00774036"/>
    <w:rsid w:val="00775800"/>
    <w:rsid w:val="00775FD3"/>
    <w:rsid w:val="007943E6"/>
    <w:rsid w:val="00794E33"/>
    <w:rsid w:val="007A2705"/>
    <w:rsid w:val="007A4D2C"/>
    <w:rsid w:val="007C4A7E"/>
    <w:rsid w:val="007C5F00"/>
    <w:rsid w:val="007C68A7"/>
    <w:rsid w:val="007D2488"/>
    <w:rsid w:val="007D349A"/>
    <w:rsid w:val="007D3865"/>
    <w:rsid w:val="007E18DD"/>
    <w:rsid w:val="007E1C10"/>
    <w:rsid w:val="007F3A6F"/>
    <w:rsid w:val="008040BF"/>
    <w:rsid w:val="00804CDB"/>
    <w:rsid w:val="00805614"/>
    <w:rsid w:val="008126F0"/>
    <w:rsid w:val="008151E3"/>
    <w:rsid w:val="0082316D"/>
    <w:rsid w:val="008310A5"/>
    <w:rsid w:val="00842947"/>
    <w:rsid w:val="00845843"/>
    <w:rsid w:val="008511A4"/>
    <w:rsid w:val="00851CAE"/>
    <w:rsid w:val="00852980"/>
    <w:rsid w:val="008663B6"/>
    <w:rsid w:val="0086664F"/>
    <w:rsid w:val="00873D64"/>
    <w:rsid w:val="00885875"/>
    <w:rsid w:val="00887611"/>
    <w:rsid w:val="008931D5"/>
    <w:rsid w:val="008A1EA4"/>
    <w:rsid w:val="008A200F"/>
    <w:rsid w:val="008A3BBF"/>
    <w:rsid w:val="008B204C"/>
    <w:rsid w:val="008B44B8"/>
    <w:rsid w:val="008C6579"/>
    <w:rsid w:val="008C669E"/>
    <w:rsid w:val="008C750D"/>
    <w:rsid w:val="008D31BE"/>
    <w:rsid w:val="008D3AD7"/>
    <w:rsid w:val="008E3EFC"/>
    <w:rsid w:val="008E5A85"/>
    <w:rsid w:val="008E630F"/>
    <w:rsid w:val="008E6FDB"/>
    <w:rsid w:val="008E759F"/>
    <w:rsid w:val="008E7EBF"/>
    <w:rsid w:val="008F0AE6"/>
    <w:rsid w:val="008F2575"/>
    <w:rsid w:val="008F56D9"/>
    <w:rsid w:val="00902A1E"/>
    <w:rsid w:val="009044F5"/>
    <w:rsid w:val="00907EB1"/>
    <w:rsid w:val="00913F54"/>
    <w:rsid w:val="0092267C"/>
    <w:rsid w:val="00927736"/>
    <w:rsid w:val="009313E0"/>
    <w:rsid w:val="00933887"/>
    <w:rsid w:val="00935937"/>
    <w:rsid w:val="009537AA"/>
    <w:rsid w:val="0095789A"/>
    <w:rsid w:val="00957EA1"/>
    <w:rsid w:val="00960087"/>
    <w:rsid w:val="00960D91"/>
    <w:rsid w:val="00973739"/>
    <w:rsid w:val="00981B08"/>
    <w:rsid w:val="00990190"/>
    <w:rsid w:val="00997C2F"/>
    <w:rsid w:val="009A119E"/>
    <w:rsid w:val="009B10CE"/>
    <w:rsid w:val="009B7389"/>
    <w:rsid w:val="009B78D4"/>
    <w:rsid w:val="009C7748"/>
    <w:rsid w:val="009D45EC"/>
    <w:rsid w:val="009E06CA"/>
    <w:rsid w:val="009E2D4F"/>
    <w:rsid w:val="009F19D6"/>
    <w:rsid w:val="009F39DA"/>
    <w:rsid w:val="009F5078"/>
    <w:rsid w:val="00A013AE"/>
    <w:rsid w:val="00A04F39"/>
    <w:rsid w:val="00A06F8C"/>
    <w:rsid w:val="00A26D83"/>
    <w:rsid w:val="00A42AEA"/>
    <w:rsid w:val="00A43FAB"/>
    <w:rsid w:val="00A45C74"/>
    <w:rsid w:val="00A45EFE"/>
    <w:rsid w:val="00A57BCD"/>
    <w:rsid w:val="00A602C1"/>
    <w:rsid w:val="00A65932"/>
    <w:rsid w:val="00A753EE"/>
    <w:rsid w:val="00A75B15"/>
    <w:rsid w:val="00A77F75"/>
    <w:rsid w:val="00A834F9"/>
    <w:rsid w:val="00A84BDD"/>
    <w:rsid w:val="00AA0B1B"/>
    <w:rsid w:val="00AA1998"/>
    <w:rsid w:val="00AA5000"/>
    <w:rsid w:val="00AB2832"/>
    <w:rsid w:val="00AD4B6C"/>
    <w:rsid w:val="00AD5140"/>
    <w:rsid w:val="00AD72D9"/>
    <w:rsid w:val="00AE2E66"/>
    <w:rsid w:val="00AF0823"/>
    <w:rsid w:val="00AF49D4"/>
    <w:rsid w:val="00AF5F47"/>
    <w:rsid w:val="00AF6B2E"/>
    <w:rsid w:val="00B02833"/>
    <w:rsid w:val="00B04301"/>
    <w:rsid w:val="00B10D3E"/>
    <w:rsid w:val="00B14F9D"/>
    <w:rsid w:val="00B200AD"/>
    <w:rsid w:val="00B22CB0"/>
    <w:rsid w:val="00B54F70"/>
    <w:rsid w:val="00B55ABD"/>
    <w:rsid w:val="00B560F2"/>
    <w:rsid w:val="00B62421"/>
    <w:rsid w:val="00B63BC7"/>
    <w:rsid w:val="00B66B8D"/>
    <w:rsid w:val="00B75725"/>
    <w:rsid w:val="00B85364"/>
    <w:rsid w:val="00B8740D"/>
    <w:rsid w:val="00B90F58"/>
    <w:rsid w:val="00B93F53"/>
    <w:rsid w:val="00B95BBB"/>
    <w:rsid w:val="00BB566A"/>
    <w:rsid w:val="00BC2E13"/>
    <w:rsid w:val="00BD5BB2"/>
    <w:rsid w:val="00BD6727"/>
    <w:rsid w:val="00BE076A"/>
    <w:rsid w:val="00BE260B"/>
    <w:rsid w:val="00BF291E"/>
    <w:rsid w:val="00BF2AEB"/>
    <w:rsid w:val="00BF778A"/>
    <w:rsid w:val="00C031B7"/>
    <w:rsid w:val="00C04189"/>
    <w:rsid w:val="00C130A7"/>
    <w:rsid w:val="00C17F1B"/>
    <w:rsid w:val="00C20848"/>
    <w:rsid w:val="00C20C03"/>
    <w:rsid w:val="00C247F4"/>
    <w:rsid w:val="00C2570A"/>
    <w:rsid w:val="00C32F54"/>
    <w:rsid w:val="00C354F5"/>
    <w:rsid w:val="00C444BF"/>
    <w:rsid w:val="00C467F6"/>
    <w:rsid w:val="00C64D9D"/>
    <w:rsid w:val="00C725D9"/>
    <w:rsid w:val="00C73B89"/>
    <w:rsid w:val="00C74C23"/>
    <w:rsid w:val="00C83519"/>
    <w:rsid w:val="00C83EFE"/>
    <w:rsid w:val="00C84B26"/>
    <w:rsid w:val="00C84DBB"/>
    <w:rsid w:val="00C90A38"/>
    <w:rsid w:val="00CA0315"/>
    <w:rsid w:val="00CA2C33"/>
    <w:rsid w:val="00CA2DB2"/>
    <w:rsid w:val="00CA5445"/>
    <w:rsid w:val="00CA6345"/>
    <w:rsid w:val="00CC29CA"/>
    <w:rsid w:val="00CC33D9"/>
    <w:rsid w:val="00CC4835"/>
    <w:rsid w:val="00CC7539"/>
    <w:rsid w:val="00CD409B"/>
    <w:rsid w:val="00CE3746"/>
    <w:rsid w:val="00CE73EF"/>
    <w:rsid w:val="00CF144B"/>
    <w:rsid w:val="00D02768"/>
    <w:rsid w:val="00D03F42"/>
    <w:rsid w:val="00D06585"/>
    <w:rsid w:val="00D07371"/>
    <w:rsid w:val="00D27F35"/>
    <w:rsid w:val="00D360A4"/>
    <w:rsid w:val="00D4348D"/>
    <w:rsid w:val="00D51D96"/>
    <w:rsid w:val="00D8767E"/>
    <w:rsid w:val="00D927F5"/>
    <w:rsid w:val="00D95D55"/>
    <w:rsid w:val="00DA79A7"/>
    <w:rsid w:val="00DB1F82"/>
    <w:rsid w:val="00DB2785"/>
    <w:rsid w:val="00DC3567"/>
    <w:rsid w:val="00DC3E29"/>
    <w:rsid w:val="00DC5CB7"/>
    <w:rsid w:val="00DC6B7F"/>
    <w:rsid w:val="00DD330F"/>
    <w:rsid w:val="00DE60AB"/>
    <w:rsid w:val="00E0135F"/>
    <w:rsid w:val="00E052A2"/>
    <w:rsid w:val="00E219C3"/>
    <w:rsid w:val="00E232B0"/>
    <w:rsid w:val="00E27F9B"/>
    <w:rsid w:val="00E32831"/>
    <w:rsid w:val="00E33347"/>
    <w:rsid w:val="00E464A5"/>
    <w:rsid w:val="00E47E7F"/>
    <w:rsid w:val="00E525B6"/>
    <w:rsid w:val="00E52B41"/>
    <w:rsid w:val="00E56A95"/>
    <w:rsid w:val="00E56C8A"/>
    <w:rsid w:val="00E674A9"/>
    <w:rsid w:val="00E7356A"/>
    <w:rsid w:val="00E754D0"/>
    <w:rsid w:val="00E80D4A"/>
    <w:rsid w:val="00E872E7"/>
    <w:rsid w:val="00E976FB"/>
    <w:rsid w:val="00EA0D7A"/>
    <w:rsid w:val="00EA177E"/>
    <w:rsid w:val="00EA3FDF"/>
    <w:rsid w:val="00EA4D8D"/>
    <w:rsid w:val="00EA54CB"/>
    <w:rsid w:val="00EA556B"/>
    <w:rsid w:val="00EA647E"/>
    <w:rsid w:val="00EB1D28"/>
    <w:rsid w:val="00EB305E"/>
    <w:rsid w:val="00EB450B"/>
    <w:rsid w:val="00ED6B6D"/>
    <w:rsid w:val="00EE20B5"/>
    <w:rsid w:val="00EE52D7"/>
    <w:rsid w:val="00EF1BCE"/>
    <w:rsid w:val="00F01560"/>
    <w:rsid w:val="00F01BD8"/>
    <w:rsid w:val="00F2317D"/>
    <w:rsid w:val="00F231E9"/>
    <w:rsid w:val="00F322A5"/>
    <w:rsid w:val="00F4241D"/>
    <w:rsid w:val="00F4335D"/>
    <w:rsid w:val="00F60B37"/>
    <w:rsid w:val="00F615E8"/>
    <w:rsid w:val="00F61E5B"/>
    <w:rsid w:val="00F65E58"/>
    <w:rsid w:val="00F74DD3"/>
    <w:rsid w:val="00F75B13"/>
    <w:rsid w:val="00F83FDE"/>
    <w:rsid w:val="00F96F91"/>
    <w:rsid w:val="00FA2EC4"/>
    <w:rsid w:val="00FB0761"/>
    <w:rsid w:val="00FB2CB6"/>
    <w:rsid w:val="00FD1A07"/>
    <w:rsid w:val="00FF64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6152"/>
  <w15:docId w15:val="{76C4A32E-0CAD-4231-A2C1-B407674E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B41"/>
  </w:style>
  <w:style w:type="paragraph" w:styleId="Ttulo1">
    <w:name w:val="heading 1"/>
    <w:basedOn w:val="Normal"/>
    <w:next w:val="Normal"/>
    <w:link w:val="Ttulo1Car"/>
    <w:uiPriority w:val="9"/>
    <w:qFormat/>
    <w:rsid w:val="00B75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5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57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57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57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57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57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57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572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57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57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572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572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572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572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572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572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5725"/>
    <w:rPr>
      <w:rFonts w:eastAsiaTheme="majorEastAsia" w:cstheme="majorBidi"/>
      <w:color w:val="272727" w:themeColor="text1" w:themeTint="D8"/>
    </w:rPr>
  </w:style>
  <w:style w:type="paragraph" w:styleId="Ttulo">
    <w:name w:val="Title"/>
    <w:basedOn w:val="Normal"/>
    <w:next w:val="Normal"/>
    <w:link w:val="TtuloCar"/>
    <w:uiPriority w:val="10"/>
    <w:qFormat/>
    <w:rsid w:val="00B75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57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572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57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5725"/>
    <w:pPr>
      <w:spacing w:before="160"/>
      <w:jc w:val="center"/>
    </w:pPr>
    <w:rPr>
      <w:i/>
      <w:iCs/>
      <w:color w:val="404040" w:themeColor="text1" w:themeTint="BF"/>
    </w:rPr>
  </w:style>
  <w:style w:type="character" w:customStyle="1" w:styleId="CitaCar">
    <w:name w:val="Cita Car"/>
    <w:basedOn w:val="Fuentedeprrafopredeter"/>
    <w:link w:val="Cita"/>
    <w:uiPriority w:val="29"/>
    <w:rsid w:val="00B75725"/>
    <w:rPr>
      <w:i/>
      <w:iCs/>
      <w:color w:val="404040" w:themeColor="text1" w:themeTint="BF"/>
    </w:rPr>
  </w:style>
  <w:style w:type="paragraph" w:styleId="Prrafodelista">
    <w:name w:val="List Paragraph"/>
    <w:aliases w:val="Bullet1,Lit Rev Titolo 1,Trust List Numbering,Para1"/>
    <w:basedOn w:val="Normal"/>
    <w:link w:val="PrrafodelistaCar"/>
    <w:uiPriority w:val="34"/>
    <w:qFormat/>
    <w:rsid w:val="00B75725"/>
    <w:pPr>
      <w:ind w:left="720"/>
      <w:contextualSpacing/>
    </w:pPr>
  </w:style>
  <w:style w:type="character" w:styleId="nfasisintenso">
    <w:name w:val="Intense Emphasis"/>
    <w:basedOn w:val="Fuentedeprrafopredeter"/>
    <w:uiPriority w:val="21"/>
    <w:qFormat/>
    <w:rsid w:val="00B75725"/>
    <w:rPr>
      <w:i/>
      <w:iCs/>
      <w:color w:val="0F4761" w:themeColor="accent1" w:themeShade="BF"/>
    </w:rPr>
  </w:style>
  <w:style w:type="paragraph" w:styleId="Citadestacada">
    <w:name w:val="Intense Quote"/>
    <w:basedOn w:val="Normal"/>
    <w:next w:val="Normal"/>
    <w:link w:val="CitadestacadaCar"/>
    <w:uiPriority w:val="30"/>
    <w:qFormat/>
    <w:rsid w:val="00B75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5725"/>
    <w:rPr>
      <w:i/>
      <w:iCs/>
      <w:color w:val="0F4761" w:themeColor="accent1" w:themeShade="BF"/>
    </w:rPr>
  </w:style>
  <w:style w:type="character" w:styleId="Referenciaintensa">
    <w:name w:val="Intense Reference"/>
    <w:basedOn w:val="Fuentedeprrafopredeter"/>
    <w:uiPriority w:val="32"/>
    <w:qFormat/>
    <w:rsid w:val="00B75725"/>
    <w:rPr>
      <w:b/>
      <w:bCs/>
      <w:smallCaps/>
      <w:color w:val="0F4761" w:themeColor="accent1" w:themeShade="BF"/>
      <w:spacing w:val="5"/>
    </w:rPr>
  </w:style>
  <w:style w:type="table" w:customStyle="1" w:styleId="Tablaconcuadrcula4-nfasis61">
    <w:name w:val="Tabla con cuadrícula 4 - Énfasis 61"/>
    <w:basedOn w:val="Tablanormal"/>
    <w:uiPriority w:val="49"/>
    <w:rsid w:val="002D0920"/>
    <w:pPr>
      <w:spacing w:after="0" w:line="240" w:lineRule="auto"/>
    </w:pPr>
    <w:rPr>
      <w:kern w:val="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4-nfasis41">
    <w:name w:val="Tabla con cuadrícula 4 - Énfasis 41"/>
    <w:basedOn w:val="Tablanormal"/>
    <w:uiPriority w:val="49"/>
    <w:rsid w:val="002D0920"/>
    <w:pPr>
      <w:spacing w:after="0" w:line="240" w:lineRule="auto"/>
    </w:pPr>
    <w:rPr>
      <w:kern w:val="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character" w:customStyle="1" w:styleId="PrrafodelistaCar">
    <w:name w:val="Párrafo de lista Car"/>
    <w:aliases w:val="Bullet1 Car,Lit Rev Titolo 1 Car,Trust List Numbering Car,Para1 Car"/>
    <w:basedOn w:val="Fuentedeprrafopredeter"/>
    <w:link w:val="Prrafodelista"/>
    <w:uiPriority w:val="34"/>
    <w:locked/>
    <w:rsid w:val="005A444F"/>
  </w:style>
  <w:style w:type="paragraph" w:styleId="Textodeglobo">
    <w:name w:val="Balloon Text"/>
    <w:basedOn w:val="Normal"/>
    <w:link w:val="TextodegloboCar"/>
    <w:uiPriority w:val="99"/>
    <w:semiHidden/>
    <w:unhideWhenUsed/>
    <w:rsid w:val="006D520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D520E"/>
    <w:rPr>
      <w:rFonts w:ascii="Tahoma" w:hAnsi="Tahoma" w:cs="Tahoma"/>
      <w:sz w:val="16"/>
      <w:szCs w:val="16"/>
    </w:rPr>
  </w:style>
  <w:style w:type="table" w:styleId="Tablaconcuadrcula">
    <w:name w:val="Table Grid"/>
    <w:basedOn w:val="Tablanormal"/>
    <w:uiPriority w:val="59"/>
    <w:rsid w:val="00555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63A3E"/>
    <w:rPr>
      <w:color w:val="0000FF"/>
      <w:u w:val="single"/>
    </w:rPr>
  </w:style>
  <w:style w:type="character" w:customStyle="1" w:styleId="period">
    <w:name w:val="period"/>
    <w:basedOn w:val="Fuentedeprrafopredeter"/>
    <w:rsid w:val="00563A3E"/>
  </w:style>
  <w:style w:type="character" w:customStyle="1" w:styleId="cit">
    <w:name w:val="cit"/>
    <w:basedOn w:val="Fuentedeprrafopredeter"/>
    <w:rsid w:val="00563A3E"/>
  </w:style>
  <w:style w:type="character" w:customStyle="1" w:styleId="authors-list-item">
    <w:name w:val="authors-list-item"/>
    <w:basedOn w:val="Fuentedeprrafopredeter"/>
    <w:rsid w:val="00563A3E"/>
  </w:style>
  <w:style w:type="character" w:customStyle="1" w:styleId="comma">
    <w:name w:val="comma"/>
    <w:basedOn w:val="Fuentedeprrafopredeter"/>
    <w:rsid w:val="00563A3E"/>
  </w:style>
  <w:style w:type="paragraph" w:styleId="NormalWeb">
    <w:name w:val="Normal (Web)"/>
    <w:basedOn w:val="Normal"/>
    <w:uiPriority w:val="99"/>
    <w:semiHidden/>
    <w:unhideWhenUsed/>
    <w:rsid w:val="007A2705"/>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DC6B7F"/>
    <w:rPr>
      <w:sz w:val="16"/>
      <w:szCs w:val="16"/>
    </w:rPr>
  </w:style>
  <w:style w:type="paragraph" w:styleId="Textocomentario">
    <w:name w:val="annotation text"/>
    <w:basedOn w:val="Normal"/>
    <w:link w:val="TextocomentarioCar"/>
    <w:uiPriority w:val="99"/>
    <w:semiHidden/>
    <w:unhideWhenUsed/>
    <w:rsid w:val="00F96F9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96F91"/>
    <w:rPr>
      <w:sz w:val="20"/>
      <w:szCs w:val="20"/>
    </w:rPr>
  </w:style>
  <w:style w:type="paragraph" w:styleId="Encabezado">
    <w:name w:val="header"/>
    <w:basedOn w:val="Normal"/>
    <w:link w:val="EncabezadoCar"/>
    <w:uiPriority w:val="99"/>
    <w:unhideWhenUsed/>
    <w:rsid w:val="00F615E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615E8"/>
  </w:style>
  <w:style w:type="paragraph" w:styleId="Piedepgina">
    <w:name w:val="footer"/>
    <w:basedOn w:val="Normal"/>
    <w:link w:val="PiedepginaCar"/>
    <w:uiPriority w:val="99"/>
    <w:unhideWhenUsed/>
    <w:rsid w:val="00F615E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61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72555">
      <w:bodyDiv w:val="1"/>
      <w:marLeft w:val="0"/>
      <w:marRight w:val="0"/>
      <w:marTop w:val="0"/>
      <w:marBottom w:val="0"/>
      <w:divBdr>
        <w:top w:val="none" w:sz="0" w:space="0" w:color="auto"/>
        <w:left w:val="none" w:sz="0" w:space="0" w:color="auto"/>
        <w:bottom w:val="none" w:sz="0" w:space="0" w:color="auto"/>
        <w:right w:val="none" w:sz="0" w:space="0" w:color="auto"/>
      </w:divBdr>
    </w:div>
    <w:div w:id="104203018">
      <w:bodyDiv w:val="1"/>
      <w:marLeft w:val="0"/>
      <w:marRight w:val="0"/>
      <w:marTop w:val="0"/>
      <w:marBottom w:val="0"/>
      <w:divBdr>
        <w:top w:val="none" w:sz="0" w:space="0" w:color="auto"/>
        <w:left w:val="none" w:sz="0" w:space="0" w:color="auto"/>
        <w:bottom w:val="none" w:sz="0" w:space="0" w:color="auto"/>
        <w:right w:val="none" w:sz="0" w:space="0" w:color="auto"/>
      </w:divBdr>
    </w:div>
    <w:div w:id="568541352">
      <w:bodyDiv w:val="1"/>
      <w:marLeft w:val="0"/>
      <w:marRight w:val="0"/>
      <w:marTop w:val="0"/>
      <w:marBottom w:val="0"/>
      <w:divBdr>
        <w:top w:val="none" w:sz="0" w:space="0" w:color="auto"/>
        <w:left w:val="none" w:sz="0" w:space="0" w:color="auto"/>
        <w:bottom w:val="none" w:sz="0" w:space="0" w:color="auto"/>
        <w:right w:val="none" w:sz="0" w:space="0" w:color="auto"/>
      </w:divBdr>
    </w:div>
    <w:div w:id="599140834">
      <w:bodyDiv w:val="1"/>
      <w:marLeft w:val="0"/>
      <w:marRight w:val="0"/>
      <w:marTop w:val="0"/>
      <w:marBottom w:val="0"/>
      <w:divBdr>
        <w:top w:val="none" w:sz="0" w:space="0" w:color="auto"/>
        <w:left w:val="none" w:sz="0" w:space="0" w:color="auto"/>
        <w:bottom w:val="none" w:sz="0" w:space="0" w:color="auto"/>
        <w:right w:val="none" w:sz="0" w:space="0" w:color="auto"/>
      </w:divBdr>
    </w:div>
    <w:div w:id="736825294">
      <w:bodyDiv w:val="1"/>
      <w:marLeft w:val="0"/>
      <w:marRight w:val="0"/>
      <w:marTop w:val="0"/>
      <w:marBottom w:val="0"/>
      <w:divBdr>
        <w:top w:val="none" w:sz="0" w:space="0" w:color="auto"/>
        <w:left w:val="none" w:sz="0" w:space="0" w:color="auto"/>
        <w:bottom w:val="none" w:sz="0" w:space="0" w:color="auto"/>
        <w:right w:val="none" w:sz="0" w:space="0" w:color="auto"/>
      </w:divBdr>
    </w:div>
    <w:div w:id="863716907">
      <w:bodyDiv w:val="1"/>
      <w:marLeft w:val="0"/>
      <w:marRight w:val="0"/>
      <w:marTop w:val="0"/>
      <w:marBottom w:val="0"/>
      <w:divBdr>
        <w:top w:val="none" w:sz="0" w:space="0" w:color="auto"/>
        <w:left w:val="none" w:sz="0" w:space="0" w:color="auto"/>
        <w:bottom w:val="none" w:sz="0" w:space="0" w:color="auto"/>
        <w:right w:val="none" w:sz="0" w:space="0" w:color="auto"/>
      </w:divBdr>
      <w:divsChild>
        <w:div w:id="1933734388">
          <w:marLeft w:val="0"/>
          <w:marRight w:val="0"/>
          <w:marTop w:val="0"/>
          <w:marBottom w:val="0"/>
          <w:divBdr>
            <w:top w:val="none" w:sz="0" w:space="0" w:color="auto"/>
            <w:left w:val="none" w:sz="0" w:space="0" w:color="auto"/>
            <w:bottom w:val="none" w:sz="0" w:space="0" w:color="auto"/>
            <w:right w:val="none" w:sz="0" w:space="0" w:color="auto"/>
          </w:divBdr>
          <w:divsChild>
            <w:div w:id="1278869834">
              <w:marLeft w:val="0"/>
              <w:marRight w:val="0"/>
              <w:marTop w:val="0"/>
              <w:marBottom w:val="0"/>
              <w:divBdr>
                <w:top w:val="none" w:sz="0" w:space="0" w:color="auto"/>
                <w:left w:val="none" w:sz="0" w:space="0" w:color="auto"/>
                <w:bottom w:val="none" w:sz="0" w:space="0" w:color="auto"/>
                <w:right w:val="none" w:sz="0" w:space="0" w:color="auto"/>
              </w:divBdr>
              <w:divsChild>
                <w:div w:id="297419626">
                  <w:marLeft w:val="0"/>
                  <w:marRight w:val="0"/>
                  <w:marTop w:val="0"/>
                  <w:marBottom w:val="0"/>
                  <w:divBdr>
                    <w:top w:val="none" w:sz="0" w:space="0" w:color="auto"/>
                    <w:left w:val="none" w:sz="0" w:space="0" w:color="auto"/>
                    <w:bottom w:val="none" w:sz="0" w:space="0" w:color="auto"/>
                    <w:right w:val="none" w:sz="0" w:space="0" w:color="auto"/>
                  </w:divBdr>
                  <w:divsChild>
                    <w:div w:id="10088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522336">
          <w:marLeft w:val="0"/>
          <w:marRight w:val="0"/>
          <w:marTop w:val="0"/>
          <w:marBottom w:val="0"/>
          <w:divBdr>
            <w:top w:val="none" w:sz="0" w:space="0" w:color="auto"/>
            <w:left w:val="none" w:sz="0" w:space="0" w:color="auto"/>
            <w:bottom w:val="none" w:sz="0" w:space="0" w:color="auto"/>
            <w:right w:val="none" w:sz="0" w:space="0" w:color="auto"/>
          </w:divBdr>
          <w:divsChild>
            <w:div w:id="516386971">
              <w:marLeft w:val="0"/>
              <w:marRight w:val="0"/>
              <w:marTop w:val="0"/>
              <w:marBottom w:val="0"/>
              <w:divBdr>
                <w:top w:val="none" w:sz="0" w:space="0" w:color="auto"/>
                <w:left w:val="none" w:sz="0" w:space="0" w:color="auto"/>
                <w:bottom w:val="none" w:sz="0" w:space="0" w:color="auto"/>
                <w:right w:val="none" w:sz="0" w:space="0" w:color="auto"/>
              </w:divBdr>
              <w:divsChild>
                <w:div w:id="11527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02777">
      <w:bodyDiv w:val="1"/>
      <w:marLeft w:val="0"/>
      <w:marRight w:val="0"/>
      <w:marTop w:val="0"/>
      <w:marBottom w:val="0"/>
      <w:divBdr>
        <w:top w:val="none" w:sz="0" w:space="0" w:color="auto"/>
        <w:left w:val="none" w:sz="0" w:space="0" w:color="auto"/>
        <w:bottom w:val="none" w:sz="0" w:space="0" w:color="auto"/>
        <w:right w:val="none" w:sz="0" w:space="0" w:color="auto"/>
      </w:divBdr>
    </w:div>
    <w:div w:id="1390298714">
      <w:bodyDiv w:val="1"/>
      <w:marLeft w:val="0"/>
      <w:marRight w:val="0"/>
      <w:marTop w:val="0"/>
      <w:marBottom w:val="0"/>
      <w:divBdr>
        <w:top w:val="none" w:sz="0" w:space="0" w:color="auto"/>
        <w:left w:val="none" w:sz="0" w:space="0" w:color="auto"/>
        <w:bottom w:val="none" w:sz="0" w:space="0" w:color="auto"/>
        <w:right w:val="none" w:sz="0" w:space="0" w:color="auto"/>
      </w:divBdr>
    </w:div>
    <w:div w:id="1575889892">
      <w:bodyDiv w:val="1"/>
      <w:marLeft w:val="0"/>
      <w:marRight w:val="0"/>
      <w:marTop w:val="0"/>
      <w:marBottom w:val="0"/>
      <w:divBdr>
        <w:top w:val="none" w:sz="0" w:space="0" w:color="auto"/>
        <w:left w:val="none" w:sz="0" w:space="0" w:color="auto"/>
        <w:bottom w:val="none" w:sz="0" w:space="0" w:color="auto"/>
        <w:right w:val="none" w:sz="0" w:space="0" w:color="auto"/>
      </w:divBdr>
      <w:divsChild>
        <w:div w:id="66926158">
          <w:marLeft w:val="0"/>
          <w:marRight w:val="0"/>
          <w:marTop w:val="0"/>
          <w:marBottom w:val="0"/>
          <w:divBdr>
            <w:top w:val="none" w:sz="0" w:space="0" w:color="auto"/>
            <w:left w:val="none" w:sz="0" w:space="0" w:color="auto"/>
            <w:bottom w:val="none" w:sz="0" w:space="0" w:color="auto"/>
            <w:right w:val="none" w:sz="0" w:space="0" w:color="auto"/>
          </w:divBdr>
          <w:divsChild>
            <w:div w:id="1864202599">
              <w:marLeft w:val="0"/>
              <w:marRight w:val="0"/>
              <w:marTop w:val="0"/>
              <w:marBottom w:val="0"/>
              <w:divBdr>
                <w:top w:val="none" w:sz="0" w:space="0" w:color="auto"/>
                <w:left w:val="none" w:sz="0" w:space="0" w:color="auto"/>
                <w:bottom w:val="none" w:sz="0" w:space="0" w:color="auto"/>
                <w:right w:val="none" w:sz="0" w:space="0" w:color="auto"/>
              </w:divBdr>
              <w:divsChild>
                <w:div w:id="81872991">
                  <w:marLeft w:val="0"/>
                  <w:marRight w:val="0"/>
                  <w:marTop w:val="0"/>
                  <w:marBottom w:val="0"/>
                  <w:divBdr>
                    <w:top w:val="none" w:sz="0" w:space="0" w:color="auto"/>
                    <w:left w:val="none" w:sz="0" w:space="0" w:color="auto"/>
                    <w:bottom w:val="none" w:sz="0" w:space="0" w:color="auto"/>
                    <w:right w:val="none" w:sz="0" w:space="0" w:color="auto"/>
                  </w:divBdr>
                  <w:divsChild>
                    <w:div w:id="19473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996229">
      <w:bodyDiv w:val="1"/>
      <w:marLeft w:val="0"/>
      <w:marRight w:val="0"/>
      <w:marTop w:val="0"/>
      <w:marBottom w:val="0"/>
      <w:divBdr>
        <w:top w:val="none" w:sz="0" w:space="0" w:color="auto"/>
        <w:left w:val="none" w:sz="0" w:space="0" w:color="auto"/>
        <w:bottom w:val="none" w:sz="0" w:space="0" w:color="auto"/>
        <w:right w:val="none" w:sz="0" w:space="0" w:color="auto"/>
      </w:divBdr>
    </w:div>
    <w:div w:id="1764643411">
      <w:bodyDiv w:val="1"/>
      <w:marLeft w:val="0"/>
      <w:marRight w:val="0"/>
      <w:marTop w:val="0"/>
      <w:marBottom w:val="0"/>
      <w:divBdr>
        <w:top w:val="none" w:sz="0" w:space="0" w:color="auto"/>
        <w:left w:val="none" w:sz="0" w:space="0" w:color="auto"/>
        <w:bottom w:val="none" w:sz="0" w:space="0" w:color="auto"/>
        <w:right w:val="none" w:sz="0" w:space="0" w:color="auto"/>
      </w:divBdr>
    </w:div>
    <w:div w:id="1785419978">
      <w:bodyDiv w:val="1"/>
      <w:marLeft w:val="0"/>
      <w:marRight w:val="0"/>
      <w:marTop w:val="0"/>
      <w:marBottom w:val="0"/>
      <w:divBdr>
        <w:top w:val="none" w:sz="0" w:space="0" w:color="auto"/>
        <w:left w:val="none" w:sz="0" w:space="0" w:color="auto"/>
        <w:bottom w:val="none" w:sz="0" w:space="0" w:color="auto"/>
        <w:right w:val="none" w:sz="0" w:space="0" w:color="auto"/>
      </w:divBdr>
      <w:divsChild>
        <w:div w:id="1200894007">
          <w:marLeft w:val="0"/>
          <w:marRight w:val="0"/>
          <w:marTop w:val="0"/>
          <w:marBottom w:val="0"/>
          <w:divBdr>
            <w:top w:val="none" w:sz="0" w:space="0" w:color="auto"/>
            <w:left w:val="none" w:sz="0" w:space="0" w:color="auto"/>
            <w:bottom w:val="none" w:sz="0" w:space="0" w:color="auto"/>
            <w:right w:val="none" w:sz="0" w:space="0" w:color="auto"/>
          </w:divBdr>
        </w:div>
        <w:div w:id="1144395115">
          <w:marLeft w:val="0"/>
          <w:marRight w:val="0"/>
          <w:marTop w:val="0"/>
          <w:marBottom w:val="0"/>
          <w:divBdr>
            <w:top w:val="none" w:sz="0" w:space="0" w:color="auto"/>
            <w:left w:val="none" w:sz="0" w:space="0" w:color="auto"/>
            <w:bottom w:val="none" w:sz="0" w:space="0" w:color="auto"/>
            <w:right w:val="none" w:sz="0" w:space="0" w:color="auto"/>
          </w:divBdr>
        </w:div>
        <w:div w:id="1084035296">
          <w:marLeft w:val="0"/>
          <w:marRight w:val="0"/>
          <w:marTop w:val="0"/>
          <w:marBottom w:val="0"/>
          <w:divBdr>
            <w:top w:val="none" w:sz="0" w:space="0" w:color="auto"/>
            <w:left w:val="none" w:sz="0" w:space="0" w:color="auto"/>
            <w:bottom w:val="none" w:sz="0" w:space="0" w:color="auto"/>
            <w:right w:val="none" w:sz="0" w:space="0" w:color="auto"/>
          </w:divBdr>
        </w:div>
      </w:divsChild>
    </w:div>
    <w:div w:id="185873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F733C-D7AE-43FE-A516-5246FC063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394</Words>
  <Characters>2173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Quirónsalud</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Espinet Coll</dc:creator>
  <cp:lastModifiedBy>Eduardo Espinet Coll</cp:lastModifiedBy>
  <cp:revision>6</cp:revision>
  <cp:lastPrinted>2024-10-28T07:52:00Z</cp:lastPrinted>
  <dcterms:created xsi:type="dcterms:W3CDTF">2025-03-08T09:00:00Z</dcterms:created>
  <dcterms:modified xsi:type="dcterms:W3CDTF">2025-05-02T18:09:00Z</dcterms:modified>
</cp:coreProperties>
</file>