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pPr>
      <w:r w:rsidDel="00000000" w:rsidR="00000000" w:rsidRPr="00000000">
        <w:rPr>
          <w:rFonts w:ascii="Times New Roman" w:cs="Times New Roman" w:eastAsia="Times New Roman" w:hAnsi="Times New Roman"/>
          <w:b w:val="1"/>
          <w:bCs w:val="1"/>
          <w:sz w:val="24"/>
          <w:szCs w:val="24"/>
          <w:rtl w:val="0"/>
        </w:rPr>
        <w:t xml:space="preserve">Table S2. </w:t>
      </w:r>
      <w:r w:rsidDel="00000000" w:rsidR="00000000" w:rsidRPr="00000000">
        <w:rPr>
          <w:rFonts w:ascii="Times New Roman" w:cs="Times New Roman" w:eastAsia="Times New Roman" w:hAnsi="Times New Roman"/>
          <w:sz w:val="24"/>
          <w:szCs w:val="24"/>
          <w:rtl w:val="0"/>
        </w:rPr>
        <w:t xml:space="preserve">  Checklist for Reporting Results of Internet E-Surveys - CHERRIES</w:t>
      </w:r>
      <w:r w:rsidDel="00000000" w:rsidR="00000000" w:rsidRPr="00000000">
        <w:rPr>
          <w:rtl w:val="0"/>
        </w:rPr>
      </w:r>
    </w:p>
    <w:tbl>
      <w:tblPr>
        <w:tblStyle w:val="Table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0"/>
        <w:gridCol w:w="2123"/>
        <w:gridCol w:w="3674"/>
        <w:gridCol w:w="1768"/>
        <w:tblGridChange w:id="0">
          <w:tblGrid>
            <w:gridCol w:w="1840"/>
            <w:gridCol w:w="2123"/>
            <w:gridCol w:w="3674"/>
            <w:gridCol w:w="1768"/>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Category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Checklist Item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Explanation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Page</w:t>
            </w:r>
          </w:p>
        </w:tc>
      </w:tr>
      <w:tr>
        <w:trPr>
          <w:cantSplit w:val="0"/>
          <w:trHeight w:val="13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survey design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target population, sample frame. Is the sample a convenience sample? (In “open” surveys this is most likely.)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164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IRB (Institutional Review Board) approval and informed consent process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IRB approval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Mention whether the study has been approved by an IRB.</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w:t>
            </w:r>
          </w:p>
        </w:tc>
      </w:tr>
      <w:tr>
        <w:trPr>
          <w:cantSplit w:val="0"/>
          <w:trHeight w:val="216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Informed consent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informed consent process. Where were the participants told the length of time of the survey, which data were stored and where and for how long, who the investigator was, and the purpose of the study?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w:t>
            </w:r>
          </w:p>
        </w:tc>
      </w:tr>
      <w:tr>
        <w:trPr>
          <w:cantSplit w:val="0"/>
          <w:trHeight w:val="13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protection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any personal information was collected or stored, describe what mechanisms were used to protect unauthorized access.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and pre-testing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and testing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how the survey was developed, including whether the usability and technical functionality of the electronic questionnaire had been tested before fielding the questionnaire.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1925"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Recruitment process and description of the sample having access to the questionnaire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 survey versus closed survey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“open survey” is a survey open for each visitor of a site, while a closed survey is only open to a sample which the investigator knows (password-protected survey).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189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mode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whether or not the initial contact with the potential participants was made on the Internet. (Investigators may also send out questionnaires by mail and allow for Web-based data entry.)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441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Advertising the survey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How/where was the survey announced or advertised? Some examples are offline</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(newspapers), or online (mailing lists – If yes, which ones?) or banner ads (Where were these banner ads posted and what did they look like?). It is</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to know the wording of the announcement as it will heavily influence</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chooses to participate. Ideally the survey announcement should be published</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 appendix.</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165"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 administration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Web/E-mail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the type of e-survey (eg, one posted on a Web site, or one sent out through e-mail). If it is an e-mail survey, were the responses entered manually into a database, or was there an automatic method for capturing responses?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441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a anti-immunization Web site will have different results from a Web survey conducted on a government Web site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132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Mandatory/voluntary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it a mandatory survey to be filled in by every visitor who wanted to enter the Web site, or was it a voluntary survey?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3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Incentives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any incentives offered (eg, monetary, prizes, or non-monetary incentives such as an offer to provide the survey results)?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77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Time/Date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what timeframe were the data collected?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13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Randomization of items or questionnaires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prevent biases items can be randomized or alternated.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61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Adaptive questioning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adaptive questioning (certain items, or only conditionally displayed based on responses to other items) to reduce number and complexity of the questions.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13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Items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was the number of questionnaire items per page? The number of items is an important factor for the completion rate.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3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screens (pages)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how many pages was the questionnaire distributed? The number of items is an important factor for the completion rate.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414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Completeness check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technically possible to do consistency or completeness checks before the questionnaire is submitted. Was this done, and if “yes”, how (usually JAVAScript)?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92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step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whether respondents were able to review and change their answers (eg, through a Back button or a Review step which displays a summary of the responses and asks the respondents if they are correct)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895"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Response rates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Unique site visitor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provide view rates or participation rates, you need to define how you determined a unique visitor. There are different techniques available, based on IP addresses or cookies or both.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92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View rate (Ratio of unique survey visitors/unique site visitors)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Requires counting unique visitors to the first page of the survey, divided by the number of unique site visitors (not page views!). It is not unusual to have view rates of less than 0.1 % if the survey is voluntary.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45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Participation rate (Ratio of unique visitors who agreed to participate/unique first survey page visitors)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423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Completion rate (Ratio of users who finished the survey/users who agreed to participate)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“completion” can involve leaving questionnaire items blank. This is not a measure for how completely questionnaires were filled in. (If you need a measure for this, use the word “completeness rate”.)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86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Preventing multiple entries from the same individual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Cookies used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(eg, the first entry or the most recent)?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470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IP check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whether the IP address of the client computer was used to identify potential duplicate entries from the same user. If so, mention the period of time for which no two entries from the same IP address were allowed (eg,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(eg, the first entry or the most recent)?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3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 file analysis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whether other techniques to analyze the log file for identification of multiple entries were used. If so, please describe.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57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(eg, the first entry or the most recent)?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164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Handling of incomplete questionnaires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only completed questionnaires analyzed? Were questionnaires which terminated early (where, for example, users did not go through all questionnaire pages) also analyzed?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245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Questionnaires submitted with an atypical timestamp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investigators may measure the time people needed to fill in a questionnaire and exclude questionnaires that were submitted too soon. Specify the timeframe that was used as a cut-off point, and describe how this point was determined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r>
        <w:trPr>
          <w:cantSplit w:val="0"/>
          <w:trHeight w:val="164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correction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whether any methods such as weighting of items or propensity scores have been used to adjust for the non-representative sample; if so, please describe the methods.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w:t>
            </w:r>
          </w:p>
        </w:tc>
      </w:tr>
    </w:tbl>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spacing w:after="20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5">
      <w:pPr>
        <w:spacing w:after="20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sectPr>
      <w:pgSz w:h="15842" w:w="12242"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paragraph" w:styleId="Ttulo7">
    <w:name w:val="heading 7"/>
    <w:basedOn w:val="Normal"/>
    <w:next w:val="Normal"/>
    <w:link w:val="Ttulo7Char"/>
    <w:uiPriority w:val="9"/>
    <w:semiHidden w:val="1"/>
    <w:unhideWhenUsed w:val="1"/>
    <w:qFormat w:val="1"/>
    <w:rsid w:val="00E72F02"/>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E72F02"/>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E72F02"/>
    <w:pPr>
      <w:keepNext w:val="1"/>
      <w:keepLines w:val="1"/>
      <w:spacing w:after="0"/>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character" w:styleId="Ttulo1Char" w:customStyle="1">
    <w:name w:val="Título 1 Char"/>
    <w:basedOn w:val="Fontepargpadro"/>
    <w:uiPriority w:val="9"/>
    <w:rsid w:val="00E72F02"/>
    <w:rPr>
      <w:rFonts w:asciiTheme="majorHAnsi" w:cstheme="majorBidi" w:eastAsiaTheme="majorEastAsia" w:hAnsiTheme="majorHAnsi"/>
      <w:color w:val="2f5496" w:themeColor="accent1" w:themeShade="0000BF"/>
      <w:sz w:val="40"/>
      <w:szCs w:val="40"/>
    </w:rPr>
  </w:style>
  <w:style w:type="character" w:styleId="Ttulo2Char" w:customStyle="1">
    <w:name w:val="Título 2 Char"/>
    <w:basedOn w:val="Fontepargpadro"/>
    <w:uiPriority w:val="9"/>
    <w:semiHidden w:val="1"/>
    <w:rsid w:val="00E72F02"/>
    <w:rPr>
      <w:rFonts w:asciiTheme="majorHAnsi" w:cstheme="majorBidi" w:eastAsiaTheme="majorEastAsia" w:hAnsiTheme="majorHAnsi"/>
      <w:color w:val="2f5496" w:themeColor="accent1" w:themeShade="0000BF"/>
      <w:sz w:val="32"/>
      <w:szCs w:val="32"/>
    </w:rPr>
  </w:style>
  <w:style w:type="character" w:styleId="Ttulo3Char" w:customStyle="1">
    <w:name w:val="Título 3 Char"/>
    <w:basedOn w:val="Fontepargpadro"/>
    <w:uiPriority w:val="9"/>
    <w:semiHidden w:val="1"/>
    <w:rsid w:val="00E72F02"/>
    <w:rPr>
      <w:rFonts w:cstheme="majorBidi" w:eastAsiaTheme="majorEastAsia"/>
      <w:color w:val="2f5496" w:themeColor="accent1" w:themeShade="0000BF"/>
      <w:sz w:val="28"/>
      <w:szCs w:val="28"/>
    </w:rPr>
  </w:style>
  <w:style w:type="character" w:styleId="Ttulo4Char" w:customStyle="1">
    <w:name w:val="Título 4 Char"/>
    <w:basedOn w:val="Fontepargpadro"/>
    <w:uiPriority w:val="9"/>
    <w:semiHidden w:val="1"/>
    <w:rsid w:val="00E72F02"/>
    <w:rPr>
      <w:rFonts w:cstheme="majorBidi" w:eastAsiaTheme="majorEastAsia"/>
      <w:i w:val="1"/>
      <w:iCs w:val="1"/>
      <w:color w:val="2f5496" w:themeColor="accent1" w:themeShade="0000BF"/>
    </w:rPr>
  </w:style>
  <w:style w:type="character" w:styleId="Ttulo5Char" w:customStyle="1">
    <w:name w:val="Título 5 Char"/>
    <w:basedOn w:val="Fontepargpadro"/>
    <w:uiPriority w:val="9"/>
    <w:semiHidden w:val="1"/>
    <w:rsid w:val="00E72F02"/>
    <w:rPr>
      <w:rFonts w:cstheme="majorBidi" w:eastAsiaTheme="majorEastAsia"/>
      <w:color w:val="2f5496" w:themeColor="accent1" w:themeShade="0000BF"/>
    </w:rPr>
  </w:style>
  <w:style w:type="character" w:styleId="Ttulo6Char" w:customStyle="1">
    <w:name w:val="Título 6 Char"/>
    <w:basedOn w:val="Fontepargpadro"/>
    <w:uiPriority w:val="9"/>
    <w:semiHidden w:val="1"/>
    <w:rsid w:val="00E72F02"/>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E72F02"/>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E72F02"/>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E72F02"/>
    <w:rPr>
      <w:rFonts w:cstheme="majorBidi" w:eastAsiaTheme="majorEastAsia"/>
      <w:color w:val="272727" w:themeColor="text1" w:themeTint="0000D8"/>
    </w:rPr>
  </w:style>
  <w:style w:type="character" w:styleId="TtuloChar" w:customStyle="1">
    <w:name w:val="Título Char"/>
    <w:basedOn w:val="Fontepargpadro"/>
    <w:uiPriority w:val="10"/>
    <w:rsid w:val="00E72F02"/>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uiPriority w:val="11"/>
    <w:rsid w:val="00E72F02"/>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E72F02"/>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E72F02"/>
    <w:rPr>
      <w:i w:val="1"/>
      <w:iCs w:val="1"/>
      <w:color w:val="404040" w:themeColor="text1" w:themeTint="0000BF"/>
    </w:rPr>
  </w:style>
  <w:style w:type="paragraph" w:styleId="PargrafodaLista">
    <w:name w:val="List Paragraph"/>
    <w:basedOn w:val="Normal"/>
    <w:uiPriority w:val="34"/>
    <w:qFormat w:val="1"/>
    <w:rsid w:val="00E72F02"/>
    <w:pPr>
      <w:ind w:left="720"/>
      <w:contextualSpacing w:val="1"/>
    </w:pPr>
  </w:style>
  <w:style w:type="character" w:styleId="nfaseIntensa">
    <w:name w:val="Intense Emphasis"/>
    <w:basedOn w:val="Fontepargpadro"/>
    <w:uiPriority w:val="21"/>
    <w:qFormat w:val="1"/>
    <w:rsid w:val="00E72F02"/>
    <w:rPr>
      <w:i w:val="1"/>
      <w:iCs w:val="1"/>
      <w:color w:val="2f5496" w:themeColor="accent1" w:themeShade="0000BF"/>
    </w:rPr>
  </w:style>
  <w:style w:type="paragraph" w:styleId="CitaoIntensa">
    <w:name w:val="Intense Quote"/>
    <w:basedOn w:val="Normal"/>
    <w:next w:val="Normal"/>
    <w:link w:val="CitaoIntensaChar"/>
    <w:uiPriority w:val="30"/>
    <w:qFormat w:val="1"/>
    <w:rsid w:val="00E72F0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oIntensaChar" w:customStyle="1">
    <w:name w:val="Citação Intensa Char"/>
    <w:basedOn w:val="Fontepargpadro"/>
    <w:link w:val="CitaoIntensa"/>
    <w:uiPriority w:val="30"/>
    <w:rsid w:val="00E72F02"/>
    <w:rPr>
      <w:i w:val="1"/>
      <w:iCs w:val="1"/>
      <w:color w:val="2f5496" w:themeColor="accent1" w:themeShade="0000BF"/>
    </w:rPr>
  </w:style>
  <w:style w:type="character" w:styleId="RefernciaIntensa">
    <w:name w:val="Intense Reference"/>
    <w:basedOn w:val="Fontepargpadro"/>
    <w:uiPriority w:val="32"/>
    <w:qFormat w:val="1"/>
    <w:rsid w:val="00E72F02"/>
    <w:rPr>
      <w:b w:val="1"/>
      <w:bCs w:val="1"/>
      <w:smallCaps w:val="1"/>
      <w:color w:val="2f5496" w:themeColor="accent1" w:themeShade="0000BF"/>
      <w:spacing w:val="5"/>
    </w:rPr>
  </w:style>
  <w:style w:type="table" w:styleId="a" w:customStyle="1">
    <w:basedOn w:val="TableNormal1"/>
    <w:tblPr>
      <w:tblStyleRowBandSize w:val="1"/>
      <w:tblStyleColBandSize w:val="1"/>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table" w:styleId="a6" w:customStyle="1">
    <w:basedOn w:val="TableNormal1"/>
    <w:tblPr>
      <w:tblStyleRowBandSize w:val="1"/>
      <w:tblStyleColBandSize w:val="1"/>
    </w:tblPr>
  </w:style>
  <w:style w:type="table" w:styleId="a7" w:customStyle="1">
    <w:basedOn w:val="TableNormal1"/>
    <w:tblPr>
      <w:tblStyleRowBandSize w:val="1"/>
      <w:tblStyleColBandSize w:val="1"/>
    </w:tblPr>
  </w:style>
  <w:style w:type="table" w:styleId="a8" w:customStyle="1">
    <w:basedOn w:val="TableNormal1"/>
    <w:tblPr>
      <w:tblStyleRowBandSize w:val="1"/>
      <w:tblStyleColBandSize w:val="1"/>
    </w:tblPr>
  </w:style>
  <w:style w:type="table" w:styleId="a9" w:customStyle="1">
    <w:basedOn w:val="TableNormal1"/>
    <w:tblPr>
      <w:tblStyleRowBandSize w:val="1"/>
      <w:tblStyleColBandSize w:val="1"/>
    </w:tblPr>
  </w:style>
  <w:style w:type="table" w:styleId="aa" w:customStyle="1">
    <w:basedOn w:val="TableNormal1"/>
    <w:tblPr>
      <w:tblStyleRowBandSize w:val="1"/>
      <w:tblStyleColBandSize w:val="1"/>
      <w:tblCellMar>
        <w:left w:w="115.0" w:type="dxa"/>
        <w:right w:w="115.0" w:type="dxa"/>
      </w:tblCellMar>
    </w:tblPr>
  </w:style>
  <w:style w:type="table" w:styleId="ab" w:customStyle="1">
    <w:basedOn w:val="TableNormal1"/>
    <w:tblPr>
      <w:tblStyleRowBandSize w:val="1"/>
      <w:tblStyleColBandSize w:val="1"/>
      <w:tblCellMar>
        <w:left w:w="115.0" w:type="dxa"/>
        <w:right w:w="115.0" w:type="dxa"/>
      </w:tblCellMar>
    </w:tblPr>
  </w:style>
  <w:style w:type="table" w:styleId="ac" w:customStyle="1">
    <w:basedOn w:val="TableNormal1"/>
    <w:tblPr>
      <w:tblStyleRowBandSize w:val="1"/>
      <w:tblStyleColBandSize w:val="1"/>
      <w:tblCellMar>
        <w:left w:w="115.0" w:type="dxa"/>
        <w:right w:w="115.0" w:type="dxa"/>
      </w:tblCellMar>
    </w:tbl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Pr>
  </w:style>
  <w:style w:type="paragraph" w:styleId="Cabealho">
    <w:name w:val="header"/>
    <w:basedOn w:val="Normal"/>
    <w:link w:val="CabealhoChar"/>
    <w:uiPriority w:val="99"/>
    <w:unhideWhenUsed w:val="1"/>
    <w:rsid w:val="00964EFB"/>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964EFB"/>
  </w:style>
  <w:style w:type="paragraph" w:styleId="Rodap">
    <w:name w:val="footer"/>
    <w:basedOn w:val="Normal"/>
    <w:link w:val="RodapChar"/>
    <w:uiPriority w:val="99"/>
    <w:unhideWhenUsed w:val="1"/>
    <w:rsid w:val="00964EFB"/>
    <w:pPr>
      <w:tabs>
        <w:tab w:val="center" w:pos="4252"/>
        <w:tab w:val="right" w:pos="8504"/>
      </w:tabs>
      <w:spacing w:after="0" w:line="240" w:lineRule="auto"/>
    </w:pPr>
  </w:style>
  <w:style w:type="character" w:styleId="RodapChar" w:customStyle="1">
    <w:name w:val="Rodapé Char"/>
    <w:basedOn w:val="Fontepargpadro"/>
    <w:link w:val="Rodap"/>
    <w:uiPriority w:val="99"/>
    <w:rsid w:val="00964EFB"/>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LihUtmtIO9Bt0m9UUZLB5fsaVg==">CgMxLjA4AHIhMVZJMkVTX3NkeGR1QWVLckdDdGh3ZDJad2lOQjUzcU1E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2025-10-22T13:51:00Z</dcterms:created>
  <dc:creator>Nassib Bueno</dc:creator>
</cp:coreProperties>
</file>