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7F23" w14:textId="58F34B10" w:rsidR="00656B74" w:rsidRPr="00656B74" w:rsidRDefault="00656B74" w:rsidP="00656B74">
      <w:pPr>
        <w:pageBreakBefore/>
        <w:suppressAutoHyphens/>
        <w:autoSpaceDN w:val="0"/>
        <w:spacing w:after="0" w:line="480" w:lineRule="auto"/>
        <w:jc w:val="both"/>
        <w:rPr>
          <w:rFonts w:ascii="Calibri" w:eastAsia="DengXian" w:hAnsi="Calibri" w:cs="Times New Roman"/>
          <w:b/>
          <w:bCs/>
          <w:kern w:val="0"/>
          <w14:ligatures w14:val="none"/>
        </w:rPr>
      </w:pPr>
      <w:r w:rsidRPr="00656B74">
        <w:rPr>
          <w:rFonts w:ascii="Calibri" w:eastAsia="DengXian" w:hAnsi="Calibri" w:cs="Times New Roman"/>
          <w:b/>
          <w:bCs/>
          <w:kern w:val="0"/>
          <w14:ligatures w14:val="none"/>
        </w:rPr>
        <w:t>APPENDI</w:t>
      </w:r>
      <w:r>
        <w:rPr>
          <w:rFonts w:ascii="Calibri" w:eastAsia="DengXian" w:hAnsi="Calibri" w:cs="Times New Roman"/>
          <w:b/>
          <w:bCs/>
          <w:kern w:val="0"/>
          <w14:ligatures w14:val="none"/>
        </w:rPr>
        <w:t>X</w:t>
      </w:r>
    </w:p>
    <w:p w14:paraId="68452C90" w14:textId="77777777" w:rsidR="00656B74" w:rsidRDefault="00656B74" w:rsidP="00656B74">
      <w:pPr>
        <w:suppressAutoHyphens/>
        <w:autoSpaceDN w:val="0"/>
        <w:spacing w:after="0" w:line="240" w:lineRule="auto"/>
        <w:jc w:val="both"/>
        <w:rPr>
          <w:rFonts w:ascii="Calibri" w:eastAsia="DengXian" w:hAnsi="Calibri" w:cs="Times New Roman"/>
          <w:b/>
          <w:bCs/>
          <w:kern w:val="0"/>
          <w14:ligatures w14:val="none"/>
        </w:rPr>
      </w:pPr>
    </w:p>
    <w:p w14:paraId="01FE1917" w14:textId="28FC0B2B" w:rsidR="00656B74" w:rsidRPr="00656B74" w:rsidRDefault="00656B74" w:rsidP="00656B74">
      <w:pPr>
        <w:suppressAutoHyphens/>
        <w:autoSpaceDN w:val="0"/>
        <w:spacing w:after="0" w:line="240" w:lineRule="auto"/>
        <w:jc w:val="both"/>
        <w:rPr>
          <w:rFonts w:ascii="Calibri" w:eastAsia="DengXian" w:hAnsi="Calibri" w:cs="Times New Roman"/>
          <w:b/>
          <w:bCs/>
          <w:kern w:val="0"/>
          <w14:ligatures w14:val="none"/>
        </w:rPr>
      </w:pPr>
      <w:r w:rsidRPr="00656B74">
        <w:rPr>
          <w:rFonts w:ascii="Calibri" w:eastAsia="DengXian" w:hAnsi="Calibri" w:cs="Times New Roman"/>
          <w:b/>
          <w:bCs/>
          <w:kern w:val="0"/>
          <w14:ligatures w14:val="none"/>
        </w:rPr>
        <w:t>Appendix Table 1.  Characteristics of women with obesity recruited to a case control study of bariatric surgery.</w:t>
      </w:r>
    </w:p>
    <w:p w14:paraId="0C1543C0" w14:textId="77777777" w:rsidR="00656B74" w:rsidRPr="00656B74" w:rsidRDefault="00656B74" w:rsidP="00656B74">
      <w:pPr>
        <w:suppressAutoHyphens/>
        <w:autoSpaceDN w:val="0"/>
        <w:spacing w:after="0" w:line="240" w:lineRule="auto"/>
        <w:jc w:val="both"/>
        <w:rPr>
          <w:rFonts w:ascii="Calibri" w:eastAsia="DengXian" w:hAnsi="Calibri" w:cs="Times New Roman"/>
          <w:b/>
          <w:bCs/>
          <w:kern w:val="0"/>
          <w:sz w:val="26"/>
          <w:szCs w:val="26"/>
          <w14:ligatures w14:val="none"/>
        </w:rPr>
      </w:pPr>
    </w:p>
    <w:tbl>
      <w:tblPr>
        <w:tblStyle w:val="PlainTable21"/>
        <w:tblW w:w="0" w:type="auto"/>
        <w:tblLook w:val="07A0" w:firstRow="1" w:lastRow="0" w:firstColumn="1" w:lastColumn="1" w:noHBand="1" w:noVBand="1"/>
      </w:tblPr>
      <w:tblGrid>
        <w:gridCol w:w="2365"/>
        <w:gridCol w:w="3607"/>
        <w:gridCol w:w="1044"/>
        <w:gridCol w:w="1003"/>
        <w:gridCol w:w="831"/>
      </w:tblGrid>
      <w:tr w:rsidR="00656B74" w:rsidRPr="00656B74" w14:paraId="7A2159C4" w14:textId="77777777" w:rsidTr="003917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D4DFAA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F954F18" w14:textId="77777777" w:rsidR="00656B74" w:rsidRPr="00656B74" w:rsidRDefault="00656B74" w:rsidP="00656B74">
            <w:pPr>
              <w:suppressAutoHyphens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E082E37" w14:textId="77777777" w:rsidR="00656B74" w:rsidRPr="00656B74" w:rsidRDefault="00656B74" w:rsidP="00656B74">
            <w:pPr>
              <w:suppressAutoHyphens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Cases </w:t>
            </w:r>
          </w:p>
          <w:p w14:paraId="0AE1B1BA" w14:textId="77777777" w:rsidR="00656B74" w:rsidRPr="00656B74" w:rsidRDefault="00656B74" w:rsidP="00656B74">
            <w:pPr>
              <w:suppressAutoHyphens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6BD376" w14:textId="77777777" w:rsidR="00656B74" w:rsidRPr="00656B74" w:rsidRDefault="00656B74" w:rsidP="00656B74">
            <w:pPr>
              <w:suppressAutoHyphens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Controls </w:t>
            </w:r>
          </w:p>
          <w:p w14:paraId="369C13C2" w14:textId="77777777" w:rsidR="00656B74" w:rsidRPr="00656B74" w:rsidRDefault="00656B74" w:rsidP="00656B74">
            <w:pPr>
              <w:suppressAutoHyphens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N (%)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AED4AB" w14:textId="77777777" w:rsidR="00656B74" w:rsidRPr="00656B74" w:rsidDel="00D81F50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P</w:t>
            </w:r>
            <w:r w:rsidRPr="00656B74">
              <w:rPr>
                <w:rFonts w:cs="Calibri"/>
                <w:vertAlign w:val="superscript"/>
              </w:rPr>
              <w:t>1</w:t>
            </w:r>
          </w:p>
        </w:tc>
      </w:tr>
      <w:tr w:rsidR="00656B74" w:rsidRPr="00656B74" w14:paraId="1A04D23E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6C7DB680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Ethnicity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DCF47E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White British/ European 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04066F6B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86 (87%)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5ED1113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14 (78%)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72B4B807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0.115</w:t>
            </w:r>
          </w:p>
        </w:tc>
      </w:tr>
      <w:tr w:rsidR="00656B74" w:rsidRPr="00656B74" w14:paraId="7A5E28BE" w14:textId="77777777" w:rsidTr="003917F2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024501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01DFED8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Any other mixed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9C6893E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5 (5%)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8C1B7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76FF1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38A95E08" w14:textId="77777777" w:rsidTr="003917F2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4E0A12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1E5108F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Asian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BB90462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E9F38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313ACB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2D6D032E" w14:textId="77777777" w:rsidTr="003917F2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891C0B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B05A23F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Any other black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22E12F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9A83E5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 (5.5%)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C2ACD4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4B7666D3" w14:textId="77777777" w:rsidTr="003917F2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1FBE19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ECC9C60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Unknown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A97D9CE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7 (7%)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8B7FE3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3 (17%)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B60F52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34BB8B4C" w14:textId="77777777" w:rsidTr="003917F2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5382AC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Deprivation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6C8C80A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Mean decile (±SD)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FAF1361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5.26 </w:t>
            </w:r>
            <w:r w:rsidRPr="00656B74">
              <w:t>±2.5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8751B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4.17</w:t>
            </w:r>
            <w:r w:rsidRPr="00656B74">
              <w:t>±2.4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56E5D3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0.109†</w:t>
            </w:r>
          </w:p>
        </w:tc>
      </w:tr>
      <w:tr w:rsidR="00656B74" w:rsidRPr="00656B74" w14:paraId="31E95609" w14:textId="77777777" w:rsidTr="003917F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DBAC91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Employment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B77F4DE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Full-time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3F9B958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38 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4856DB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4 (22%)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39135C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  <w:p w14:paraId="00A87762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  <w:p w14:paraId="59F89E9A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0.141</w:t>
            </w:r>
          </w:p>
        </w:tc>
      </w:tr>
      <w:tr w:rsidR="00656B74" w:rsidRPr="00656B74" w14:paraId="04A90833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965F46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6D1EFA0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Part-time</w:t>
            </w:r>
            <w:r w:rsidRPr="00656B74">
              <w:rPr>
                <w:rFonts w:cs="Calibri"/>
                <w:vertAlign w:val="superscript"/>
              </w:rPr>
              <w:t>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EE295E1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21 (21%)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9CC0E4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6 (33%)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9A0B0BC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0B0766E4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AC2F38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F9C5501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Looking after family/home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B75E327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9 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981633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6 (33%)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99883DD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10F2FAE5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02F5BF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A9A6DB7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Not working due to sickness/disability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16FCA58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9 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B242AC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 (5.5%)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9B49CE0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7D5F2219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8FDB89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DE60763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CB63B07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03621F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 (5.5%)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AD80C5C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0F2E18EA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AC22E0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7C2C6B6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Student/ full-time education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64E1E12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44604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95F1179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6EDA5D83" w14:textId="77777777" w:rsidTr="003917F2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7E8732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F15803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Unknown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6E4FCA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19 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BE36F7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14F6B76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173BA670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426E04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Educational attainment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1835A01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University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720CE4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16 (16%)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973638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4 (22%)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07B871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0.467</w:t>
            </w:r>
          </w:p>
        </w:tc>
      </w:tr>
      <w:tr w:rsidR="00656B74" w:rsidRPr="00656B74" w14:paraId="1A5F5DE0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6CD2EE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7E4CFCC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Diploma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004AF0F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6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BCA64B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 (5.5%)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6446EE6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78ED3F71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A11890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A38435F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A-level or equivalent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B7D8567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18 (18%)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739DDA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3 (17%)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37BA171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6DB60686" w14:textId="77777777" w:rsidTr="003917F2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A7D89F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22E2E4C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GCSE or equivalent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0B2C79E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32 (32%)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A0C01C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6 (33%)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2F6B622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49AFC0AD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252A27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BCF1486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Nil formal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2534A5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6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5800D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4 (22%)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B25F189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5E3BF6DF" w14:textId="77777777" w:rsidTr="003917F2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7F979E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7E88262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DDEB85A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21 (21%)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532ADC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5A035C8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5B8C64A5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7AB236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Smoking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7139C5B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66227A0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38 (38%)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96F36C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9 (50%)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056F52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0.271</w:t>
            </w:r>
          </w:p>
        </w:tc>
      </w:tr>
      <w:tr w:rsidR="00656B74" w:rsidRPr="00656B74" w14:paraId="471E48E6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FDEF33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FCE4887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Ex-smoker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7C12415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34 (34%)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20694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5 (28%)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8134A82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313697C3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F7A11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5AC832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Current smoker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4BF2745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8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52345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4 (22%)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0AEE93C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6F705C13" w14:textId="77777777" w:rsidTr="003917F2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68DC13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FCF7C46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Unknown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5DF6C2F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19 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46305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AB9A809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5C4780AD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8939F1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Alcohol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F80A1E6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4CFDC1B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58 (59%)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3BD2B3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10 (55%)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0EDD2B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0.169</w:t>
            </w:r>
          </w:p>
        </w:tc>
      </w:tr>
      <w:tr w:rsidR="00656B74" w:rsidRPr="00656B74" w14:paraId="13583EFF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2066AE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C100862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1-14 units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E1E9C61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22 (22%)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61E39E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8 (44%)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1660EF3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06EA7D44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757163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38BB803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14+ units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21F04C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07679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61ECEA6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27F15524" w14:textId="77777777" w:rsidTr="003917F2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D44DB3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7B5CE7B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Unknown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4BF014E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19 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A1BECA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E2120BB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62F84AB2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5C0A2F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Relationship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5FFB18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Married/long-term partner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D4B271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56 ()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79864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10 (55%)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DF18B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  <w:r w:rsidRPr="00656B74">
              <w:rPr>
                <w:rFonts w:cs="Calibri"/>
              </w:rPr>
              <w:t>0.551</w:t>
            </w:r>
          </w:p>
        </w:tc>
      </w:tr>
      <w:tr w:rsidR="00656B74" w:rsidRPr="00656B74" w14:paraId="7192934E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566966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0166CF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75FCDD9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19 ()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68D08E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6 (33%)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59F71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62B39DFC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2A0ED9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B8869E2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Boyfriend/girlfriend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B52CEC8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4 ()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D393AB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2 (11%)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D4C5C3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6B98587F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C0A5B7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CA216C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Casual/dating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1518E97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D801B6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66834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  <w:tr w:rsidR="00656B74" w:rsidRPr="00656B74" w14:paraId="3754CCAD" w14:textId="77777777" w:rsidTr="003917F2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87F686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1094C38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 xml:space="preserve">Unknown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CBDDC81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19 (19%)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C12ABD" w14:textId="77777777" w:rsidR="00656B74" w:rsidRPr="00656B74" w:rsidRDefault="00656B74" w:rsidP="00656B74">
            <w:pPr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56B74">
              <w:rPr>
                <w:rFonts w:cs="Calibri"/>
              </w:rPr>
              <w:t>0 (0%)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16176" w14:textId="77777777" w:rsidR="00656B74" w:rsidRPr="00656B74" w:rsidRDefault="00656B74" w:rsidP="00656B74">
            <w:pPr>
              <w:suppressAutoHyphens/>
              <w:jc w:val="both"/>
              <w:rPr>
                <w:rFonts w:cs="Calibri"/>
              </w:rPr>
            </w:pPr>
          </w:p>
        </w:tc>
      </w:tr>
    </w:tbl>
    <w:p w14:paraId="4B3CD666" w14:textId="77777777" w:rsidR="00656B74" w:rsidRPr="00656B74" w:rsidRDefault="00656B74" w:rsidP="00656B74">
      <w:pPr>
        <w:suppressAutoHyphens/>
        <w:autoSpaceDN w:val="0"/>
        <w:spacing w:after="0" w:line="240" w:lineRule="auto"/>
        <w:jc w:val="both"/>
        <w:rPr>
          <w:rFonts w:ascii="Calibri" w:eastAsia="DengXian" w:hAnsi="Calibri" w:cs="Calibri"/>
          <w:kern w:val="0"/>
          <w:sz w:val="20"/>
          <w:szCs w:val="20"/>
          <w14:ligatures w14:val="none"/>
        </w:rPr>
      </w:pPr>
      <w:r w:rsidRPr="00656B74">
        <w:rPr>
          <w:rFonts w:ascii="Calibri" w:eastAsia="DengXian" w:hAnsi="Calibri" w:cs="Calibri"/>
          <w:kern w:val="0"/>
          <w:sz w:val="20"/>
          <w:szCs w:val="20"/>
          <w:vertAlign w:val="superscript"/>
          <w14:ligatures w14:val="none"/>
        </w:rPr>
        <w:t>1</w:t>
      </w:r>
      <w:r w:rsidRPr="00656B74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p values derived from chi squared test, cases versus controls; </w:t>
      </w:r>
      <w:r w:rsidRPr="00656B74">
        <w:rPr>
          <w:rFonts w:ascii="Calibri" w:eastAsia="DengXian" w:hAnsi="Calibri" w:cs="Calibri"/>
          <w:kern w:val="0"/>
          <w:sz w:val="20"/>
          <w:szCs w:val="20"/>
          <w:vertAlign w:val="superscript"/>
          <w14:ligatures w14:val="none"/>
        </w:rPr>
        <w:t>†</w:t>
      </w:r>
      <w:r w:rsidRPr="00656B74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p value derived </w:t>
      </w:r>
      <w:r w:rsidRPr="00656B74">
        <w:rPr>
          <w:rFonts w:ascii="Calibri" w:eastAsia="DengXian" w:hAnsi="Calibri" w:cs="Times New Roman"/>
          <w:kern w:val="0"/>
          <w:sz w:val="20"/>
          <w:szCs w:val="20"/>
          <w14:ligatures w14:val="none"/>
        </w:rPr>
        <w:t>from Mann-Whitney U-test</w:t>
      </w:r>
      <w:r w:rsidRPr="00656B74">
        <w:rPr>
          <w:rFonts w:ascii="Calibri" w:eastAsia="DengXian" w:hAnsi="Calibri" w:cs="Calibri"/>
          <w:kern w:val="0"/>
          <w:sz w:val="20"/>
          <w:szCs w:val="20"/>
          <w14:ligatures w14:val="none"/>
        </w:rPr>
        <w:t xml:space="preserve">, </w:t>
      </w:r>
      <w:r w:rsidRPr="00656B74">
        <w:rPr>
          <w:rFonts w:ascii="Calibri" w:eastAsia="DengXian" w:hAnsi="Calibri" w:cs="Times New Roman"/>
          <w:kern w:val="0"/>
          <w:sz w:val="20"/>
          <w:szCs w:val="20"/>
          <w:vertAlign w:val="superscript"/>
          <w14:ligatures w14:val="none"/>
        </w:rPr>
        <w:t>§</w:t>
      </w:r>
      <w:r w:rsidRPr="00656B74">
        <w:rPr>
          <w:rFonts w:ascii="Calibri" w:eastAsia="DengXian" w:hAnsi="Calibri" w:cs="Times New Roman"/>
          <w:kern w:val="0"/>
          <w:sz w:val="20"/>
          <w:szCs w:val="20"/>
          <w14:ligatures w14:val="none"/>
        </w:rPr>
        <w:t>part-time working defined as &lt;28hours/week</w:t>
      </w:r>
    </w:p>
    <w:p w14:paraId="0128A68B" w14:textId="77777777" w:rsidR="00DF17AC" w:rsidRDefault="00DF17AC"/>
    <w:p w14:paraId="786BEBB0" w14:textId="77777777" w:rsidR="009B23D7" w:rsidRDefault="009B23D7"/>
    <w:p w14:paraId="5CE39061" w14:textId="77777777" w:rsidR="009B23D7" w:rsidRDefault="009B23D7"/>
    <w:p w14:paraId="118A6882" w14:textId="4ACA566B" w:rsidR="009B23D7" w:rsidRPr="009B23D7" w:rsidRDefault="009B23D7" w:rsidP="009B23D7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9B23D7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en-GB"/>
          <w14:ligatures w14:val="none"/>
        </w:rPr>
        <w:lastRenderedPageBreak/>
        <w:t>APPENDIX</w:t>
      </w:r>
      <w:r w:rsidR="003112AC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en-GB"/>
          <w14:ligatures w14:val="none"/>
        </w:rPr>
        <w:t>:</w:t>
      </w:r>
      <w:r w:rsidRPr="009B23D7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Reference </w:t>
      </w:r>
      <w:r w:rsidR="003112AC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en-GB"/>
          <w14:ligatures w14:val="none"/>
        </w:rPr>
        <w:t>r</w:t>
      </w:r>
      <w:r w:rsidRPr="009B23D7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anges for AMH </w:t>
      </w:r>
      <w:r w:rsidR="003112AC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en-GB"/>
          <w14:ligatures w14:val="none"/>
        </w:rPr>
        <w:t>and testosterone</w:t>
      </w:r>
      <w:r w:rsidRPr="009B23D7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</w:p>
    <w:p w14:paraId="05D803AB" w14:textId="77777777" w:rsidR="009B23D7" w:rsidRPr="009B23D7" w:rsidRDefault="009B23D7" w:rsidP="009B23D7">
      <w:pPr>
        <w:spacing w:after="0" w:line="480" w:lineRule="auto"/>
        <w:jc w:val="both"/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en-GB"/>
          <w14:ligatures w14:val="none"/>
        </w:rPr>
      </w:pPr>
    </w:p>
    <w:p w14:paraId="4B1172B0" w14:textId="5AB2271A" w:rsidR="009B23D7" w:rsidRPr="009B23D7" w:rsidRDefault="009B23D7" w:rsidP="009B23D7">
      <w:pPr>
        <w:spacing w:after="0" w:line="276" w:lineRule="auto"/>
        <w:jc w:val="both"/>
        <w:rPr>
          <w:rFonts w:ascii="Calibri" w:eastAsia="Times New Roman" w:hAnsi="Calibri" w:cs="Times New Roman"/>
          <w:b/>
          <w:bCs/>
          <w:color w:val="000000"/>
          <w:kern w:val="0"/>
          <w:vertAlign w:val="superscript"/>
          <w:lang w:eastAsia="en-GB"/>
          <w14:ligatures w14:val="none"/>
        </w:rPr>
      </w:pPr>
      <w:r w:rsidRPr="009B23D7">
        <w:rPr>
          <w:rFonts w:ascii="Calibri" w:eastAsia="Times New Roman" w:hAnsi="Calibri" w:cs="Times New Roman"/>
          <w:b/>
          <w:bCs/>
          <w:color w:val="000000"/>
          <w:kern w:val="0"/>
          <w:lang w:eastAsia="en-GB"/>
          <w14:ligatures w14:val="none"/>
        </w:rPr>
        <w:t>AMH levels by age and as a predictor of IVF success (provided by Wexham Park Hospital laboratory)</w:t>
      </w:r>
    </w:p>
    <w:p w14:paraId="7769B349" w14:textId="77777777" w:rsidR="009B23D7" w:rsidRPr="009B23D7" w:rsidRDefault="009B23D7" w:rsidP="009B23D7">
      <w:pPr>
        <w:spacing w:after="0" w:line="276" w:lineRule="auto"/>
        <w:jc w:val="both"/>
        <w:rPr>
          <w:rFonts w:ascii="Calibri" w:eastAsia="Times New Roman" w:hAnsi="Calibri" w:cs="Times New Roman"/>
          <w:b/>
          <w:bCs/>
          <w:color w:val="000000"/>
          <w:kern w:val="0"/>
          <w:vertAlign w:val="superscript"/>
          <w:lang w:eastAsia="en-GB"/>
          <w14:ligatures w14:val="none"/>
        </w:rPr>
      </w:pPr>
    </w:p>
    <w:tbl>
      <w:tblPr>
        <w:tblStyle w:val="GridTable6Colorful-Accent51"/>
        <w:tblW w:w="8918" w:type="dxa"/>
        <w:tblLook w:val="04A0" w:firstRow="1" w:lastRow="0" w:firstColumn="1" w:lastColumn="0" w:noHBand="0" w:noVBand="1"/>
      </w:tblPr>
      <w:tblGrid>
        <w:gridCol w:w="4459"/>
        <w:gridCol w:w="4459"/>
      </w:tblGrid>
      <w:tr w:rsidR="009B23D7" w:rsidRPr="009B23D7" w14:paraId="2EEDA055" w14:textId="77777777" w:rsidTr="00965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9" w:type="dxa"/>
          </w:tcPr>
          <w:p w14:paraId="2D0FE032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Age (years)</w:t>
            </w:r>
          </w:p>
        </w:tc>
        <w:tc>
          <w:tcPr>
            <w:tcW w:w="4459" w:type="dxa"/>
          </w:tcPr>
          <w:p w14:paraId="5518AE90" w14:textId="77777777" w:rsidR="009B23D7" w:rsidRPr="009B23D7" w:rsidRDefault="009B23D7" w:rsidP="009B23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Reference Range (</w:t>
            </w:r>
            <w:proofErr w:type="spellStart"/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pmol</w:t>
            </w:r>
            <w:proofErr w:type="spellEnd"/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/L)</w:t>
            </w:r>
          </w:p>
        </w:tc>
      </w:tr>
      <w:tr w:rsidR="009B23D7" w:rsidRPr="009B23D7" w14:paraId="6100EE2B" w14:textId="77777777" w:rsidTr="00965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9" w:type="dxa"/>
          </w:tcPr>
          <w:p w14:paraId="6D2CA46F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20-24</w:t>
            </w:r>
          </w:p>
        </w:tc>
        <w:tc>
          <w:tcPr>
            <w:tcW w:w="4459" w:type="dxa"/>
          </w:tcPr>
          <w:p w14:paraId="64AD2212" w14:textId="77777777" w:rsidR="009B23D7" w:rsidRPr="009B23D7" w:rsidRDefault="009B23D7" w:rsidP="009B2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10.9 – 71.0</w:t>
            </w:r>
          </w:p>
        </w:tc>
      </w:tr>
      <w:tr w:rsidR="009B23D7" w:rsidRPr="009B23D7" w14:paraId="342118A9" w14:textId="77777777" w:rsidTr="009657DD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9" w:type="dxa"/>
          </w:tcPr>
          <w:p w14:paraId="7BBDDB75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25-29</w:t>
            </w:r>
          </w:p>
        </w:tc>
        <w:tc>
          <w:tcPr>
            <w:tcW w:w="4459" w:type="dxa"/>
          </w:tcPr>
          <w:p w14:paraId="3D9910AA" w14:textId="77777777" w:rsidR="009B23D7" w:rsidRPr="009B23D7" w:rsidRDefault="009B23D7" w:rsidP="009B2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8.6 – 64.6</w:t>
            </w:r>
          </w:p>
        </w:tc>
      </w:tr>
      <w:tr w:rsidR="009B23D7" w:rsidRPr="009B23D7" w14:paraId="6037B80F" w14:textId="77777777" w:rsidTr="00965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9" w:type="dxa"/>
          </w:tcPr>
          <w:p w14:paraId="74BBC922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30-34</w:t>
            </w:r>
          </w:p>
        </w:tc>
        <w:tc>
          <w:tcPr>
            <w:tcW w:w="4459" w:type="dxa"/>
          </w:tcPr>
          <w:p w14:paraId="632010F7" w14:textId="77777777" w:rsidR="009B23D7" w:rsidRPr="009B23D7" w:rsidRDefault="009B23D7" w:rsidP="009B2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5.1 – 54.2</w:t>
            </w:r>
          </w:p>
        </w:tc>
      </w:tr>
      <w:tr w:rsidR="009B23D7" w:rsidRPr="009B23D7" w14:paraId="6BEF8BD6" w14:textId="77777777" w:rsidTr="009657DD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9" w:type="dxa"/>
          </w:tcPr>
          <w:p w14:paraId="549CF99B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35-39</w:t>
            </w:r>
          </w:p>
        </w:tc>
        <w:tc>
          <w:tcPr>
            <w:tcW w:w="4459" w:type="dxa"/>
          </w:tcPr>
          <w:p w14:paraId="25208734" w14:textId="77777777" w:rsidR="009B23D7" w:rsidRPr="009B23D7" w:rsidRDefault="009B23D7" w:rsidP="009B2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2.9 – 49.7</w:t>
            </w:r>
          </w:p>
        </w:tc>
      </w:tr>
      <w:tr w:rsidR="009B23D7" w:rsidRPr="009B23D7" w14:paraId="227F9100" w14:textId="77777777" w:rsidTr="00965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9" w:type="dxa"/>
          </w:tcPr>
          <w:p w14:paraId="5FD4888D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40-44</w:t>
            </w:r>
          </w:p>
        </w:tc>
        <w:tc>
          <w:tcPr>
            <w:tcW w:w="4459" w:type="dxa"/>
          </w:tcPr>
          <w:p w14:paraId="77877424" w14:textId="77777777" w:rsidR="009B23D7" w:rsidRPr="009B23D7" w:rsidRDefault="009B23D7" w:rsidP="009B2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0.4 – 31.7</w:t>
            </w:r>
          </w:p>
        </w:tc>
      </w:tr>
      <w:tr w:rsidR="009B23D7" w:rsidRPr="009B23D7" w14:paraId="5C8442AC" w14:textId="77777777" w:rsidTr="009657DD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9" w:type="dxa"/>
          </w:tcPr>
          <w:p w14:paraId="12EA73A9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45-50</w:t>
            </w:r>
          </w:p>
        </w:tc>
        <w:tc>
          <w:tcPr>
            <w:tcW w:w="4459" w:type="dxa"/>
          </w:tcPr>
          <w:p w14:paraId="4763D8E2" w14:textId="77777777" w:rsidR="009B23D7" w:rsidRPr="009B23D7" w:rsidRDefault="009B23D7" w:rsidP="009B2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0.1 – 12.8</w:t>
            </w:r>
          </w:p>
        </w:tc>
      </w:tr>
    </w:tbl>
    <w:p w14:paraId="58FEA1E4" w14:textId="77777777" w:rsidR="009B23D7" w:rsidRPr="009B23D7" w:rsidRDefault="009B23D7" w:rsidP="009B23D7">
      <w:pPr>
        <w:spacing w:after="0" w:line="480" w:lineRule="auto"/>
        <w:jc w:val="both"/>
        <w:rPr>
          <w:rFonts w:ascii="Calibri" w:eastAsia="Times New Roman" w:hAnsi="Calibri" w:cs="Times New Roman"/>
          <w:color w:val="000000"/>
          <w:kern w:val="0"/>
          <w:vertAlign w:val="superscript"/>
          <w:lang w:eastAsia="en-GB"/>
          <w14:ligatures w14:val="none"/>
        </w:rPr>
      </w:pPr>
    </w:p>
    <w:tbl>
      <w:tblPr>
        <w:tblStyle w:val="GridTable6Colorful-Accent51"/>
        <w:tblW w:w="8977" w:type="dxa"/>
        <w:tblLook w:val="04A0" w:firstRow="1" w:lastRow="0" w:firstColumn="1" w:lastColumn="0" w:noHBand="0" w:noVBand="1"/>
      </w:tblPr>
      <w:tblGrid>
        <w:gridCol w:w="4488"/>
        <w:gridCol w:w="4489"/>
      </w:tblGrid>
      <w:tr w:rsidR="009B23D7" w:rsidRPr="009B23D7" w14:paraId="725FC5FF" w14:textId="77777777" w:rsidTr="00965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7" w:type="dxa"/>
            <w:gridSpan w:val="2"/>
          </w:tcPr>
          <w:p w14:paraId="3B9586C3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 xml:space="preserve">The following AMH ranges can be used to predict response to IVF treatment, based on Antral Follicular Count as a surrogate marker </w:t>
            </w:r>
          </w:p>
        </w:tc>
      </w:tr>
      <w:tr w:rsidR="009B23D7" w:rsidRPr="009B23D7" w14:paraId="422B0D44" w14:textId="77777777" w:rsidTr="00965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8" w:type="dxa"/>
          </w:tcPr>
          <w:p w14:paraId="5F3BBBB3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Low responders</w:t>
            </w:r>
          </w:p>
        </w:tc>
        <w:tc>
          <w:tcPr>
            <w:tcW w:w="4488" w:type="dxa"/>
          </w:tcPr>
          <w:p w14:paraId="119CA9CE" w14:textId="77777777" w:rsidR="009B23D7" w:rsidRPr="009B23D7" w:rsidRDefault="009B23D7" w:rsidP="009B2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 xml:space="preserve">&lt;4.9 </w:t>
            </w:r>
            <w:proofErr w:type="spellStart"/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pmol</w:t>
            </w:r>
            <w:proofErr w:type="spellEnd"/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/L</w:t>
            </w:r>
          </w:p>
        </w:tc>
      </w:tr>
      <w:tr w:rsidR="009B23D7" w:rsidRPr="009B23D7" w14:paraId="0F825B94" w14:textId="77777777" w:rsidTr="009657DD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8" w:type="dxa"/>
          </w:tcPr>
          <w:p w14:paraId="08A8C3D8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Normal</w:t>
            </w:r>
          </w:p>
        </w:tc>
        <w:tc>
          <w:tcPr>
            <w:tcW w:w="4488" w:type="dxa"/>
          </w:tcPr>
          <w:p w14:paraId="4D6DFCA6" w14:textId="77777777" w:rsidR="009B23D7" w:rsidRPr="009B23D7" w:rsidRDefault="009B23D7" w:rsidP="009B23D7">
            <w:pPr>
              <w:numPr>
                <w:ilvl w:val="1"/>
                <w:numId w:val="1"/>
              </w:num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 xml:space="preserve">– 16.2 </w:t>
            </w:r>
            <w:proofErr w:type="spellStart"/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pmol</w:t>
            </w:r>
            <w:proofErr w:type="spellEnd"/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/L</w:t>
            </w:r>
          </w:p>
        </w:tc>
      </w:tr>
      <w:tr w:rsidR="009B23D7" w:rsidRPr="009B23D7" w14:paraId="26461C51" w14:textId="77777777" w:rsidTr="00965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8" w:type="dxa"/>
          </w:tcPr>
          <w:p w14:paraId="16FFE621" w14:textId="77777777" w:rsidR="009B23D7" w:rsidRPr="009B23D7" w:rsidRDefault="009B23D7" w:rsidP="009B23D7">
            <w:pPr>
              <w:jc w:val="center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 xml:space="preserve">High responders </w:t>
            </w:r>
          </w:p>
        </w:tc>
        <w:tc>
          <w:tcPr>
            <w:tcW w:w="4488" w:type="dxa"/>
          </w:tcPr>
          <w:p w14:paraId="722C3DA7" w14:textId="77777777" w:rsidR="009B23D7" w:rsidRPr="009B23D7" w:rsidRDefault="009B23D7" w:rsidP="009B2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</w:pPr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 xml:space="preserve">&gt;16.2 </w:t>
            </w:r>
            <w:proofErr w:type="spellStart"/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pmol</w:t>
            </w:r>
            <w:proofErr w:type="spellEnd"/>
            <w:r w:rsidRPr="009B23D7">
              <w:rPr>
                <w:rFonts w:ascii="Calibri" w:hAnsi="Calibri" w:cs="Times New Roman"/>
                <w:color w:val="000000"/>
                <w:sz w:val="32"/>
                <w:szCs w:val="32"/>
                <w:vertAlign w:val="superscript"/>
              </w:rPr>
              <w:t>/L</w:t>
            </w:r>
          </w:p>
        </w:tc>
      </w:tr>
    </w:tbl>
    <w:p w14:paraId="6AB91196" w14:textId="77777777" w:rsidR="009B23D7" w:rsidRPr="009B23D7" w:rsidRDefault="009B23D7" w:rsidP="009B23D7">
      <w:p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:lang w:eastAsia="en-GB"/>
          <w14:ligatures w14:val="none"/>
        </w:rPr>
      </w:pPr>
    </w:p>
    <w:p w14:paraId="58E4903E" w14:textId="77777777" w:rsidR="009B23D7" w:rsidRPr="009B23D7" w:rsidRDefault="009B23D7" w:rsidP="009B23D7">
      <w:p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:lang w:eastAsia="en-GB"/>
          <w14:ligatures w14:val="none"/>
        </w:rPr>
      </w:pPr>
    </w:p>
    <w:p w14:paraId="693743D1" w14:textId="77777777" w:rsidR="009B23D7" w:rsidRDefault="009B23D7"/>
    <w:p w14:paraId="65972B79" w14:textId="77777777" w:rsidR="00B145CD" w:rsidRDefault="00B145CD" w:rsidP="00B145CD">
      <w:r>
        <w:tab/>
      </w:r>
    </w:p>
    <w:p w14:paraId="736BB82A" w14:textId="77777777" w:rsidR="00B145CD" w:rsidRDefault="00B145CD" w:rsidP="00B145CD">
      <w:r>
        <w:t>Testosterone (WTES)</w:t>
      </w:r>
      <w:r>
        <w:tab/>
        <w:t>Reference range for testosterone (mass spec):</w:t>
      </w:r>
    </w:p>
    <w:p w14:paraId="06852317" w14:textId="77777777" w:rsidR="00B145CD" w:rsidRDefault="00B145CD" w:rsidP="00B145CD">
      <w:r>
        <w:tab/>
        <w:t>Females (16 - 49 years): 0.3 - 1.7 nmol/L</w:t>
      </w:r>
    </w:p>
    <w:p w14:paraId="3C9FD856" w14:textId="77777777" w:rsidR="00B145CD" w:rsidRDefault="00B145CD" w:rsidP="00B145CD">
      <w:r>
        <w:tab/>
        <w:t>Females (&gt;= 50 years): 0.1 - 1.4 nmol/L</w:t>
      </w:r>
    </w:p>
    <w:p w14:paraId="5B3B30CF" w14:textId="77777777" w:rsidR="00B145CD" w:rsidRDefault="00B145CD" w:rsidP="00B145CD">
      <w:r>
        <w:tab/>
        <w:t>Males (18 - 49 years): 8.6 - 29.0 nmol/L</w:t>
      </w:r>
    </w:p>
    <w:p w14:paraId="08CC5FAD" w14:textId="77777777" w:rsidR="00B145CD" w:rsidRDefault="00B145CD" w:rsidP="00B145CD">
      <w:r>
        <w:tab/>
        <w:t>Males (&gt;= 50 years): 6.7 - 25.7 nmol/L</w:t>
      </w:r>
    </w:p>
    <w:p w14:paraId="237F2799" w14:textId="77777777" w:rsidR="00B145CD" w:rsidRDefault="00B145CD" w:rsidP="00B145CD">
      <w:r>
        <w:tab/>
        <w:t>Results are from Royal London Hospital,</w:t>
      </w:r>
    </w:p>
    <w:p w14:paraId="7016381E" w14:textId="601ED173" w:rsidR="00B145CD" w:rsidRDefault="00B145CD" w:rsidP="00B145CD">
      <w:r>
        <w:tab/>
        <w:t>Barts Health.</w:t>
      </w:r>
    </w:p>
    <w:sectPr w:rsidR="00B145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8073C"/>
    <w:multiLevelType w:val="multilevel"/>
    <w:tmpl w:val="FFFFFFFF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6053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74"/>
    <w:rsid w:val="000764BF"/>
    <w:rsid w:val="00095EAF"/>
    <w:rsid w:val="003112AC"/>
    <w:rsid w:val="00656B74"/>
    <w:rsid w:val="00793C5B"/>
    <w:rsid w:val="009B23D7"/>
    <w:rsid w:val="00A25832"/>
    <w:rsid w:val="00A34140"/>
    <w:rsid w:val="00A44621"/>
    <w:rsid w:val="00B145CD"/>
    <w:rsid w:val="00D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A6DF0"/>
  <w15:chartTrackingRefBased/>
  <w15:docId w15:val="{C8C19C68-DCC6-4CFA-99BF-B6E623C0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B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B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B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B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B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B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B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B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B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B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B74"/>
    <w:rPr>
      <w:b/>
      <w:bCs/>
      <w:smallCaps/>
      <w:color w:val="0F4761" w:themeColor="accent1" w:themeShade="BF"/>
      <w:spacing w:val="5"/>
    </w:rPr>
  </w:style>
  <w:style w:type="table" w:customStyle="1" w:styleId="PlainTable21">
    <w:name w:val="Plain Table 21"/>
    <w:basedOn w:val="TableNormal"/>
    <w:next w:val="PlainTable2"/>
    <w:uiPriority w:val="42"/>
    <w:rsid w:val="00656B74"/>
    <w:pPr>
      <w:autoSpaceDN w:val="0"/>
      <w:spacing w:after="0" w:line="240" w:lineRule="auto"/>
    </w:pPr>
    <w:rPr>
      <w:rFonts w:ascii="Calibri" w:eastAsia="DengXian" w:hAnsi="Calibri" w:cs="Times New Roman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656B7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6Colorful-Accent51">
    <w:name w:val="Grid Table 6 Colorful - Accent 51"/>
    <w:basedOn w:val="TableNormal"/>
    <w:next w:val="GridTable6Colorful-Accent5"/>
    <w:uiPriority w:val="51"/>
    <w:rsid w:val="009B23D7"/>
    <w:pPr>
      <w:spacing w:after="0" w:line="240" w:lineRule="auto"/>
    </w:pPr>
    <w:rPr>
      <w:rFonts w:eastAsia="Times New Roman"/>
      <w:color w:val="2E74B5"/>
      <w:kern w:val="0"/>
      <w:sz w:val="22"/>
      <w:szCs w:val="22"/>
      <w:lang w:eastAsia="en-GB"/>
      <w14:ligatures w14:val="none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ridTable6Colorful-Accent5">
    <w:name w:val="Grid Table 6 Colorful Accent 5"/>
    <w:basedOn w:val="TableNormal"/>
    <w:uiPriority w:val="51"/>
    <w:rsid w:val="009B23D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387</Words>
  <Characters>1846</Characters>
  <Application>Microsoft Office Word</Application>
  <DocSecurity>0</DocSecurity>
  <Lines>218</Lines>
  <Paragraphs>148</Paragraphs>
  <ScaleCrop>false</ScaleCrop>
  <Company>University of Surrey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Whyte, Martin Dr (Sch of Biosciences)</dc:creator>
  <cp:keywords/>
  <dc:description/>
  <cp:lastModifiedBy>Whyte, Martin Dr (Sch of Biosciences)</cp:lastModifiedBy>
  <cp:revision>7</cp:revision>
  <dcterms:created xsi:type="dcterms:W3CDTF">2025-07-08T10:14:00Z</dcterms:created>
  <dcterms:modified xsi:type="dcterms:W3CDTF">2025-12-27T11:43:00Z</dcterms:modified>
</cp:coreProperties>
</file>