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856c2078f71f1befbf9197e2b8144732c95768"/>
      <w:r>
        <w:t xml:space="preserve">Appendix 1. Inclusion Criteria Components Across All Studies (n=41)</w:t>
      </w:r>
      <w:bookmarkEnd w:id="20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Inclusion Criterion Component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Studies (n)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Percentage (%)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Age</w:t>
            </w:r>
          </w:p>
        </w:tc>
        <w:tc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p>
            <w:pPr>
              <w:pStyle w:val="Compact"/>
              <w:jc w:val="left"/>
            </w:pPr>
            <w:r>
              <w:t xml:space="preserve">58.5%</w:t>
            </w:r>
          </w:p>
        </w:tc>
        <w:tc>
          <w:p>
            <w:pPr>
              <w:pStyle w:val="Compact"/>
              <w:jc w:val="left"/>
            </w:pPr>
            <w:r>
              <w:t xml:space="preserve">24/41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BMI</w:t>
            </w:r>
          </w:p>
        </w:tc>
        <w:tc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p>
            <w:pPr>
              <w:pStyle w:val="Compact"/>
              <w:jc w:val="left"/>
            </w:pPr>
            <w:r>
              <w:t xml:space="preserve">53.7%</w:t>
            </w:r>
          </w:p>
        </w:tc>
        <w:tc>
          <w:p>
            <w:pPr>
              <w:pStyle w:val="Compact"/>
              <w:jc w:val="left"/>
            </w:pPr>
            <w:r>
              <w:t xml:space="preserve">22/41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Social support</w:t>
            </w:r>
          </w:p>
        </w:tc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22.0%</w:t>
            </w:r>
          </w:p>
        </w:tc>
        <w:tc>
          <w:p>
            <w:pPr>
              <w:pStyle w:val="Compact"/>
              <w:jc w:val="left"/>
            </w:pPr>
            <w:r>
              <w:t xml:space="preserve">9/41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Distance from hospital</w:t>
            </w:r>
          </w:p>
        </w:tc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19.5%</w:t>
            </w:r>
          </w:p>
        </w:tc>
        <w:tc>
          <w:p>
            <w:pPr>
              <w:pStyle w:val="Compact"/>
              <w:jc w:val="left"/>
            </w:pPr>
            <w:r>
              <w:t xml:space="preserve">8/41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ASA score</w:t>
            </w:r>
          </w:p>
        </w:tc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17.1%</w:t>
            </w:r>
          </w:p>
        </w:tc>
        <w:tc>
          <w:p>
            <w:pPr>
              <w:pStyle w:val="Compact"/>
              <w:jc w:val="left"/>
            </w:pPr>
            <w:r>
              <w:t xml:space="preserve">7/41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Primary surgery</w:t>
            </w:r>
          </w:p>
        </w:tc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17.1%</w:t>
            </w:r>
          </w:p>
        </w:tc>
        <w:tc>
          <w:p>
            <w:pPr>
              <w:pStyle w:val="Compact"/>
              <w:jc w:val="left"/>
            </w:pPr>
            <w:r>
              <w:t xml:space="preserve">7/41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LSG only/included</w:t>
            </w:r>
          </w:p>
        </w:tc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17.1%</w:t>
            </w:r>
          </w:p>
        </w:tc>
        <w:tc>
          <w:p>
            <w:pPr>
              <w:pStyle w:val="Compact"/>
              <w:jc w:val="left"/>
            </w:pPr>
            <w:r>
              <w:t xml:space="preserve">7/41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RYGB included</w:t>
            </w:r>
          </w:p>
        </w:tc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17.1%</w:t>
            </w:r>
          </w:p>
        </w:tc>
        <w:tc>
          <w:p>
            <w:pPr>
              <w:pStyle w:val="Compact"/>
              <w:jc w:val="left"/>
            </w:pPr>
            <w:r>
              <w:t xml:space="preserve">7/41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Willing to participate</w:t>
            </w:r>
          </w:p>
        </w:tc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7.3%</w:t>
            </w:r>
          </w:p>
        </w:tc>
        <w:tc>
          <w:p>
            <w:pPr>
              <w:pStyle w:val="Compact"/>
              <w:jc w:val="left"/>
            </w:pPr>
            <w:r>
              <w:t xml:space="preserve">3/41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UNIQUE CRITERIA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38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95%</w:t>
            </w:r>
          </w:p>
        </w:tc>
        <w:tc>
          <w:p>
            <w:pPr>
              <w:pStyle w:val="Compact"/>
              <w:jc w:val="left"/>
            </w:pPr>
            <w:r>
              <w:t xml:space="preserve">38/40 studies with criteria used unique inclusion criteria</w:t>
            </w:r>
          </w:p>
        </w:tc>
      </w:tr>
    </w:tbl>
    <w:p>
      <w:pPr>
        <w:pStyle w:val="BodyText"/>
      </w:pPr>
      <w:r>
        <w:t xml:space="preserve">Note: 1 study (Cooper 2024) did not report inclusion criteria.</w:t>
      </w:r>
    </w:p>
    <w:p>
      <w:pPr>
        <w:pStyle w:val="Heading1"/>
      </w:pPr>
      <w:bookmarkStart w:id="21" w:name="X0bd560fc65cb3eaa0f0eba151e8f6398e3cc97e"/>
      <w:r>
        <w:t xml:space="preserve">Appendix 2. Exclusion Criteria Components Across All Studies (n=41)</w:t>
      </w:r>
      <w:bookmarkEnd w:id="21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Exclusion Criterion Component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Studies (n)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Percentage (%)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Comorbidities</w:t>
            </w:r>
          </w:p>
        </w:tc>
        <w:tc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p>
            <w:pPr>
              <w:pStyle w:val="Compact"/>
              <w:jc w:val="left"/>
            </w:pPr>
            <w:r>
              <w:t xml:space="preserve">36.6%</w:t>
            </w:r>
          </w:p>
        </w:tc>
        <w:tc>
          <w:p>
            <w:pPr>
              <w:pStyle w:val="Compact"/>
              <w:jc w:val="left"/>
            </w:pPr>
            <w:r>
              <w:t xml:space="preserve">15/41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Revision surgery</w:t>
            </w:r>
          </w:p>
        </w:tc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26.8%</w:t>
            </w:r>
          </w:p>
        </w:tc>
        <w:tc>
          <w:p>
            <w:pPr>
              <w:pStyle w:val="Compact"/>
              <w:jc w:val="left"/>
            </w:pPr>
            <w:r>
              <w:t xml:space="preserve">11/41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Age extremes</w:t>
            </w:r>
          </w:p>
        </w:tc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26.8%</w:t>
            </w:r>
          </w:p>
        </w:tc>
        <w:tc>
          <w:p>
            <w:pPr>
              <w:pStyle w:val="Compact"/>
              <w:jc w:val="left"/>
            </w:pPr>
            <w:r>
              <w:t xml:space="preserve">11/41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High ASA score</w:t>
            </w:r>
          </w:p>
        </w:tc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17.1%</w:t>
            </w:r>
          </w:p>
        </w:tc>
        <w:tc>
          <w:p>
            <w:pPr>
              <w:pStyle w:val="Compact"/>
              <w:jc w:val="left"/>
            </w:pPr>
            <w:r>
              <w:t xml:space="preserve">7/41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Sleep apnea</w:t>
            </w:r>
          </w:p>
        </w:tc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9.8%</w:t>
            </w:r>
          </w:p>
        </w:tc>
        <w:tc>
          <w:p>
            <w:pPr>
              <w:pStyle w:val="Compact"/>
              <w:jc w:val="left"/>
            </w:pPr>
            <w:r>
              <w:t xml:space="preserve">4/41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Anticoagulation</w:t>
            </w:r>
          </w:p>
        </w:tc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7.3%</w:t>
            </w:r>
          </w:p>
        </w:tc>
        <w:tc>
          <w:p>
            <w:pPr>
              <w:pStyle w:val="Compact"/>
              <w:jc w:val="left"/>
            </w:pPr>
            <w:r>
              <w:t xml:space="preserve">3/41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Distance</w:t>
            </w:r>
          </w:p>
        </w:tc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2.4%</w:t>
            </w:r>
          </w:p>
        </w:tc>
        <w:tc>
          <w:p>
            <w:pPr>
              <w:pStyle w:val="Compact"/>
              <w:jc w:val="left"/>
            </w:pPr>
            <w:r>
              <w:t xml:space="preserve">1/41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Psychiatric conditions</w:t>
            </w:r>
          </w:p>
        </w:tc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2.4%</w:t>
            </w:r>
          </w:p>
        </w:tc>
        <w:tc>
          <w:p>
            <w:pPr>
              <w:pStyle w:val="Compact"/>
              <w:jc w:val="left"/>
            </w:pPr>
            <w:r>
              <w:t xml:space="preserve">1/41 studies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UNIQUE CRITERIA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34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94%</w:t>
            </w:r>
          </w:p>
        </w:tc>
        <w:tc>
          <w:p>
            <w:pPr>
              <w:pStyle w:val="Compact"/>
              <w:jc w:val="left"/>
            </w:pPr>
            <w:r>
              <w:t xml:space="preserve">34/36 studies with criteria used unique exclusion criteria</w:t>
            </w:r>
          </w:p>
        </w:tc>
      </w:tr>
    </w:tbl>
    <w:p>
      <w:pPr>
        <w:pStyle w:val="BodyText"/>
      </w:pPr>
      <w:r>
        <w:t xml:space="preserve">Note: 5 studies did not report exclusion criteria (Lodewijks 2024, Katz-Summercorn 2024, Landreneau 2024, van Ede 2023, Lalezari 2018).</w:t>
      </w:r>
    </w:p>
    <w:p>
      <w:pPr>
        <w:pStyle w:val="Heading1"/>
      </w:pPr>
      <w:bookmarkStart w:id="22" w:name="X3ccfd40624512a13ceeae5dafc0286bfbe9cafa"/>
      <w:r>
        <w:t xml:space="preserve">Appendix 3. Discharge Criteria Components Across Non-Registry Studies With DC Reported (n=25)</w:t>
      </w:r>
      <w:bookmarkEnd w:id="22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Discharge Criterion Component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Studies (n)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Percentage (%)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Vital signs stable</w:t>
            </w:r>
          </w:p>
        </w:tc>
        <w:tc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p>
            <w:pPr>
              <w:pStyle w:val="Compact"/>
              <w:jc w:val="left"/>
            </w:pPr>
            <w:r>
              <w:t xml:space="preserve">68.0%</w:t>
            </w:r>
          </w:p>
        </w:tc>
        <w:tc>
          <w:p>
            <w:pPr>
              <w:pStyle w:val="Compact"/>
              <w:jc w:val="left"/>
            </w:pPr>
            <w:r>
              <w:t xml:space="preserve">17/25 non-registry studies with DC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Pain control</w:t>
            </w:r>
          </w:p>
        </w:tc>
        <w:tc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p>
            <w:pPr>
              <w:pStyle w:val="Compact"/>
              <w:jc w:val="left"/>
            </w:pPr>
            <w:r>
              <w:t xml:space="preserve">52.0%</w:t>
            </w:r>
          </w:p>
        </w:tc>
        <w:tc>
          <w:p>
            <w:pPr>
              <w:pStyle w:val="Compact"/>
              <w:jc w:val="left"/>
            </w:pPr>
            <w:r>
              <w:t xml:space="preserve">13/25 non-registry studies with DC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Oral intake</w:t>
            </w:r>
          </w:p>
        </w:tc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48.0%</w:t>
            </w:r>
          </w:p>
        </w:tc>
        <w:tc>
          <w:p>
            <w:pPr>
              <w:pStyle w:val="Compact"/>
              <w:jc w:val="left"/>
            </w:pPr>
            <w:r>
              <w:t xml:space="preserve">12/25 non-registry studies with DC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Ambulation</w:t>
            </w:r>
          </w:p>
        </w:tc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48.0%</w:t>
            </w:r>
          </w:p>
        </w:tc>
        <w:tc>
          <w:p>
            <w:pPr>
              <w:pStyle w:val="Compact"/>
              <w:jc w:val="left"/>
            </w:pPr>
            <w:r>
              <w:t xml:space="preserve">12/25 non-registry studies with DC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Nausea/vomiting</w:t>
            </w:r>
          </w:p>
        </w:tc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32.0%</w:t>
            </w:r>
          </w:p>
        </w:tc>
        <w:tc>
          <w:p>
            <w:pPr>
              <w:pStyle w:val="Compact"/>
              <w:jc w:val="left"/>
            </w:pPr>
            <w:r>
              <w:t xml:space="preserve">8/25 non-registry studies with DC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Hb/lab check</w:t>
            </w:r>
          </w:p>
        </w:tc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28.0%</w:t>
            </w:r>
          </w:p>
        </w:tc>
        <w:tc>
          <w:p>
            <w:pPr>
              <w:pStyle w:val="Compact"/>
              <w:jc w:val="left"/>
            </w:pPr>
            <w:r>
              <w:t xml:space="preserve">7/25 non-registry studies with DC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Urine output</w:t>
            </w:r>
          </w:p>
        </w:tc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20.0%</w:t>
            </w:r>
          </w:p>
        </w:tc>
        <w:tc>
          <w:p>
            <w:pPr>
              <w:pStyle w:val="Compact"/>
              <w:jc w:val="left"/>
            </w:pPr>
            <w:r>
              <w:t xml:space="preserve">5/25 non-registry studies with DC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Patient willing</w:t>
            </w:r>
          </w:p>
        </w:tc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20.0%</w:t>
            </w:r>
          </w:p>
        </w:tc>
        <w:tc>
          <w:p>
            <w:pPr>
              <w:pStyle w:val="Compact"/>
              <w:jc w:val="left"/>
            </w:pPr>
            <w:r>
              <w:t xml:space="preserve">5/25 non-registry studies with DC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No bleeding</w:t>
            </w:r>
          </w:p>
        </w:tc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16.0%</w:t>
            </w:r>
          </w:p>
        </w:tc>
        <w:tc>
          <w:p>
            <w:pPr>
              <w:pStyle w:val="Compact"/>
              <w:jc w:val="left"/>
            </w:pPr>
            <w:r>
              <w:t xml:space="preserve">4/25 non-registry studies with DC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Time threshold</w:t>
            </w:r>
          </w:p>
        </w:tc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16.0%</w:t>
            </w:r>
          </w:p>
        </w:tc>
        <w:tc>
          <w:p>
            <w:pPr>
              <w:pStyle w:val="Compact"/>
              <w:jc w:val="left"/>
            </w:pPr>
            <w:r>
              <w:t xml:space="preserve">4/25 non-registry studies with DC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UNIQUE CRITERIA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27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100%</w:t>
            </w:r>
          </w:p>
        </w:tc>
        <w:tc>
          <w:p>
            <w:pPr>
              <w:pStyle w:val="Compact"/>
              <w:jc w:val="left"/>
            </w:pPr>
            <w:r>
              <w:t xml:space="preserve">All 27 studies with DC used unique discharge criteria definitions</w:t>
            </w:r>
          </w:p>
        </w:tc>
      </w:tr>
    </w:tbl>
    <w:p>
      <w:pPr>
        <w:pStyle w:val="BodyText"/>
      </w:pPr>
      <w:r>
        <w:t xml:space="preserve">Note: 14 studies (predominantly registry studies) did not report specific discharge criteria. 2 studies with text in the discharge criteria column did not contain actual post-operative discharge criteria (Mahan 2024 reported demographics; AbuHasan 2024 reported recommendations). Denominator of 25 reflects non-registry studies that reported actual discharge criteria.</w:t>
      </w:r>
    </w:p>
    <w:p>
      <w:pPr>
        <w:pStyle w:val="Heading1"/>
      </w:pPr>
      <w:bookmarkStart w:id="23" w:name="X744d8de0b9cce97ed62fa80a5c570c84b328e96"/>
      <w:r>
        <w:t xml:space="preserve">Appendix 4. Same-Day Discharge Success Rates by Study Design</w:t>
      </w:r>
      <w:bookmarkEnd w:id="23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Study Design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Studies (n)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Studies Reporting (%)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Success Rate Range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Weighted Mean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RCT</w:t>
            </w:r>
          </w:p>
        </w:tc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75%</w:t>
            </w:r>
          </w:p>
        </w:tc>
        <w:tc>
          <w:p>
            <w:pPr>
              <w:pStyle w:val="Compact"/>
              <w:jc w:val="left"/>
            </w:pPr>
            <w:r>
              <w:t xml:space="preserve">63.0% - 96.0%</w:t>
            </w:r>
          </w:p>
        </w:tc>
        <w:tc>
          <w:p>
            <w:pPr>
              <w:pStyle w:val="Compact"/>
              <w:jc w:val="left"/>
            </w:pPr>
            <w:r>
              <w:t xml:space="preserve">74.7%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Cohort</w:t>
            </w:r>
          </w:p>
        </w:tc>
        <w:tc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p>
            <w:pPr>
              <w:pStyle w:val="Compact"/>
              <w:jc w:val="left"/>
            </w:pPr>
            <w:r>
              <w:t xml:space="preserve">87%</w:t>
            </w:r>
          </w:p>
        </w:tc>
        <w:tc>
          <w:p>
            <w:pPr>
              <w:pStyle w:val="Compact"/>
              <w:jc w:val="left"/>
            </w:pPr>
            <w:r>
              <w:t xml:space="preserve">71.5% - 100.0%</w:t>
            </w:r>
          </w:p>
        </w:tc>
        <w:tc>
          <w:p>
            <w:pPr>
              <w:pStyle w:val="Compact"/>
              <w:jc w:val="left"/>
            </w:pPr>
            <w:r>
              <w:t xml:space="preserve">91.6%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Registry</w:t>
            </w:r>
          </w:p>
        </w:tc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27%</w:t>
            </w:r>
          </w:p>
        </w:tc>
        <w:tc>
          <w:p>
            <w:pPr>
              <w:pStyle w:val="Compact"/>
              <w:jc w:val="left"/>
            </w:pPr>
            <w:r>
              <w:t xml:space="preserve">100.0% - 100.0%</w:t>
            </w:r>
          </w:p>
        </w:tc>
        <w:tc>
          <w:p>
            <w:pPr>
              <w:pStyle w:val="Compact"/>
              <w:jc w:val="left"/>
            </w:pPr>
            <w:r>
              <w:t xml:space="preserve">100.0%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Case-control</w:t>
            </w:r>
          </w:p>
        </w:tc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p>
            <w:pPr>
              <w:pStyle w:val="Compact"/>
              <w:jc w:val="left"/>
            </w:pPr>
            <w:r>
              <w:t xml:space="preserve">20.0% - 20.0%</w:t>
            </w:r>
          </w:p>
        </w:tc>
        <w:tc>
          <w:p>
            <w:pPr>
              <w:pStyle w:val="Compact"/>
              <w:jc w:val="left"/>
            </w:pPr>
            <w:r>
              <w:t xml:space="preserve">20.0%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Cross-sectional</w:t>
            </w:r>
          </w:p>
        </w:tc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p>
            <w:pPr>
              <w:pStyle w:val="Compact"/>
              <w:jc w:val="left"/>
            </w:pPr>
            <w:r>
              <w:t xml:space="preserve">89.0% - 92.0%</w:t>
            </w:r>
          </w:p>
        </w:tc>
        <w:tc>
          <w:p>
            <w:pPr>
              <w:pStyle w:val="Compact"/>
              <w:jc w:val="left"/>
            </w:pPr>
            <w:r>
              <w:t xml:space="preserve">90.5%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OVERALL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41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—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63% - 100%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88.5%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2026-02-13T13:59:35Z</dcterms:created>
  <dcterms:modified xsi:type="dcterms:W3CDTF">2026-02-13T13:59:35Z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