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4"/>
        <w:gridCol w:w="1611"/>
        <w:gridCol w:w="682"/>
        <w:gridCol w:w="487"/>
        <w:gridCol w:w="1227"/>
        <w:gridCol w:w="614"/>
        <w:gridCol w:w="909"/>
        <w:gridCol w:w="1121"/>
        <w:gridCol w:w="1255"/>
      </w:tblGrid>
      <w:tr w:rsidR="00D74FCA" w:rsidRPr="002042AF" w14:paraId="1313B8B8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F03BAC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Predictors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E0908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b/>
                <w:bCs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1D3FB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Crude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odds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ratio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211D3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95% CI OR 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B0F3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gram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p</w:t>
            </w:r>
            <w:proofErr w:type="gram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-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value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328B7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Adjusted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odds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ratio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C1D24C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95% CI OR 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18CA4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gram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p</w:t>
            </w:r>
            <w:proofErr w:type="gram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-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value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</w:p>
        </w:tc>
      </w:tr>
      <w:tr w:rsidR="00D74FCA" w:rsidRPr="002042AF" w14:paraId="733AA7B7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A2188C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Sex</w:t>
            </w:r>
            <w:proofErr w:type="spellEnd"/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394AB6B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Male (ref)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9810BC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6ACA37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7B01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9FC6F5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447A9BB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4737F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5B2546DE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C40FF0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484B0F1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Female</w:t>
            </w:r>
            <w:proofErr w:type="spellEnd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18501F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0.633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6AA2B1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0.554 - 0.726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3E59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CCB240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0.805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830E78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0.657 - 0.986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2FADA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0.036</w:t>
            </w:r>
          </w:p>
        </w:tc>
      </w:tr>
      <w:tr w:rsidR="00D74FCA" w:rsidRPr="002042AF" w14:paraId="522109D9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01C87C4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Age (per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year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) 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191513B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EE614E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1.024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BBCE54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1.018- 1.029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44B8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7C159A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1.098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F9806B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1.088 - 1.108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46B88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0.036</w:t>
            </w:r>
          </w:p>
        </w:tc>
      </w:tr>
      <w:tr w:rsidR="00D74FCA" w:rsidRPr="002042AF" w14:paraId="2B050689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883B3A1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nl-NL"/>
              </w:rPr>
            </w:pPr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nl-NL"/>
              </w:rPr>
              <w:t>BMI (kg/m2) (for each BMI point)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F8F139C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val="en-US"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val="en-US" w:eastAsia="nl-NL"/>
              </w:rPr>
              <w:t> 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EF025A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0.965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DE0892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0.953-0.978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A53B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36A765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1.175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649A4F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1.157 - 1.193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498F2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0.003</w:t>
            </w:r>
          </w:p>
        </w:tc>
      </w:tr>
      <w:tr w:rsidR="00D74FCA" w:rsidRPr="002042AF" w14:paraId="16F2D414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AD880EB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Type of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surgery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ED6BEB1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Sleeve</w:t>
            </w:r>
            <w:proofErr w:type="spellEnd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gastectomy</w:t>
            </w:r>
            <w:proofErr w:type="spellEnd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F5E67E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3C641A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140AB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1AA9EE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99F32BA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69DA9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27C4B57D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BED03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F46BCBA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Bypass </w:t>
            </w: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variation</w:t>
            </w:r>
            <w:proofErr w:type="spellEnd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*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7C2F10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0.647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CA581F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0.567-0.741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8CF0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9AC278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0.695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C74240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0.561 - 0.861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97FCA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</w:tr>
      <w:tr w:rsidR="00D74FCA" w:rsidRPr="002042AF" w14:paraId="3D2B5D00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0734B0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gram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ASA score</w:t>
            </w:r>
            <w:proofErr w:type="gramEnd"/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2117A5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38E798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BD8EC6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3479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FF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F0E9A4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FF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E41DD5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FF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FF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D4AE3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FF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090F2D85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39BA29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4BA442A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2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8D5E50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1.443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0BF713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0.736-3.388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63B1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0.339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BF6D15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6C96A3E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FDA77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56D10512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652094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439D676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3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9E52A2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1.643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8F30B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0.842-3.843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C19A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0.193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180A7E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FB553E1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5FC33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24DC1D52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BBC798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88FF348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4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57501E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1.862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D7A2D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0.690-5.234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DC48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0.220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CB8528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6428100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5B97D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7C704D58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B5D97F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Increased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risk VTE/PE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09B11DB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No </w:t>
            </w: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increased</w:t>
            </w:r>
            <w:proofErr w:type="spellEnd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 risk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808CA7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4BEAC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AD34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608DFE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D818956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7E96E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0FA157FA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B542DF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7744674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Increased</w:t>
            </w:r>
            <w:proofErr w:type="spellEnd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 risk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2BFB55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1.158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9DC03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0.410-2.538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3317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0.748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3EE041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D1EC57B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8B009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296742E4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BB8C61F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nl-NL"/>
              </w:rPr>
            </w:pPr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nl-NL"/>
              </w:rPr>
              <w:t>Stroke/TIA in medical history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A9564DC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04B1E5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CD7E85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836C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A5B4C5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B8C4E70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AA1EA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4D7136B3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97DE43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DA90571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Yes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842BCC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1.973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52155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1.313-2.842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855C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DD0C56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1.559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D331EF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1.007 - 2.413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38F73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0.047</w:t>
            </w:r>
          </w:p>
        </w:tc>
      </w:tr>
      <w:tr w:rsidR="00D74FCA" w:rsidRPr="002042AF" w14:paraId="24DA233C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B4C479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Peripheral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arterial </w:t>
            </w:r>
            <w:proofErr w:type="spellStart"/>
            <w:proofErr w:type="gram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disease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/</w:t>
            </w:r>
            <w:proofErr w:type="gram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AAA 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8627E04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58907F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504590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7BBB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948CCA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8DFB12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9B320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3A1687DB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F868A9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77F9BDF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Yes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58B8BC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2.639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57D71D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1.468-4.350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4E8D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DE598F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1.483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C29DDD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0.796 - 2.763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2FB3E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0.215</w:t>
            </w:r>
          </w:p>
        </w:tc>
      </w:tr>
      <w:tr w:rsidR="00D74FCA" w:rsidRPr="002042AF" w14:paraId="05ACBD4D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D66A099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Diabetes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52BBE5D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A32B2C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601509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D719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67BABA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1754B5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D7ED0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74A8C7D4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EE6D65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8B99742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Yes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2EC75A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1.338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46B384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1.149-1.551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9D74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1A3909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1.090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AEE984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0.865 - 1.372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54576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0.465</w:t>
            </w:r>
          </w:p>
        </w:tc>
      </w:tr>
      <w:tr w:rsidR="00D74FCA" w:rsidRPr="002042AF" w14:paraId="15DB5618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A06F49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Hypertension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7E155E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AA8BEE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6B185A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145A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5BA571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8ACAA8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1709A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51B481A0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A82903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DE2677E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Yes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1A90F6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1.605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DC00EC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1.417-1.818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48D0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5A385D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1.417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D5133A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1.161 - 1.729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36BB1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</w:tr>
      <w:tr w:rsidR="00D74FCA" w:rsidRPr="002042AF" w14:paraId="5A9E9258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4DDC546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Kidney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disease 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AE5C25C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B5DF22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E208F5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9266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FB3E13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2D2D41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20490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2D2B7372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0611D1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8A62DD5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Yes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A3937D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1.307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0202FD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0.465-2.850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8F55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0.555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74821E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54A8AD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BC483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40621913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F8B3DA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nl-NL"/>
              </w:rPr>
            </w:pPr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nl-NL"/>
              </w:rPr>
              <w:t xml:space="preserve">Myocardial infarction in medical history 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E18B16D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45B668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17A4C1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728B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272AE9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4A04E6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EC180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2EA31559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E68D15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634F50A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Yes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8A95E1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2.192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48A9F6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1.531-3.039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2C5A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C3491B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1.307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7C63C3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0.837 - 2.040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001E9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0.239</w:t>
            </w:r>
          </w:p>
        </w:tc>
      </w:tr>
      <w:tr w:rsidR="00D74FCA" w:rsidRPr="002042AF" w14:paraId="6305F9CD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176C688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Liver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disease</w:t>
            </w:r>
            <w:proofErr w:type="spellEnd"/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4AB2906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55187F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3D934A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6513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926CE0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0BA9F9D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89FEE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518BF9D6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74D2BA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6907B02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Yes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FCBF7B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2.157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EEBB26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1.201-3.550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6E6D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0.005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6738BE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1.830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9CAA15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1.054 - 3.175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9C559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0.032</w:t>
            </w:r>
          </w:p>
        </w:tc>
      </w:tr>
      <w:tr w:rsidR="00D74FCA" w:rsidRPr="002042AF" w14:paraId="1192C1DB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1FC763D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Malignancy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in medical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history</w:t>
            </w:r>
            <w:proofErr w:type="spellEnd"/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D50C06D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DF2ED4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B85281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0B54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F174F5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C4BA1AF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8691C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3175666D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623A42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05C8152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Yes 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7D9FFE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1.333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13A337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0.686-2.314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4C56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0.349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DA4E4B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9E72F7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1428F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235B6AD4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FE72861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OSAS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20507B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No 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053E9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23FC5A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F8A5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4BAF52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35CF427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0F3B1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37BFA674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51E0FB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D4D00D8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Yes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E264ED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1.407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EAC397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1.214-1.625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496F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6C15A2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1.158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2AD4A4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0.934 - 1.435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06C4F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0.181</w:t>
            </w:r>
          </w:p>
        </w:tc>
      </w:tr>
      <w:tr w:rsidR="00D74FCA" w:rsidRPr="002042AF" w14:paraId="4D5C7933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E617EE4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Dyslipidaemia</w:t>
            </w:r>
            <w:proofErr w:type="spellEnd"/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D4DC700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BD7FA2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7A3A77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D6F0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778583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EDD5AE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F4FB6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2EF11AC3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FA285D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8F6AEE0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Yes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A9FB2B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1.373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B992E6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1.188-1.583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5867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954A92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0.955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FE8E9F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0.761 - 1.198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63C10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0.690</w:t>
            </w:r>
          </w:p>
        </w:tc>
      </w:tr>
      <w:tr w:rsidR="00D74FCA" w:rsidRPr="002042AF" w14:paraId="32823A49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29C6FEC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Congestive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heart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failure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67E9CB4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24E9BD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CBDDAC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EE36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92D05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92D05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0E5C6F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A0F03EA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92D05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92D05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16107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92D05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92D05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025FD40B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902DDE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92D05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E08E462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Yes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62E2CD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1.724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479FDA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1.148-2.481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4E48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0.005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1C1033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1.070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4A5107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0.673 - 1.701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75D45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0.776</w:t>
            </w:r>
          </w:p>
        </w:tc>
      </w:tr>
      <w:tr w:rsidR="00D74FCA" w:rsidRPr="002042AF" w14:paraId="044697A1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1565395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Preoperative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thromboprophylaxis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7D14DB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No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39EC35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CB7B47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43D3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7FD089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140AAF5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EB41C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6091B6C4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333C16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38F2B97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Yes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8808E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0.733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BCAB04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0.619-0.862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A7C4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DDE5E6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6D8482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548C2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022A5E48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11D6E0B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Tromboprophylaxis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agent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1138AF6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Dalteparin</w:t>
            </w:r>
            <w:proofErr w:type="spellEnd"/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5C6FFF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E55B51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011F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88DDA7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502E7BE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8115B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4EF6859B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E6F930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9672C3D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Nadroparin</w:t>
            </w:r>
            <w:proofErr w:type="spellEnd"/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618E45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0.882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3FCE90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0.772-1.007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54C7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0.064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CD3930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BBB470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A1DF0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2EA4B4B5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27078A1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Duration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thromboprophylaxis</w:t>
            </w:r>
            <w:proofErr w:type="spellEnd"/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FD092DB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Only</w:t>
            </w:r>
            <w:proofErr w:type="spellEnd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 during </w:t>
            </w: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hospital</w:t>
            </w:r>
            <w:proofErr w:type="spellEnd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admission</w:t>
            </w:r>
            <w:proofErr w:type="spellEnd"/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F9E914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1385A1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3E8A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76174D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0CCF11D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4AD39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0F7FC526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FB53D9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709049D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1 week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002DE2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0.487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911D70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0.372-0.628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25B3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A213D1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8328B5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17F0D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706C97E0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3BAF04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5A1042D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2 weeks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D29FC2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0.631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EBB3AC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0.494-0.797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B09F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B49ED2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E1B88E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608F7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33695C8B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10B6FC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ECCE169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3 weeks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4F0867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1.140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A63268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0.896-1.435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9AB5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0.275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BBFC99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7A6096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C3F3B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0CCF8C89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C1008A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E28C56F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4 or more weeks 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D2B1A5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0.689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99EBF2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0.598-0.795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8B19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&lt;0.001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062711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B9A04E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BBFC6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4ECBED4B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14F1A65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Dosage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thromboprophylaxis</w:t>
            </w:r>
            <w:proofErr w:type="spellEnd"/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2B45821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Single </w:t>
            </w: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dose</w:t>
            </w:r>
            <w:proofErr w:type="spellEnd"/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BA5AFB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proofErr w:type="gramStart"/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Ref .</w:t>
            </w:r>
            <w:proofErr w:type="gramEnd"/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E54105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3F7C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545782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51ED7AA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4485C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4BA9D7B1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05B283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422BB3E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Double </w:t>
            </w: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dose</w:t>
            </w:r>
            <w:proofErr w:type="spellEnd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3761DA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1.510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55B852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0.484-9.123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EFC1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0.562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0E99B3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CF3F11C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759A3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795C24E6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DC4857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74193E8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Therapeutic</w:t>
            </w:r>
            <w:proofErr w:type="spellEnd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 </w:t>
            </w: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dose</w:t>
            </w:r>
            <w:proofErr w:type="spellEnd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9D3E50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4.796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106FF4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0.219-51.671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C6C2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0.207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44E362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780B7DC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1A3B2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210E8539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F0094A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45473E9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7500EH </w:t>
            </w: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dalteparin</w:t>
            </w:r>
            <w:proofErr w:type="spellEnd"/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6EF7AE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2.318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C4BA24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0.731-14.089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E336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0.240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C26983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FAA2662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8F647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564F3089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5199A92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nl-NL"/>
              </w:rPr>
            </w:pPr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nl-NL"/>
              </w:rPr>
              <w:t xml:space="preserve">Standardized TXA pre- or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nl-NL"/>
              </w:rPr>
              <w:t>peroperatively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 w:eastAsia="nl-NL"/>
              </w:rPr>
              <w:t xml:space="preserve"> 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24BBC18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No standard </w:t>
            </w: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use</w:t>
            </w:r>
            <w:proofErr w:type="spellEnd"/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E7B8B2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4965E5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E142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C48399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9D647BF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8B47D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5494E83B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705CB2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44FEA76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Standard </w:t>
            </w: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use</w:t>
            </w:r>
            <w:proofErr w:type="spellEnd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 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8E2B9C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1.039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CFD424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0.411-2.126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4B93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0.925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3A1828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618C325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0316F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1E35B7C5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F9E0BDA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Omentopexy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in Sleeve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Gastrectomy</w:t>
            </w:r>
            <w:proofErr w:type="spellEnd"/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D39A408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No 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75687D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DA73BF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5722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2E8940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F83151F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CE44E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2EEB49D6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DD7CB5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AA0D37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Yes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DCAC8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0.905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AD2C6E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0.323-1.963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45C8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0.824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4FDDEF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A5F6740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08BA9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29A453B2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37C70CF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Brand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stapling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device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800756A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 xml:space="preserve">A 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4A5308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043C71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AB17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DB663A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91A574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92827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08D7252E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02B912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26D706C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B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B7EA97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0.880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538FA7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0.763-1.011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DDAA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0.075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0EB468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0.610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CFDE33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0.431 - 0.863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03837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0.005</w:t>
            </w:r>
          </w:p>
        </w:tc>
      </w:tr>
      <w:tr w:rsidR="00D74FCA" w:rsidRPr="002042AF" w14:paraId="653096C2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0BA0AF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C444502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C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21820F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0.780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2B46E6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0.494-1.164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C4FB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0.254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08BFC3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1.003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556F1A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0.581 - 1.729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80F47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0.993</w:t>
            </w:r>
          </w:p>
        </w:tc>
      </w:tr>
      <w:tr w:rsidR="00D74FCA" w:rsidRPr="002042AF" w14:paraId="2DED1A3D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4147C87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Type of </w:t>
            </w: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stapling</w:t>
            </w:r>
            <w:proofErr w:type="spellEnd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 xml:space="preserve"> device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0F9F7AB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Powered</w:t>
            </w:r>
            <w:proofErr w:type="spellEnd"/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09F56E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BD5B87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2207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F75604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4FA9FB0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CD095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57C3F53A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146DB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6C3458D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Manual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50142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0.873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722058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0.767-0.991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A81C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0.037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2918D8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0.836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4F0476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0.623 - 1.123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EFBA1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0.235</w:t>
            </w:r>
          </w:p>
        </w:tc>
      </w:tr>
      <w:tr w:rsidR="00D74FCA" w:rsidRPr="002042AF" w14:paraId="313AFD85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3A3943B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</w:pPr>
            <w:proofErr w:type="spellStart"/>
            <w:r w:rsidRPr="002042AF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nl-NL"/>
              </w:rPr>
              <w:t>Year</w:t>
            </w:r>
            <w:proofErr w:type="spellEnd"/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057A4CF7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2015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FE755A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8CEC5A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1A8E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C389A5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 xml:space="preserve">Ref. 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285532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D388F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 </w:t>
            </w:r>
          </w:p>
        </w:tc>
      </w:tr>
      <w:tr w:rsidR="00D74FCA" w:rsidRPr="002042AF" w14:paraId="61C9304C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F1CA63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9217016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2016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2D5C93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0.994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E9633C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0.737-1.345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D347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0.971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3E32EC6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2.567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D861E7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0.270 - 24.379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4BD8C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0.412</w:t>
            </w:r>
          </w:p>
        </w:tc>
      </w:tr>
      <w:tr w:rsidR="00D74FCA" w:rsidRPr="002042AF" w14:paraId="04971D9F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E4ECF5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0742BFF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2017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3C899E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1.041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1C4D23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0.776-1.400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2454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0.791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5E97E6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1.039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9A310A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0.090 - 12.018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C3C63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0.975</w:t>
            </w:r>
          </w:p>
        </w:tc>
      </w:tr>
      <w:tr w:rsidR="00D74FCA" w:rsidRPr="002042AF" w14:paraId="798F96EA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4580BB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0C74D98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2018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8F8845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1.136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0F968A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0.849-1.526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FA15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0.393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D4E1B1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0.601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87224F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0.078 - 4.618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FFCE0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0.624</w:t>
            </w:r>
          </w:p>
        </w:tc>
      </w:tr>
      <w:tr w:rsidR="00D74FCA" w:rsidRPr="002042AF" w14:paraId="3AD6A624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49D8DF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7B5AFEA2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2019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CE793DF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0.985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B20B82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0.735-1.324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506B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0.918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02022F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0.444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BEAB20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0.059 - 3.323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BBA5DB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0.429</w:t>
            </w:r>
          </w:p>
        </w:tc>
      </w:tr>
      <w:tr w:rsidR="00D74FCA" w:rsidRPr="002042AF" w14:paraId="4870809A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7B075F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27AB4C9E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2020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1A71DD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1.109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330B62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0.809-1.520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878C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0.519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BCEC4F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0.516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665DFD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0.069 - 3.873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49EF5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0.520</w:t>
            </w:r>
          </w:p>
        </w:tc>
      </w:tr>
      <w:tr w:rsidR="00D74FCA" w:rsidRPr="002042AF" w14:paraId="5C087D50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F02683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A65D343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2021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F6688C7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1.146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B9A398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0.852-1.547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D8DA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0.369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54F9CC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0.476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A3D5961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0.063 - 3.579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9A99B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0.471</w:t>
            </w:r>
          </w:p>
        </w:tc>
      </w:tr>
      <w:tr w:rsidR="00D74FCA" w:rsidRPr="002042AF" w14:paraId="5B447D5D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CBC52DC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FC391DE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2022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CBFEA9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1.192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9973690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0.902-1.584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5036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0.221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62FB4F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0.497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F3E7D4A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0.066 - 3.729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5948A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0.050</w:t>
            </w:r>
          </w:p>
        </w:tc>
      </w:tr>
      <w:tr w:rsidR="00D74FCA" w:rsidRPr="002042AF" w14:paraId="3ED9FC20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D8A453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C8DD5B9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sz w:val="16"/>
                <w:szCs w:val="16"/>
                <w:lang w:eastAsia="nl-NL"/>
              </w:rPr>
              <w:t>2023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84D018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1.329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D40AAD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1.003-1.770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65A7D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0.050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42A2E39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0.589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13C1F1E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0.079 - 4.414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8296A5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0.607</w:t>
            </w:r>
          </w:p>
        </w:tc>
      </w:tr>
      <w:tr w:rsidR="00D74FCA" w:rsidRPr="002042AF" w14:paraId="7F9DEE16" w14:textId="77777777" w:rsidTr="00D74FCA">
        <w:trPr>
          <w:trHeight w:val="259"/>
        </w:trPr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BAA3CB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CE7A081" w14:textId="77777777" w:rsidR="00D74FCA" w:rsidRPr="002042AF" w:rsidRDefault="00D74FCA" w:rsidP="001279FA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2024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D0549E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1.340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EF1295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1.007-1.793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BC333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0.046</w:t>
            </w:r>
          </w:p>
        </w:tc>
        <w:tc>
          <w:tcPr>
            <w:tcW w:w="9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80C5824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0.621</w:t>
            </w:r>
          </w:p>
        </w:tc>
        <w:tc>
          <w:tcPr>
            <w:tcW w:w="11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7C9E2408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0.083 - 4.660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D947A2" w14:textId="77777777" w:rsidR="00D74FCA" w:rsidRPr="002042AF" w:rsidRDefault="00D74FCA" w:rsidP="001279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</w:pPr>
            <w:r w:rsidRPr="002042AF">
              <w:rPr>
                <w:rFonts w:eastAsia="Times New Roman" w:cs="Times New Roman"/>
                <w:color w:val="000000"/>
                <w:sz w:val="16"/>
                <w:szCs w:val="16"/>
                <w:lang w:eastAsia="nl-NL"/>
              </w:rPr>
              <w:t>0.643</w:t>
            </w:r>
          </w:p>
        </w:tc>
      </w:tr>
    </w:tbl>
    <w:p w14:paraId="68C3B2D5" w14:textId="77777777" w:rsidR="00D74FCA" w:rsidRDefault="00D74FCA" w:rsidP="00D74FCA">
      <w:pPr>
        <w:spacing w:line="360" w:lineRule="auto"/>
        <w:rPr>
          <w:rFonts w:cs="Arial"/>
          <w:b/>
          <w:bCs/>
          <w:lang w:val="en-GB"/>
        </w:rPr>
      </w:pPr>
    </w:p>
    <w:p w14:paraId="36B08480" w14:textId="77777777" w:rsidR="00D74FCA" w:rsidRDefault="00D74FCA" w:rsidP="00D74FCA">
      <w:pPr>
        <w:spacing w:line="360" w:lineRule="auto"/>
        <w:rPr>
          <w:rFonts w:cs="Arial"/>
          <w:b/>
          <w:bCs/>
          <w:lang w:val="en-GB"/>
        </w:rPr>
      </w:pPr>
      <w:r w:rsidRPr="000C091E">
        <w:rPr>
          <w:rFonts w:cs="Arial"/>
          <w:b/>
          <w:bCs/>
          <w:lang w:val="en-GB"/>
        </w:rPr>
        <w:t xml:space="preserve">Supplement </w:t>
      </w:r>
      <w:r>
        <w:rPr>
          <w:rFonts w:cs="Arial"/>
          <w:b/>
          <w:bCs/>
          <w:lang w:val="en-GB"/>
        </w:rPr>
        <w:t>1</w:t>
      </w:r>
      <w:r w:rsidRPr="000C091E">
        <w:rPr>
          <w:rFonts w:cs="Arial"/>
          <w:b/>
          <w:bCs/>
          <w:lang w:val="en-GB"/>
        </w:rPr>
        <w:t xml:space="preserve">. Sensitivity analysis </w:t>
      </w:r>
    </w:p>
    <w:p w14:paraId="2CD7E44A" w14:textId="77777777" w:rsidR="00D74FCA" w:rsidRPr="00700657" w:rsidRDefault="00D74FCA" w:rsidP="00D74FCA">
      <w:pPr>
        <w:spacing w:line="360" w:lineRule="auto"/>
        <w:rPr>
          <w:rFonts w:cs="Arial"/>
          <w:lang w:val="en-US"/>
        </w:rPr>
      </w:pPr>
      <w:r w:rsidRPr="00CD118B">
        <w:rPr>
          <w:rFonts w:cs="Arial"/>
          <w:lang w:val="en-GB"/>
        </w:rPr>
        <w:t>Univariable analys</w:t>
      </w:r>
      <w:r>
        <w:rPr>
          <w:rFonts w:cs="Arial"/>
          <w:lang w:val="en-GB"/>
        </w:rPr>
        <w:t>e</w:t>
      </w:r>
      <w:r w:rsidRPr="00CD118B">
        <w:rPr>
          <w:rFonts w:cs="Arial"/>
          <w:lang w:val="en-GB"/>
        </w:rPr>
        <w:t xml:space="preserve">s present the unadjusted association between each predictor and </w:t>
      </w:r>
      <w:r>
        <w:rPr>
          <w:rFonts w:cs="Arial"/>
          <w:lang w:val="en-GB"/>
        </w:rPr>
        <w:t xml:space="preserve">the </w:t>
      </w:r>
      <w:r w:rsidRPr="00CD118B">
        <w:rPr>
          <w:rFonts w:cs="Arial"/>
          <w:lang w:val="en-GB"/>
        </w:rPr>
        <w:t xml:space="preserve">post-operative </w:t>
      </w:r>
      <w:proofErr w:type="spellStart"/>
      <w:r w:rsidRPr="00CD118B">
        <w:rPr>
          <w:rFonts w:cs="Arial"/>
          <w:lang w:val="en-GB"/>
        </w:rPr>
        <w:t>hemorrhage</w:t>
      </w:r>
      <w:proofErr w:type="spellEnd"/>
      <w:r w:rsidRPr="00CD118B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 xml:space="preserve">rate </w:t>
      </w:r>
      <w:r w:rsidRPr="00CD118B">
        <w:rPr>
          <w:rFonts w:cs="Arial"/>
          <w:lang w:val="en-GB"/>
        </w:rPr>
        <w:t xml:space="preserve">(CD </w:t>
      </w:r>
      <w:r>
        <w:rPr>
          <w:rFonts w:cs="Arial"/>
          <w:lang w:val="en-GB"/>
        </w:rPr>
        <w:t xml:space="preserve">≥ </w:t>
      </w:r>
      <w:r w:rsidRPr="00CD118B">
        <w:rPr>
          <w:rFonts w:cs="Arial"/>
          <w:lang w:val="en-GB"/>
        </w:rPr>
        <w:t>2)</w:t>
      </w:r>
      <w:r>
        <w:rPr>
          <w:rFonts w:cs="Arial"/>
          <w:lang w:val="en-GB"/>
        </w:rPr>
        <w:t xml:space="preserve">.  </w:t>
      </w:r>
      <w:r w:rsidRPr="00700657">
        <w:rPr>
          <w:rFonts w:cs="Arial"/>
          <w:lang w:val="en-US"/>
        </w:rPr>
        <w:t xml:space="preserve">For this sensitivity analysis, all variables related to </w:t>
      </w:r>
      <w:r>
        <w:rPr>
          <w:rFonts w:cs="Arial"/>
          <w:lang w:val="en-US"/>
        </w:rPr>
        <w:t xml:space="preserve">thromboprophylaxis, </w:t>
      </w:r>
      <w:r w:rsidRPr="00700657">
        <w:rPr>
          <w:rFonts w:cs="Arial"/>
          <w:lang w:val="en-US"/>
        </w:rPr>
        <w:t>including the specific agent use</w:t>
      </w:r>
      <w:r>
        <w:rPr>
          <w:rFonts w:cs="Arial"/>
          <w:lang w:val="en-US"/>
        </w:rPr>
        <w:t xml:space="preserve">, </w:t>
      </w:r>
      <w:r w:rsidRPr="00700657">
        <w:rPr>
          <w:rFonts w:cs="Arial"/>
          <w:lang w:val="en-US"/>
        </w:rPr>
        <w:t>were excluded from the multilevel model to account for potential limitations in data quality.</w:t>
      </w:r>
    </w:p>
    <w:p w14:paraId="715DB0CA" w14:textId="77777777" w:rsidR="00D74FCA" w:rsidRPr="001168D6" w:rsidRDefault="00D74FCA" w:rsidP="00D74FCA">
      <w:pPr>
        <w:spacing w:line="360" w:lineRule="auto"/>
        <w:rPr>
          <w:rFonts w:cs="Arial"/>
          <w:lang w:val="en-GB"/>
        </w:rPr>
      </w:pPr>
      <w:r w:rsidRPr="00BB432D">
        <w:rPr>
          <w:lang w:val="en-GB"/>
        </w:rPr>
        <w:t xml:space="preserve">Abbreviations: CI = confidence </w:t>
      </w:r>
      <w:proofErr w:type="gramStart"/>
      <w:r w:rsidRPr="00BB432D">
        <w:rPr>
          <w:lang w:val="en-GB"/>
        </w:rPr>
        <w:t>interval</w:t>
      </w:r>
      <w:r>
        <w:rPr>
          <w:rFonts w:eastAsia="Times New Roman" w:cs="Calibri"/>
          <w:lang w:val="en-GB" w:eastAsia="nl-NL"/>
        </w:rPr>
        <w:t xml:space="preserve">;  </w:t>
      </w:r>
      <w:r w:rsidRPr="00667DD7">
        <w:rPr>
          <w:rFonts w:eastAsia="Times New Roman" w:cs="Calibri"/>
          <w:lang w:val="en-GB" w:eastAsia="nl-NL"/>
        </w:rPr>
        <w:t>BMI</w:t>
      </w:r>
      <w:proofErr w:type="gramEnd"/>
      <w:r w:rsidRPr="00667DD7">
        <w:rPr>
          <w:rFonts w:eastAsia="Times New Roman" w:cs="Calibri"/>
          <w:lang w:val="en-GB" w:eastAsia="nl-NL"/>
        </w:rPr>
        <w:t xml:space="preserve"> = body mass index; kg/m</w:t>
      </w:r>
      <w:r w:rsidRPr="00667DD7">
        <w:rPr>
          <w:rFonts w:eastAsia="Times New Roman" w:cs="Calibri"/>
          <w:vertAlign w:val="superscript"/>
          <w:lang w:val="en-GB" w:eastAsia="nl-NL"/>
        </w:rPr>
        <w:t>2</w:t>
      </w:r>
      <w:r w:rsidRPr="00667DD7">
        <w:rPr>
          <w:rFonts w:eastAsia="Times New Roman" w:cs="Calibri"/>
          <w:lang w:val="en-GB" w:eastAsia="nl-NL"/>
        </w:rPr>
        <w:t xml:space="preserve"> = kilogram per squared meters; OSAS = obstructive sleep apnoea syndrome; ASA= </w:t>
      </w:r>
      <w:r w:rsidRPr="00667DD7">
        <w:rPr>
          <w:rFonts w:eastAsia="Times New Roman" w:cs="Calibri"/>
          <w:lang w:val="en-US" w:eastAsia="nl-NL"/>
        </w:rPr>
        <w:t xml:space="preserve">American Society of Anesthesiologists; AAA = abdominal aortic </w:t>
      </w:r>
      <w:proofErr w:type="gramStart"/>
      <w:r w:rsidRPr="00667DD7">
        <w:rPr>
          <w:rFonts w:eastAsia="Times New Roman" w:cs="Calibri"/>
          <w:lang w:val="en-US" w:eastAsia="nl-NL"/>
        </w:rPr>
        <w:t>aneurysm ;</w:t>
      </w:r>
      <w:proofErr w:type="gramEnd"/>
      <w:r w:rsidRPr="00667DD7">
        <w:rPr>
          <w:rFonts w:eastAsia="Times New Roman" w:cs="Calibri"/>
          <w:lang w:val="en-US" w:eastAsia="nl-NL"/>
        </w:rPr>
        <w:t xml:space="preserve"> TIA =</w:t>
      </w:r>
      <w:r w:rsidRPr="00667DD7">
        <w:rPr>
          <w:rFonts w:eastAsia="Times New Roman" w:cs="Calibri"/>
          <w:lang w:val="en-GB" w:eastAsia="nl-NL"/>
        </w:rPr>
        <w:t> transient ischemic attack; VTE = venous thromboembolism; PE = pulmonary embolism</w:t>
      </w:r>
      <w:r>
        <w:rPr>
          <w:rFonts w:eastAsia="Times New Roman" w:cs="Calibri"/>
          <w:lang w:val="en-GB" w:eastAsia="nl-NL"/>
        </w:rPr>
        <w:t xml:space="preserve">; TXA = tranexamic acid. *Bypass variations: Roux-en-Y gastric bypass, one anastomosis gastric bypass and </w:t>
      </w:r>
      <w:r>
        <w:rPr>
          <w:rFonts w:cs="Arial"/>
          <w:lang w:val="en-US"/>
        </w:rPr>
        <w:t>ring-augmented RYGB and OAGB</w:t>
      </w:r>
      <w:r>
        <w:rPr>
          <w:rFonts w:eastAsia="Times New Roman" w:cs="Calibri"/>
          <w:lang w:val="en-GB" w:eastAsia="nl-NL"/>
        </w:rPr>
        <w:t xml:space="preserve">. </w:t>
      </w:r>
      <w:r w:rsidRPr="00D743BF">
        <w:rPr>
          <w:rFonts w:eastAsia="Times New Roman" w:cs="Calibri"/>
          <w:lang w:val="en-GB" w:eastAsia="nl-NL"/>
        </w:rPr>
        <w:t>** Increased risk of VTE/PE was defined as</w:t>
      </w:r>
      <w:r>
        <w:rPr>
          <w:rFonts w:eastAsia="Times New Roman" w:cs="Calibri"/>
          <w:lang w:val="en-GB" w:eastAsia="nl-NL"/>
        </w:rPr>
        <w:t xml:space="preserve"> a</w:t>
      </w:r>
      <w:r w:rsidRPr="00D743BF">
        <w:rPr>
          <w:rFonts w:eastAsia="Times New Roman" w:cs="Calibri"/>
          <w:lang w:val="en-GB" w:eastAsia="nl-NL"/>
        </w:rPr>
        <w:t xml:space="preserve"> </w:t>
      </w:r>
      <w:r w:rsidRPr="0059217E">
        <w:rPr>
          <w:rFonts w:eastAsia="Times New Roman" w:cs="Calibri"/>
          <w:lang w:val="en-GB" w:eastAsia="nl-NL"/>
        </w:rPr>
        <w:t xml:space="preserve">venous thromboembolism </w:t>
      </w:r>
      <w:r>
        <w:rPr>
          <w:rFonts w:eastAsia="Times New Roman" w:cs="Calibri"/>
          <w:lang w:val="en-GB" w:eastAsia="nl-NL"/>
        </w:rPr>
        <w:t xml:space="preserve">or </w:t>
      </w:r>
      <w:r w:rsidRPr="0059217E">
        <w:rPr>
          <w:rFonts w:eastAsia="Times New Roman" w:cs="Calibri"/>
          <w:lang w:val="en-GB" w:eastAsia="nl-NL"/>
        </w:rPr>
        <w:t>pulmonary hypertension</w:t>
      </w:r>
      <w:r>
        <w:rPr>
          <w:rFonts w:eastAsia="Times New Roman" w:cs="Calibri"/>
          <w:lang w:val="en-GB" w:eastAsia="nl-NL"/>
        </w:rPr>
        <w:t xml:space="preserve"> in medical history</w:t>
      </w:r>
      <w:r w:rsidRPr="0059217E">
        <w:rPr>
          <w:rFonts w:eastAsia="Times New Roman" w:cs="Calibri"/>
          <w:lang w:val="en-GB" w:eastAsia="nl-NL"/>
        </w:rPr>
        <w:t>, hypoventilation due to obesity</w:t>
      </w:r>
      <w:r>
        <w:rPr>
          <w:rFonts w:eastAsia="Times New Roman" w:cs="Calibri"/>
          <w:lang w:val="en-GB" w:eastAsia="nl-NL"/>
        </w:rPr>
        <w:t xml:space="preserve">, or when a </w:t>
      </w:r>
      <w:r w:rsidRPr="0059217E">
        <w:rPr>
          <w:rFonts w:eastAsia="Times New Roman" w:cs="Calibri"/>
          <w:lang w:val="en-GB" w:eastAsia="nl-NL"/>
        </w:rPr>
        <w:t>p</w:t>
      </w:r>
      <w:r>
        <w:rPr>
          <w:rFonts w:eastAsia="Times New Roman" w:cs="Calibri"/>
          <w:lang w:val="en-GB" w:eastAsia="nl-NL"/>
        </w:rPr>
        <w:t>eri</w:t>
      </w:r>
      <w:r w:rsidRPr="0059217E">
        <w:rPr>
          <w:rFonts w:eastAsia="Times New Roman" w:cs="Calibri"/>
          <w:lang w:val="en-GB" w:eastAsia="nl-NL"/>
        </w:rPr>
        <w:t xml:space="preserve">operative vena cava filter </w:t>
      </w:r>
      <w:r>
        <w:rPr>
          <w:rFonts w:eastAsia="Times New Roman" w:cs="Calibri"/>
          <w:lang w:val="en-GB" w:eastAsia="nl-NL"/>
        </w:rPr>
        <w:t>was used.</w:t>
      </w:r>
      <w:r w:rsidRPr="0059217E">
        <w:rPr>
          <w:rFonts w:eastAsia="Times New Roman" w:cs="Calibri"/>
          <w:lang w:val="en-GB" w:eastAsia="nl-NL"/>
        </w:rPr>
        <w:t xml:space="preserve"> </w:t>
      </w:r>
      <w:r w:rsidRPr="00D743BF">
        <w:rPr>
          <w:rFonts w:eastAsia="Times New Roman" w:cs="Calibri"/>
          <w:lang w:val="en-GB" w:eastAsia="nl-NL"/>
        </w:rPr>
        <w:t xml:space="preserve"> </w:t>
      </w:r>
      <w:r w:rsidRPr="00D743BF">
        <w:rPr>
          <w:rFonts w:eastAsia="Times New Roman" w:cs="Calibri"/>
          <w:vertAlign w:val="superscript"/>
          <w:lang w:val="en-GB" w:eastAsia="nl-NL"/>
        </w:rPr>
        <w:t xml:space="preserve"> </w:t>
      </w:r>
    </w:p>
    <w:p w14:paraId="32542148" w14:textId="77777777" w:rsidR="00D74FCA" w:rsidRPr="00935A68" w:rsidRDefault="00D74FCA" w:rsidP="00D74FCA">
      <w:pPr>
        <w:rPr>
          <w:lang w:val="en-GB"/>
        </w:rPr>
      </w:pPr>
    </w:p>
    <w:p w14:paraId="465F092F" w14:textId="77777777" w:rsidR="00D74FCA" w:rsidRPr="00D74FCA" w:rsidRDefault="00D74FCA">
      <w:pPr>
        <w:rPr>
          <w:lang w:val="en-US"/>
        </w:rPr>
      </w:pPr>
    </w:p>
    <w:sectPr w:rsidR="00D74FCA" w:rsidRPr="00D74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CA"/>
    <w:rsid w:val="008161B1"/>
    <w:rsid w:val="00BD2175"/>
    <w:rsid w:val="00D74FCA"/>
    <w:rsid w:val="00E4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B7058"/>
  <w15:chartTrackingRefBased/>
  <w15:docId w15:val="{54656B48-540E-4E50-A10F-60268B88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74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74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74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74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74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74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74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4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74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74F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74F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74F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74FC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74FC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74FC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4FC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4FC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4FC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74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74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74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74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74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74FC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74FC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74FC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74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74FC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74F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3d2751-ce79-45dc-98cf-e90cda539940">
      <Terms xmlns="http://schemas.microsoft.com/office/infopath/2007/PartnerControls"/>
    </lcf76f155ced4ddcb4097134ff3c332f>
    <TaxCatchAll xmlns="ffc66b4c-171a-4511-89b4-c144148fde6e" xsi:nil="true"/>
    <Title0 xmlns="d73d2751-ce79-45dc-98cf-e90cda5399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A091E38ADE934DA26A9E153878A433" ma:contentTypeVersion="16" ma:contentTypeDescription="Een nieuw document maken." ma:contentTypeScope="" ma:versionID="7c20ddedde267185c4015188e66f98a0">
  <xsd:schema xmlns:xsd="http://www.w3.org/2001/XMLSchema" xmlns:xs="http://www.w3.org/2001/XMLSchema" xmlns:p="http://schemas.microsoft.com/office/2006/metadata/properties" xmlns:ns2="d73d2751-ce79-45dc-98cf-e90cda539940" xmlns:ns3="ffc66b4c-171a-4511-89b4-c144148fde6e" targetNamespace="http://schemas.microsoft.com/office/2006/metadata/properties" ma:root="true" ma:fieldsID="660033b77a15d9c372b2a27723c4c3cb" ns2:_="" ns3:_="">
    <xsd:import namespace="d73d2751-ce79-45dc-98cf-e90cda539940"/>
    <xsd:import namespace="ffc66b4c-171a-4511-89b4-c144148fde6e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d2751-ce79-45dc-98cf-e90cda539940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bd450d25-7415-46fb-861f-e8bd79487d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66b4c-171a-4511-89b4-c144148fde6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3e1ca3f-f68b-4cd7-849c-d889780d60b0}" ma:internalName="TaxCatchAll" ma:showField="CatchAllData" ma:web="ffc66b4c-171a-4511-89b4-c144148fd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3D895D-C50F-4AE6-AA35-B43F4A9512A8}">
  <ds:schemaRefs>
    <ds:schemaRef ds:uri="http://schemas.microsoft.com/office/2006/metadata/properties"/>
    <ds:schemaRef ds:uri="http://schemas.microsoft.com/office/infopath/2007/PartnerControls"/>
    <ds:schemaRef ds:uri="d73d2751-ce79-45dc-98cf-e90cda539940"/>
    <ds:schemaRef ds:uri="ffc66b4c-171a-4511-89b4-c144148fde6e"/>
  </ds:schemaRefs>
</ds:datastoreItem>
</file>

<file path=customXml/itemProps2.xml><?xml version="1.0" encoding="utf-8"?>
<ds:datastoreItem xmlns:ds="http://schemas.openxmlformats.org/officeDocument/2006/customXml" ds:itemID="{7D302482-46AB-4F5A-8FF0-DAAAAAB22A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1026E4-7583-4257-9EBA-3A5FDAC058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3d2751-ce79-45dc-98cf-e90cda539940"/>
    <ds:schemaRef ds:uri="ffc66b4c-171a-4511-89b4-c144148fd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3755</Characters>
  <Application>Microsoft Office Word</Application>
  <DocSecurity>4</DocSecurity>
  <Lines>31</Lines>
  <Paragraphs>8</Paragraphs>
  <ScaleCrop>false</ScaleCrop>
  <Company>Franciscus Gasthuis &amp; Vlietland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Kwakkelstein, Mabel</dc:creator>
  <cp:keywords/>
  <dc:description/>
  <cp:lastModifiedBy>Anne Brouwer</cp:lastModifiedBy>
  <cp:revision>2</cp:revision>
  <dcterms:created xsi:type="dcterms:W3CDTF">2026-07-16T12:17:00Z</dcterms:created>
  <dcterms:modified xsi:type="dcterms:W3CDTF">2026-07-16T12:17:00Z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0x0101009FA091E38ADE934DA26A9E153878A433</vt:lpwstr>
  </property>
  <property fmtid="{D5CDD505-2E9C-101B-9397-08002B2CF9AE}" pid="3" name="GrammarlyDocumentId">
    <vt:lpwstr>a2b64b00-063e-49f0-b15c-69956786b1de</vt:lpwstr>
  </property>
</Properties>
</file>