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A1BCA" w14:textId="77777777" w:rsidR="00542A9B" w:rsidRDefault="00542A9B" w:rsidP="005E14F7">
      <w:pPr>
        <w:ind w:firstLine="0"/>
      </w:pPr>
    </w:p>
    <w:p w14:paraId="403E8069" w14:textId="1C1381FD" w:rsidR="005E14F7" w:rsidRDefault="005E14F7" w:rsidP="005E14F7">
      <w:pPr>
        <w:ind w:firstLine="0"/>
      </w:pPr>
      <w:r w:rsidRPr="00894291">
        <w:rPr>
          <w:noProof/>
          <w:lang w:val="en-GB" w:eastAsia="fr-FR"/>
        </w:rPr>
        <w:drawing>
          <wp:inline distT="0" distB="0" distL="0" distR="0" wp14:anchorId="336E8195" wp14:editId="6DA88CA7">
            <wp:extent cx="5943600" cy="3832225"/>
            <wp:effectExtent l="0" t="0" r="0" b="0"/>
            <wp:docPr id="8136941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E2B32" w14:textId="20E4B71F" w:rsidR="005E14F7" w:rsidRDefault="005E14F7" w:rsidP="00EC3319">
      <w:pPr>
        <w:ind w:firstLine="0"/>
        <w:jc w:val="center"/>
      </w:pPr>
      <w:r w:rsidRPr="005E14F7">
        <w:rPr>
          <w:b/>
          <w:bCs/>
        </w:rPr>
        <w:t>Figure S1.</w:t>
      </w:r>
      <w:r w:rsidRPr="005E14F7">
        <w:t xml:space="preserve"> </w:t>
      </w:r>
      <w:r w:rsidR="00EC3319" w:rsidRPr="00EC3319">
        <w:t>LC–ESI–MS/MS chromatogram of the reference-standard mixture.</w:t>
      </w:r>
    </w:p>
    <w:p w14:paraId="0F7D934A" w14:textId="10FB004B" w:rsidR="00DE526E" w:rsidRDefault="00DE526E" w:rsidP="00EC3319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E1C4213" wp14:editId="4CE1E42A">
            <wp:extent cx="2826000" cy="2163600"/>
            <wp:effectExtent l="0" t="0" r="0" b="8255"/>
            <wp:docPr id="1015604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04412" name="Picture 10156044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0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AB94BA" wp14:editId="0846F958">
            <wp:extent cx="2826000" cy="2163600"/>
            <wp:effectExtent l="0" t="0" r="0" b="8255"/>
            <wp:docPr id="12276165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16598" name="Picture 12276165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0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152FB5" wp14:editId="25D84C02">
            <wp:extent cx="2826000" cy="2163600"/>
            <wp:effectExtent l="0" t="0" r="0" b="8255"/>
            <wp:docPr id="7853254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25494" name="Picture 7853254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0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37E87" w14:textId="15FC0051" w:rsidR="00DE526E" w:rsidRDefault="00DE526E" w:rsidP="00DE526E">
      <w:pPr>
        <w:ind w:firstLine="0"/>
        <w:jc w:val="center"/>
      </w:pPr>
      <w:r w:rsidRPr="00DE526E">
        <w:rPr>
          <w:b/>
          <w:bCs/>
        </w:rPr>
        <w:t>Figure S2.</w:t>
      </w:r>
      <w:r w:rsidRPr="00DE526E">
        <w:t xml:space="preserve"> Representative concentration–response curves used to determine the DPPH and ABTS IC₅₀ values, and BSA protein anti-denaturation IC₅₀ value of the </w:t>
      </w:r>
      <w:r w:rsidRPr="00DE526E">
        <w:rPr>
          <w:i/>
          <w:iCs/>
        </w:rPr>
        <w:t>Opuntia ficus-indica</w:t>
      </w:r>
      <w:r w:rsidRPr="00DE526E">
        <w:t xml:space="preserve"> aqueous extract. Data are presented as mean ± SD of three independent determinations.</w:t>
      </w:r>
    </w:p>
    <w:sectPr w:rsidR="00DE5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F7"/>
    <w:rsid w:val="00023506"/>
    <w:rsid w:val="001209AA"/>
    <w:rsid w:val="00542A9B"/>
    <w:rsid w:val="005E14F7"/>
    <w:rsid w:val="00845EF5"/>
    <w:rsid w:val="00BA0CDC"/>
    <w:rsid w:val="00DE526E"/>
    <w:rsid w:val="00EC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D52DE"/>
  <w15:chartTrackingRefBased/>
  <w15:docId w15:val="{CD30AE96-733C-4EAC-B435-02D49319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4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14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14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14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14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14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14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14F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14F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14F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14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14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14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14F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14F7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14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14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14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14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14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14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1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Elhafnaoui Lanez</dc:creator>
  <cp:keywords/>
  <dc:description/>
  <cp:lastModifiedBy>Stefania G.</cp:lastModifiedBy>
  <cp:revision>2</cp:revision>
  <cp:lastPrinted>2026-07-28T15:12:00Z</cp:lastPrinted>
  <dcterms:created xsi:type="dcterms:W3CDTF">2026-07-29T22:07:00Z</dcterms:created>
  <dcterms:modified xsi:type="dcterms:W3CDTF">2026-07-29T22:07:00Z</dcterms:modified>
</cp:coreProperties>
</file>