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FDE7" w14:textId="77777777" w:rsidR="0043537E" w:rsidRPr="00E45648" w:rsidRDefault="0043537E" w:rsidP="0043537E">
      <w:pPr>
        <w:spacing w:line="240" w:lineRule="exact"/>
        <w:jc w:val="both"/>
        <w:rPr>
          <w:rFonts w:ascii="Calibri" w:hAnsi="Calibri"/>
          <w:lang w:val="en-GB"/>
        </w:rPr>
      </w:pPr>
    </w:p>
    <w:p w14:paraId="5F49EFB1" w14:textId="4E4A452B" w:rsidR="005A32D2" w:rsidRDefault="005A32D2" w:rsidP="00431533">
      <w:pPr>
        <w:autoSpaceDE w:val="0"/>
        <w:autoSpaceDN w:val="0"/>
        <w:adjustRightInd w:val="0"/>
        <w:rPr>
          <w:rFonts w:ascii="Calibri" w:hAnsi="Calibri"/>
          <w:b/>
          <w:color w:val="EE0000"/>
          <w:lang w:val="en-US"/>
        </w:rPr>
      </w:pPr>
      <w:r>
        <w:rPr>
          <w:rFonts w:ascii="Calibri" w:hAnsi="Calibri"/>
          <w:b/>
          <w:color w:val="EE0000"/>
          <w:lang w:val="en-US"/>
        </w:rPr>
        <w:t xml:space="preserve">ONLINE </w:t>
      </w:r>
    </w:p>
    <w:p w14:paraId="4E00129C" w14:textId="2A05476B" w:rsidR="008542D6" w:rsidRPr="00431533" w:rsidRDefault="00431533" w:rsidP="00431533">
      <w:pPr>
        <w:autoSpaceDE w:val="0"/>
        <w:autoSpaceDN w:val="0"/>
        <w:adjustRightInd w:val="0"/>
        <w:rPr>
          <w:rFonts w:ascii="Calibri" w:hAnsi="Calibri"/>
          <w:b/>
          <w:lang w:val="en-US"/>
        </w:rPr>
      </w:pPr>
      <w:r w:rsidRPr="00431533">
        <w:rPr>
          <w:rFonts w:ascii="Calibri" w:hAnsi="Calibri"/>
          <w:b/>
          <w:lang w:val="en-US"/>
        </w:rPr>
        <w:t>Appendix</w:t>
      </w:r>
      <w:r w:rsidR="00122A0B">
        <w:rPr>
          <w:rFonts w:ascii="Calibri" w:hAnsi="Calibri"/>
          <w:b/>
          <w:lang w:val="en-US"/>
        </w:rPr>
        <w:t xml:space="preserve"> </w:t>
      </w:r>
      <w:r w:rsidR="00486D8B" w:rsidRPr="00486D8B">
        <w:rPr>
          <w:rFonts w:ascii="Calibri" w:hAnsi="Calibri"/>
          <w:b/>
          <w:color w:val="0031FF"/>
          <w:lang w:val="en-US"/>
        </w:rPr>
        <w:t>C</w:t>
      </w:r>
      <w:r w:rsidRPr="00486D8B">
        <w:rPr>
          <w:rFonts w:ascii="Calibri" w:hAnsi="Calibri"/>
          <w:b/>
          <w:color w:val="0031FF"/>
          <w:lang w:val="en-US"/>
        </w:rPr>
        <w:t>.</w:t>
      </w:r>
      <w:r w:rsidRPr="00431533">
        <w:rPr>
          <w:rFonts w:ascii="Calibri" w:hAnsi="Calibri"/>
          <w:b/>
          <w:lang w:val="en-US"/>
        </w:rPr>
        <w:t xml:space="preserve"> Historical Index of Economic Liberty (HIEL): Sources and Procedures</w:t>
      </w:r>
      <w:r w:rsidR="008542D6">
        <w:rPr>
          <w:rFonts w:ascii="Calibri" w:hAnsi="Calibri"/>
          <w:b/>
          <w:lang w:val="en-US"/>
        </w:rPr>
        <w:t>.</w:t>
      </w:r>
    </w:p>
    <w:p w14:paraId="29B93635" w14:textId="77777777" w:rsidR="00E2291B" w:rsidRDefault="00E2291B" w:rsidP="00431533">
      <w:pPr>
        <w:autoSpaceDE w:val="0"/>
        <w:autoSpaceDN w:val="0"/>
        <w:adjustRightInd w:val="0"/>
        <w:ind w:firstLine="709"/>
        <w:rPr>
          <w:rFonts w:ascii="Calibri" w:hAnsi="Calibri"/>
          <w:iCs/>
          <w:lang w:val="en-US"/>
        </w:rPr>
      </w:pPr>
      <w:r w:rsidRPr="00E2291B">
        <w:rPr>
          <w:rFonts w:ascii="Calibri" w:hAnsi="Calibri"/>
          <w:iCs/>
          <w:lang w:val="en-US"/>
        </w:rPr>
        <w:t xml:space="preserve">Four dimensions of economic freedom are identified: the legal system and property rights, sound money, international openness, and regulation. </w:t>
      </w:r>
    </w:p>
    <w:p w14:paraId="28202598" w14:textId="77777777" w:rsidR="00E2291B" w:rsidRDefault="00E2291B" w:rsidP="00431533">
      <w:pPr>
        <w:autoSpaceDE w:val="0"/>
        <w:autoSpaceDN w:val="0"/>
        <w:adjustRightInd w:val="0"/>
        <w:ind w:firstLine="709"/>
        <w:rPr>
          <w:rFonts w:ascii="Calibri" w:hAnsi="Calibri"/>
          <w:iCs/>
          <w:lang w:val="en-US"/>
        </w:rPr>
      </w:pPr>
      <w:r w:rsidRPr="00E2291B">
        <w:rPr>
          <w:rFonts w:ascii="Calibri" w:hAnsi="Calibri"/>
          <w:iCs/>
          <w:lang w:val="en-US"/>
        </w:rPr>
        <w:t xml:space="preserve">For each dimension of economic freedom, a consistent index over space and time has been computed using different indicators. The period considered is that of the spread of modern capitalism, namely, the epoch from the emergence of free trade and laissez-faire in the mid-nineteenth century to the present. </w:t>
      </w:r>
    </w:p>
    <w:p w14:paraId="2C710370" w14:textId="77777777" w:rsidR="00E2291B" w:rsidRDefault="00E2291B" w:rsidP="00431533">
      <w:pPr>
        <w:autoSpaceDE w:val="0"/>
        <w:autoSpaceDN w:val="0"/>
        <w:adjustRightInd w:val="0"/>
        <w:ind w:firstLine="709"/>
        <w:jc w:val="center"/>
        <w:rPr>
          <w:rFonts w:ascii="Calibri" w:hAnsi="Calibri"/>
          <w:iCs/>
          <w:lang w:val="en-US"/>
        </w:rPr>
      </w:pPr>
      <w:r w:rsidRPr="00E2291B">
        <w:rPr>
          <w:rFonts w:ascii="Calibri" w:hAnsi="Calibri"/>
          <w:iCs/>
          <w:lang w:val="en-US"/>
        </w:rPr>
        <w:t xml:space="preserve">When the indicator’s value is inversely related to the degree of economic freedom, it has been converted into index form using the expression </w:t>
      </w:r>
    </w:p>
    <w:p w14:paraId="38F5DE24" w14:textId="6BAB79EA" w:rsidR="00431533" w:rsidRPr="00431533" w:rsidRDefault="00431533" w:rsidP="00431533">
      <w:pPr>
        <w:autoSpaceDE w:val="0"/>
        <w:autoSpaceDN w:val="0"/>
        <w:adjustRightInd w:val="0"/>
        <w:ind w:firstLine="709"/>
        <w:jc w:val="center"/>
        <w:rPr>
          <w:rFonts w:ascii="Calibri" w:hAnsi="Calibri"/>
          <w:iCs/>
          <w:lang w:val="en-US"/>
        </w:rPr>
      </w:pPr>
      <w:r w:rsidRPr="00431533">
        <w:rPr>
          <w:rFonts w:ascii="Calibri" w:hAnsi="Calibri"/>
          <w:i/>
          <w:iCs/>
          <w:lang w:val="en-US"/>
        </w:rPr>
        <w:t>I</w:t>
      </w:r>
      <w:r w:rsidRPr="00431533">
        <w:rPr>
          <w:rFonts w:ascii="Calibri" w:hAnsi="Calibri"/>
          <w:bCs/>
          <w:i/>
          <w:vertAlign w:val="subscript"/>
          <w:lang w:val="en-US"/>
        </w:rPr>
        <w:t>ij</w:t>
      </w:r>
      <w:r w:rsidRPr="00431533">
        <w:rPr>
          <w:rFonts w:ascii="Calibri" w:hAnsi="Calibri"/>
          <w:iCs/>
          <w:lang w:val="en-US"/>
        </w:rPr>
        <w:t xml:space="preserve"> = 10*(</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 xml:space="preserve">)                </w:t>
      </w:r>
    </w:p>
    <w:p w14:paraId="4B57E07F" w14:textId="406A5693" w:rsidR="00431533" w:rsidRPr="00431533" w:rsidRDefault="00431533" w:rsidP="00431533">
      <w:pPr>
        <w:autoSpaceDE w:val="0"/>
        <w:autoSpaceDN w:val="0"/>
        <w:adjustRightInd w:val="0"/>
        <w:ind w:firstLine="709"/>
        <w:rPr>
          <w:rFonts w:ascii="Calibri" w:hAnsi="Calibri"/>
          <w:iCs/>
          <w:lang w:val="en-US"/>
        </w:rPr>
      </w:pPr>
      <w:r w:rsidRPr="00431533">
        <w:rPr>
          <w:rFonts w:ascii="Calibri" w:hAnsi="Calibri"/>
          <w:iCs/>
          <w:lang w:val="en-US"/>
        </w:rPr>
        <w:t xml:space="preserve">Where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xml:space="preserve"> represents the value of country </w:t>
      </w:r>
      <w:r w:rsidR="00E2291B">
        <w:rPr>
          <w:rFonts w:ascii="Calibri" w:hAnsi="Calibri"/>
          <w:i/>
          <w:iCs/>
          <w:lang w:val="en-US"/>
        </w:rPr>
        <w:t>I</w:t>
      </w:r>
      <w:r w:rsidR="00E2291B">
        <w:rPr>
          <w:rFonts w:ascii="Calibri" w:hAnsi="Calibri"/>
          <w:lang w:val="en-US"/>
        </w:rPr>
        <w:t>’s</w:t>
      </w:r>
      <w:r w:rsidRPr="00431533">
        <w:rPr>
          <w:rFonts w:ascii="Calibri" w:hAnsi="Calibri"/>
          <w:iCs/>
          <w:lang w:val="en-US"/>
        </w:rPr>
        <w:t xml:space="preserve"> indicator at year </w:t>
      </w:r>
      <w:r w:rsidRPr="00431533">
        <w:rPr>
          <w:rFonts w:ascii="Calibri" w:hAnsi="Calibri"/>
          <w:i/>
          <w:iCs/>
          <w:lang w:val="en-US"/>
        </w:rPr>
        <w:t>j</w:t>
      </w:r>
      <w:r w:rsidR="00E2291B">
        <w:rPr>
          <w:rFonts w:ascii="Calibri" w:hAnsi="Calibri"/>
          <w:iCs/>
          <w:lang w:val="en-US"/>
        </w:rPr>
        <w:t xml:space="preserve">, </w:t>
      </w:r>
      <w:r w:rsidRPr="00431533">
        <w:rPr>
          <w:rFonts w:ascii="Calibri" w:hAnsi="Calibri"/>
          <w:iCs/>
          <w:lang w:val="en-US"/>
        </w:rPr>
        <w:t xml:space="preserve">and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and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 xml:space="preserve"> its maximum and minimum values</w:t>
      </w:r>
    </w:p>
    <w:p w14:paraId="054C44AD" w14:textId="2C81D60A" w:rsidR="00431533" w:rsidRPr="00431533" w:rsidRDefault="00E2291B" w:rsidP="00431533">
      <w:pPr>
        <w:autoSpaceDE w:val="0"/>
        <w:autoSpaceDN w:val="0"/>
        <w:adjustRightInd w:val="0"/>
        <w:ind w:firstLine="709"/>
        <w:rPr>
          <w:rFonts w:ascii="Calibri" w:hAnsi="Calibri"/>
          <w:iCs/>
          <w:lang w:val="en-US"/>
        </w:rPr>
      </w:pPr>
      <w:r>
        <w:rPr>
          <w:rFonts w:ascii="Calibri" w:hAnsi="Calibri"/>
          <w:iCs/>
          <w:lang w:val="en-US"/>
        </w:rPr>
        <w:t>Alternatively, when the value of the indicator is directly related to the value of economic freedom, the following expression is used,</w:t>
      </w:r>
    </w:p>
    <w:p w14:paraId="59F360D6" w14:textId="77777777" w:rsidR="00431533" w:rsidRPr="00431533" w:rsidRDefault="00431533" w:rsidP="00431533">
      <w:pPr>
        <w:autoSpaceDE w:val="0"/>
        <w:autoSpaceDN w:val="0"/>
        <w:adjustRightInd w:val="0"/>
        <w:ind w:firstLine="709"/>
        <w:jc w:val="center"/>
        <w:rPr>
          <w:rFonts w:ascii="Calibri" w:hAnsi="Calibri"/>
          <w:iCs/>
          <w:lang w:val="en-US"/>
        </w:rPr>
      </w:pPr>
      <w:r w:rsidRPr="00431533">
        <w:rPr>
          <w:rFonts w:ascii="Calibri" w:hAnsi="Calibri"/>
          <w:i/>
          <w:iCs/>
          <w:lang w:val="en-US"/>
        </w:rPr>
        <w:t>I</w:t>
      </w:r>
      <w:r w:rsidRPr="00431533">
        <w:rPr>
          <w:rFonts w:ascii="Calibri" w:hAnsi="Calibri"/>
          <w:bCs/>
          <w:i/>
          <w:vertAlign w:val="subscript"/>
          <w:lang w:val="en-US"/>
        </w:rPr>
        <w:t>ij</w:t>
      </w:r>
      <w:r w:rsidRPr="00431533">
        <w:rPr>
          <w:rFonts w:ascii="Calibri" w:hAnsi="Calibri"/>
          <w:iCs/>
          <w:lang w:val="en-US"/>
        </w:rPr>
        <w:t xml:space="preserve"> = 10*(</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 xml:space="preserve">)                </w:t>
      </w:r>
    </w:p>
    <w:p w14:paraId="0382737E" w14:textId="77777777" w:rsidR="00E2291B" w:rsidRDefault="00E2291B" w:rsidP="008542D6">
      <w:pPr>
        <w:ind w:firstLine="709"/>
        <w:rPr>
          <w:rFonts w:ascii="Calibri" w:hAnsi="Calibri"/>
          <w:lang w:val="en-US"/>
        </w:rPr>
      </w:pPr>
      <w:r w:rsidRPr="00E2291B">
        <w:rPr>
          <w:rFonts w:ascii="Calibri" w:hAnsi="Calibri"/>
          <w:lang w:val="en-US"/>
        </w:rPr>
        <w:t xml:space="preserve">Thus, in either case, the resulting economic freedom index ranges from 0 (minimum) to 10 (maximum). </w:t>
      </w:r>
    </w:p>
    <w:p w14:paraId="5A595B0B" w14:textId="661D0CD7" w:rsidR="008542D6" w:rsidRPr="008542D6" w:rsidRDefault="008542D6" w:rsidP="008542D6">
      <w:pPr>
        <w:ind w:firstLine="709"/>
        <w:rPr>
          <w:rFonts w:ascii="Calibri" w:hAnsi="Calibri"/>
          <w:iCs/>
          <w:lang w:val="en-US"/>
        </w:rPr>
      </w:pPr>
      <w:r>
        <w:rPr>
          <w:rFonts w:ascii="Calibri" w:hAnsi="Calibri"/>
          <w:lang w:val="en-US"/>
        </w:rPr>
        <w:t xml:space="preserve">The full dataset is freely available at </w:t>
      </w:r>
      <w:hyperlink r:id="rId7" w:history="1">
        <w:r w:rsidRPr="00071989">
          <w:rPr>
            <w:rStyle w:val="Hipervnculo"/>
            <w:rFonts w:ascii="Calibri" w:hAnsi="Calibri"/>
            <w:lang w:val="en-US"/>
          </w:rPr>
          <w:t>https://frdelpino.es/investigacion/en_gb/economia-mundial/global-economic-freedom/</w:t>
        </w:r>
      </w:hyperlink>
    </w:p>
    <w:p w14:paraId="13FF1CC9" w14:textId="77777777" w:rsidR="00431533" w:rsidRPr="00431533" w:rsidRDefault="00431533" w:rsidP="00431533">
      <w:pPr>
        <w:autoSpaceDE w:val="0"/>
        <w:autoSpaceDN w:val="0"/>
        <w:adjustRightInd w:val="0"/>
        <w:rPr>
          <w:rFonts w:ascii="Calibri" w:hAnsi="Calibri"/>
          <w:b/>
          <w:u w:val="single"/>
          <w:lang w:val="en-US"/>
        </w:rPr>
      </w:pPr>
    </w:p>
    <w:p w14:paraId="3D000B15" w14:textId="77777777" w:rsidR="00431533" w:rsidRPr="00431533" w:rsidRDefault="00431533" w:rsidP="00431533">
      <w:pPr>
        <w:autoSpaceDE w:val="0"/>
        <w:autoSpaceDN w:val="0"/>
        <w:adjustRightInd w:val="0"/>
        <w:rPr>
          <w:rFonts w:ascii="Calibri" w:hAnsi="Calibri"/>
          <w:b/>
          <w:u w:val="single"/>
          <w:lang w:val="en-US"/>
        </w:rPr>
      </w:pPr>
      <w:r w:rsidRPr="00431533">
        <w:rPr>
          <w:rFonts w:ascii="Calibri" w:hAnsi="Calibri"/>
          <w:b/>
          <w:u w:val="single"/>
          <w:lang w:val="en-US"/>
        </w:rPr>
        <w:t>Area 2 Legal System and Property Rights</w:t>
      </w:r>
    </w:p>
    <w:p w14:paraId="45B60A15"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lang w:val="en-US"/>
        </w:rPr>
        <w:t xml:space="preserve">Indicators A) to C) have been selected from the </w:t>
      </w:r>
      <w:r w:rsidRPr="00431533">
        <w:rPr>
          <w:rFonts w:ascii="Calibri" w:hAnsi="Calibri"/>
          <w:b/>
          <w:bCs/>
          <w:i/>
          <w:iCs/>
          <w:lang w:val="en-US"/>
        </w:rPr>
        <w:t>V-Dem</w:t>
      </w:r>
      <w:r w:rsidRPr="00431533">
        <w:rPr>
          <w:rFonts w:ascii="Calibri" w:hAnsi="Calibri"/>
          <w:lang w:val="en-US"/>
        </w:rPr>
        <w:t xml:space="preserve"> database </w:t>
      </w:r>
      <w:r w:rsidRPr="00431533">
        <w:rPr>
          <w:rFonts w:ascii="Calibri" w:hAnsi="Calibri"/>
          <w:bCs/>
          <w:lang w:val="en-US"/>
        </w:rPr>
        <w:t xml:space="preserve">(Coppedge et al., 2022) (the series code appears in brackets). </w:t>
      </w:r>
    </w:p>
    <w:p w14:paraId="73AD9F38" w14:textId="77777777" w:rsidR="00431533" w:rsidRPr="00431533" w:rsidRDefault="00431533" w:rsidP="00431533">
      <w:pPr>
        <w:autoSpaceDE w:val="0"/>
        <w:autoSpaceDN w:val="0"/>
        <w:adjustRightInd w:val="0"/>
        <w:rPr>
          <w:rFonts w:ascii="Calibri" w:hAnsi="Calibri"/>
          <w:b/>
          <w:lang w:val="en-US"/>
        </w:rPr>
      </w:pPr>
    </w:p>
    <w:p w14:paraId="66C20E25"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A) Judicial Independence</w:t>
      </w:r>
      <w:r w:rsidRPr="00431533">
        <w:rPr>
          <w:rFonts w:ascii="Calibri" w:hAnsi="Calibri"/>
          <w:bCs/>
          <w:lang w:val="en-US"/>
        </w:rPr>
        <w:t>. It combines two sub-indices:</w:t>
      </w:r>
    </w:p>
    <w:p w14:paraId="3DA58360"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Cs/>
          <w:lang w:val="en-US"/>
        </w:rPr>
        <w:t>-</w:t>
      </w:r>
      <w:r w:rsidRPr="00431533">
        <w:rPr>
          <w:rFonts w:ascii="Calibri" w:hAnsi="Calibri"/>
          <w:bCs/>
          <w:i/>
          <w:iCs/>
          <w:lang w:val="en-US"/>
        </w:rPr>
        <w:t xml:space="preserve"> High Court Independence</w:t>
      </w:r>
      <w:r w:rsidRPr="00431533">
        <w:rPr>
          <w:rFonts w:ascii="Calibri" w:hAnsi="Calibri"/>
          <w:bCs/>
          <w:lang w:val="en-US"/>
        </w:rPr>
        <w:t xml:space="preserve"> (</w:t>
      </w:r>
      <w:r w:rsidRPr="00431533">
        <w:rPr>
          <w:rFonts w:ascii="Calibri" w:eastAsiaTheme="minorEastAsia" w:hAnsi="Calibri" w:cs="Calibri"/>
          <w:lang w:val="en-US"/>
        </w:rPr>
        <w:t>v2juhcind)</w:t>
      </w:r>
    </w:p>
    <w:p w14:paraId="11ADBCDD"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Cs/>
          <w:i/>
          <w:iCs/>
          <w:lang w:val="en-US"/>
        </w:rPr>
        <w:t>- Low Court Independence</w:t>
      </w:r>
      <w:r w:rsidRPr="00431533">
        <w:rPr>
          <w:rFonts w:ascii="Calibri" w:hAnsi="Calibri"/>
          <w:bCs/>
          <w:lang w:val="en-US"/>
        </w:rPr>
        <w:t xml:space="preserve"> (</w:t>
      </w:r>
      <w:r w:rsidRPr="00431533">
        <w:rPr>
          <w:rFonts w:ascii="Calibri" w:eastAsiaTheme="minorEastAsia" w:hAnsi="Calibri" w:cs="Calibri"/>
          <w:lang w:val="en-US"/>
        </w:rPr>
        <w:t>v2juncind)</w:t>
      </w:r>
    </w:p>
    <w:p w14:paraId="51332C99" w14:textId="77777777" w:rsidR="00431533" w:rsidRPr="00431533" w:rsidRDefault="00431533" w:rsidP="00431533">
      <w:pPr>
        <w:autoSpaceDE w:val="0"/>
        <w:autoSpaceDN w:val="0"/>
        <w:adjustRightInd w:val="0"/>
        <w:rPr>
          <w:rFonts w:ascii="Calibri" w:hAnsi="Calibri"/>
          <w:b/>
          <w:color w:val="000000" w:themeColor="text1"/>
          <w:lang w:val="en-US"/>
        </w:rPr>
      </w:pPr>
    </w:p>
    <w:p w14:paraId="3342B9E8" w14:textId="77777777" w:rsidR="00431533" w:rsidRPr="00431533" w:rsidRDefault="00431533" w:rsidP="00431533">
      <w:pPr>
        <w:autoSpaceDE w:val="0"/>
        <w:autoSpaceDN w:val="0"/>
        <w:adjustRightInd w:val="0"/>
        <w:rPr>
          <w:rFonts w:ascii="Calibri" w:hAnsi="Calibri"/>
          <w:b/>
          <w:color w:val="000000" w:themeColor="text1"/>
          <w:lang w:val="en-US"/>
        </w:rPr>
      </w:pPr>
      <w:r w:rsidRPr="00431533">
        <w:rPr>
          <w:rFonts w:ascii="Calibri" w:hAnsi="Calibri"/>
          <w:b/>
          <w:color w:val="000000" w:themeColor="text1"/>
          <w:lang w:val="en-US"/>
        </w:rPr>
        <w:t>B) Impartial Courts</w:t>
      </w:r>
    </w:p>
    <w:p w14:paraId="21E2C855"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eastAsiaTheme="minorEastAsia" w:hAnsi="Calibri" w:cs="Calibri"/>
          <w:color w:val="000000" w:themeColor="text1"/>
          <w:lang w:val="en-US"/>
        </w:rPr>
        <w:t>-</w:t>
      </w:r>
      <w:r w:rsidRPr="00431533">
        <w:rPr>
          <w:rFonts w:ascii="Calibri" w:eastAsiaTheme="minorEastAsia" w:hAnsi="Calibri" w:cs="Calibri"/>
          <w:b/>
          <w:bCs/>
          <w:i/>
          <w:iCs/>
          <w:color w:val="000000" w:themeColor="text1"/>
          <w:lang w:val="en-US"/>
        </w:rPr>
        <w:t xml:space="preserve"> </w:t>
      </w:r>
      <w:r w:rsidRPr="00431533">
        <w:rPr>
          <w:rFonts w:ascii="Calibri" w:eastAsiaTheme="minorEastAsia" w:hAnsi="Calibri" w:cs="Calibri"/>
          <w:i/>
          <w:iCs/>
          <w:color w:val="000000" w:themeColor="text1"/>
          <w:lang w:val="en-US"/>
        </w:rPr>
        <w:t>Judicial corruption decision</w:t>
      </w:r>
      <w:r w:rsidRPr="00431533">
        <w:rPr>
          <w:rFonts w:ascii="Calibri" w:eastAsiaTheme="minorEastAsia" w:hAnsi="Calibri" w:cs="Calibri"/>
          <w:color w:val="000000" w:themeColor="text1"/>
          <w:lang w:val="en-US"/>
        </w:rPr>
        <w:t xml:space="preserve"> (v2jucorrdc)</w:t>
      </w:r>
    </w:p>
    <w:p w14:paraId="142C308F" w14:textId="77777777" w:rsidR="00431533" w:rsidRPr="00431533" w:rsidRDefault="00431533" w:rsidP="00431533">
      <w:pPr>
        <w:autoSpaceDE w:val="0"/>
        <w:autoSpaceDN w:val="0"/>
        <w:adjustRightInd w:val="0"/>
        <w:rPr>
          <w:rFonts w:ascii="Calibri" w:hAnsi="Calibri"/>
          <w:b/>
          <w:lang w:val="en-US"/>
        </w:rPr>
      </w:pPr>
    </w:p>
    <w:p w14:paraId="7E4FA2F4"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C) Integrity of the Legal System</w:t>
      </w:r>
      <w:r w:rsidRPr="00431533">
        <w:rPr>
          <w:rFonts w:ascii="Calibri" w:hAnsi="Calibri"/>
          <w:bCs/>
          <w:lang w:val="en-US"/>
        </w:rPr>
        <w:t>. This index results of combining the sub-indices</w:t>
      </w:r>
    </w:p>
    <w:p w14:paraId="502B7602" w14:textId="77777777" w:rsidR="00431533" w:rsidRPr="005716AB" w:rsidRDefault="00431533" w:rsidP="00431533">
      <w:pPr>
        <w:autoSpaceDE w:val="0"/>
        <w:autoSpaceDN w:val="0"/>
        <w:adjustRightInd w:val="0"/>
        <w:rPr>
          <w:rFonts w:ascii="Calibri" w:hAnsi="Calibri"/>
          <w:color w:val="000000" w:themeColor="text1"/>
          <w:lang w:val="en-US"/>
        </w:rPr>
      </w:pPr>
      <w:r w:rsidRPr="00431533">
        <w:rPr>
          <w:rFonts w:ascii="Calibri" w:eastAsiaTheme="minorEastAsia" w:hAnsi="Calibri" w:cs="Calibri"/>
          <w:color w:val="000000" w:themeColor="text1"/>
          <w:lang w:val="en-US"/>
        </w:rPr>
        <w:t>-</w:t>
      </w:r>
      <w:r w:rsidRPr="00431533">
        <w:rPr>
          <w:rFonts w:ascii="Calibri" w:eastAsiaTheme="minorEastAsia" w:hAnsi="Calibri" w:cs="Calibri"/>
          <w:i/>
          <w:iCs/>
          <w:color w:val="000000" w:themeColor="text1"/>
          <w:lang w:val="en-US"/>
        </w:rPr>
        <w:t xml:space="preserve"> Judicial accountability</w:t>
      </w:r>
      <w:r w:rsidRPr="00431533">
        <w:rPr>
          <w:rFonts w:ascii="Calibri" w:eastAsiaTheme="minorEastAsia" w:hAnsi="Calibri" w:cs="Calibri"/>
          <w:color w:val="000000" w:themeColor="text1"/>
          <w:lang w:val="en-US"/>
        </w:rPr>
        <w:t xml:space="preserve"> (v2juaccnt)</w:t>
      </w:r>
    </w:p>
    <w:p w14:paraId="2E5AFEDF" w14:textId="77777777" w:rsidR="00431533" w:rsidRPr="00431533" w:rsidRDefault="00431533" w:rsidP="00431533">
      <w:pPr>
        <w:autoSpaceDE w:val="0"/>
        <w:autoSpaceDN w:val="0"/>
        <w:adjustRightInd w:val="0"/>
        <w:rPr>
          <w:rFonts w:ascii="Calibri" w:eastAsiaTheme="minorEastAsia" w:hAnsi="Calibri" w:cs="Calibri"/>
          <w:lang w:val="en-US"/>
        </w:rPr>
      </w:pPr>
      <w:r w:rsidRPr="00431533">
        <w:rPr>
          <w:rFonts w:ascii="Calibri" w:eastAsiaTheme="minorEastAsia" w:hAnsi="Calibri" w:cs="Calibri"/>
          <w:lang w:val="en-US"/>
        </w:rPr>
        <w:t>-</w:t>
      </w:r>
      <w:r w:rsidRPr="00431533">
        <w:rPr>
          <w:rFonts w:ascii="Calibri" w:eastAsiaTheme="minorEastAsia" w:hAnsi="Calibri" w:cs="Calibri"/>
          <w:i/>
          <w:iCs/>
          <w:lang w:val="en-US"/>
        </w:rPr>
        <w:t xml:space="preserve"> Compliance with high court</w:t>
      </w:r>
      <w:r w:rsidRPr="00431533">
        <w:rPr>
          <w:rFonts w:ascii="Calibri" w:eastAsiaTheme="minorEastAsia" w:hAnsi="Calibri" w:cs="Calibri"/>
          <w:lang w:val="en-US"/>
        </w:rPr>
        <w:t xml:space="preserve"> (v2juhccomp)</w:t>
      </w:r>
    </w:p>
    <w:p w14:paraId="73F08A2C" w14:textId="77777777" w:rsidR="00431533" w:rsidRPr="00431533" w:rsidRDefault="00431533" w:rsidP="00431533">
      <w:pPr>
        <w:autoSpaceDE w:val="0"/>
        <w:autoSpaceDN w:val="0"/>
        <w:adjustRightInd w:val="0"/>
        <w:rPr>
          <w:rFonts w:ascii="Calibri" w:eastAsiaTheme="minorEastAsia" w:hAnsi="Calibri" w:cs="Calibri"/>
          <w:color w:val="000000" w:themeColor="text1"/>
          <w:lang w:val="en-US"/>
        </w:rPr>
      </w:pPr>
      <w:r w:rsidRPr="00431533">
        <w:rPr>
          <w:rFonts w:ascii="Calibri" w:eastAsiaTheme="minorEastAsia" w:hAnsi="Calibri" w:cs="Calibri"/>
          <w:color w:val="000000" w:themeColor="text1"/>
          <w:lang w:val="en-US"/>
        </w:rPr>
        <w:t>-</w:t>
      </w:r>
      <w:r w:rsidRPr="00431533">
        <w:rPr>
          <w:rFonts w:ascii="Calibri" w:eastAsiaTheme="minorEastAsia" w:hAnsi="Calibri" w:cs="Calibri"/>
          <w:i/>
          <w:iCs/>
          <w:color w:val="000000" w:themeColor="text1"/>
          <w:lang w:val="en-US"/>
        </w:rPr>
        <w:t xml:space="preserve"> Compliance with the judiciary</w:t>
      </w:r>
      <w:r w:rsidRPr="00431533">
        <w:rPr>
          <w:rFonts w:ascii="Calibri" w:eastAsiaTheme="minorEastAsia" w:hAnsi="Calibri" w:cs="Calibri"/>
          <w:color w:val="000000" w:themeColor="text1"/>
          <w:lang w:val="en-US"/>
        </w:rPr>
        <w:t xml:space="preserve"> (v2jucomp)</w:t>
      </w:r>
    </w:p>
    <w:p w14:paraId="6DF1C007" w14:textId="77777777" w:rsidR="00431533" w:rsidRPr="00431533" w:rsidRDefault="00431533" w:rsidP="00431533">
      <w:pPr>
        <w:autoSpaceDE w:val="0"/>
        <w:autoSpaceDN w:val="0"/>
        <w:adjustRightInd w:val="0"/>
        <w:rPr>
          <w:rFonts w:ascii="Calibri" w:hAnsi="Calibri"/>
          <w:u w:val="single"/>
          <w:lang w:val="en-US"/>
        </w:rPr>
      </w:pPr>
      <w:r w:rsidRPr="00431533">
        <w:rPr>
          <w:rFonts w:ascii="Calibri" w:eastAsiaTheme="minorEastAsia" w:hAnsi="Calibri" w:cs="Calibri"/>
          <w:lang w:val="en-US"/>
        </w:rPr>
        <w:t>-</w:t>
      </w:r>
      <w:r w:rsidRPr="00431533">
        <w:rPr>
          <w:rFonts w:ascii="Calibri" w:eastAsiaTheme="minorEastAsia" w:hAnsi="Calibri" w:cs="Calibri"/>
          <w:i/>
          <w:iCs/>
          <w:lang w:val="en-US"/>
        </w:rPr>
        <w:t xml:space="preserve"> Transparent laws with predictable enforcement</w:t>
      </w:r>
      <w:r w:rsidRPr="00431533">
        <w:rPr>
          <w:rFonts w:ascii="Calibri" w:eastAsiaTheme="minorEastAsia" w:hAnsi="Calibri" w:cs="Calibri"/>
          <w:lang w:val="en-US"/>
        </w:rPr>
        <w:t xml:space="preserve"> (v2cltrnslw)</w:t>
      </w:r>
    </w:p>
    <w:p w14:paraId="6E60CB18" w14:textId="77777777" w:rsidR="00431533" w:rsidRPr="00431533" w:rsidRDefault="00431533" w:rsidP="00431533">
      <w:pPr>
        <w:autoSpaceDE w:val="0"/>
        <w:autoSpaceDN w:val="0"/>
        <w:adjustRightInd w:val="0"/>
        <w:rPr>
          <w:rFonts w:ascii="Calibri" w:hAnsi="Calibri"/>
          <w:color w:val="000000" w:themeColor="text1"/>
          <w:u w:val="single"/>
          <w:lang w:val="en-US"/>
        </w:rPr>
      </w:pPr>
      <w:r w:rsidRPr="00431533">
        <w:rPr>
          <w:rFonts w:ascii="Calibri" w:eastAsiaTheme="minorEastAsia" w:hAnsi="Calibri" w:cs="Calibri"/>
          <w:color w:val="000000" w:themeColor="text1"/>
          <w:lang w:val="en-US"/>
        </w:rPr>
        <w:t>-</w:t>
      </w:r>
      <w:r w:rsidRPr="00431533">
        <w:rPr>
          <w:rFonts w:ascii="Calibri" w:eastAsiaTheme="minorEastAsia" w:hAnsi="Calibri" w:cs="Calibri"/>
          <w:i/>
          <w:iCs/>
          <w:color w:val="000000" w:themeColor="text1"/>
          <w:lang w:val="en-US"/>
        </w:rPr>
        <w:t xml:space="preserve"> Access to justice for men and women</w:t>
      </w:r>
      <w:r w:rsidRPr="00431533">
        <w:rPr>
          <w:rFonts w:ascii="Calibri" w:eastAsiaTheme="minorEastAsia" w:hAnsi="Calibri" w:cs="Calibri"/>
          <w:color w:val="000000" w:themeColor="text1"/>
          <w:lang w:val="en-US"/>
        </w:rPr>
        <w:t xml:space="preserve"> (v2clacjstm and v2clacjstw)</w:t>
      </w:r>
    </w:p>
    <w:p w14:paraId="125C4FFB" w14:textId="77777777" w:rsidR="00431533" w:rsidRPr="00431533" w:rsidRDefault="00431533" w:rsidP="00431533">
      <w:pPr>
        <w:autoSpaceDE w:val="0"/>
        <w:autoSpaceDN w:val="0"/>
        <w:adjustRightInd w:val="0"/>
        <w:rPr>
          <w:rFonts w:ascii="Calibri" w:hAnsi="Calibri"/>
          <w:b/>
          <w:color w:val="000000" w:themeColor="text1"/>
          <w:lang w:val="en-US"/>
        </w:rPr>
      </w:pPr>
    </w:p>
    <w:p w14:paraId="7A751830"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 xml:space="preserve">D) Contract Enforcement. </w:t>
      </w:r>
      <w:r w:rsidRPr="00431533">
        <w:rPr>
          <w:rFonts w:ascii="Calibri" w:hAnsi="Calibri"/>
          <w:bCs/>
          <w:color w:val="000000" w:themeColor="text1"/>
          <w:lang w:val="en-US"/>
        </w:rPr>
        <w:t>The Contract-Intensive Money</w:t>
      </w:r>
      <w:r w:rsidRPr="00431533">
        <w:rPr>
          <w:rFonts w:ascii="Calibri" w:hAnsi="Calibri"/>
          <w:b/>
          <w:color w:val="000000" w:themeColor="text1"/>
          <w:lang w:val="en-US"/>
        </w:rPr>
        <w:t xml:space="preserve"> </w:t>
      </w:r>
      <w:r w:rsidRPr="00431533">
        <w:rPr>
          <w:rFonts w:ascii="Calibri" w:hAnsi="Calibri"/>
          <w:bCs/>
          <w:color w:val="000000" w:themeColor="text1"/>
          <w:lang w:val="en-US"/>
        </w:rPr>
        <w:t>(</w:t>
      </w:r>
      <w:r w:rsidRPr="00431533">
        <w:rPr>
          <w:rFonts w:ascii="Calibri" w:hAnsi="Calibri"/>
          <w:bCs/>
          <w:i/>
          <w:iCs/>
          <w:color w:val="000000" w:themeColor="text1"/>
          <w:lang w:val="en-US"/>
        </w:rPr>
        <w:t>CIM</w:t>
      </w:r>
      <w:r w:rsidRPr="00431533">
        <w:rPr>
          <w:rFonts w:ascii="Calibri" w:hAnsi="Calibri"/>
          <w:bCs/>
          <w:color w:val="000000" w:themeColor="text1"/>
          <w:lang w:val="en-US"/>
        </w:rPr>
        <w:t xml:space="preserve">) proxies it. </w:t>
      </w:r>
    </w:p>
    <w:p w14:paraId="792DD8A1" w14:textId="71B1FA73" w:rsidR="00431533" w:rsidRPr="00431533" w:rsidRDefault="00431533" w:rsidP="00431533">
      <w:pPr>
        <w:autoSpaceDE w:val="0"/>
        <w:autoSpaceDN w:val="0"/>
        <w:adjustRightInd w:val="0"/>
        <w:ind w:firstLine="709"/>
        <w:rPr>
          <w:rFonts w:ascii="Calibri" w:hAnsi="Calibri"/>
          <w:lang w:val="en-US"/>
        </w:rPr>
      </w:pPr>
      <w:r w:rsidRPr="00431533">
        <w:rPr>
          <w:rFonts w:ascii="Calibri" w:hAnsi="Calibri"/>
          <w:i/>
          <w:color w:val="000000" w:themeColor="text1"/>
          <w:lang w:val="en-US"/>
        </w:rPr>
        <w:t>CIM</w:t>
      </w:r>
      <w:r w:rsidRPr="00431533">
        <w:rPr>
          <w:rFonts w:ascii="Calibri" w:hAnsi="Calibri"/>
          <w:color w:val="000000" w:themeColor="text1"/>
          <w:lang w:val="en-US"/>
        </w:rPr>
        <w:t xml:space="preserve"> measures the </w:t>
      </w:r>
      <w:r w:rsidR="00E2291B">
        <w:rPr>
          <w:rFonts w:ascii="Calibri" w:hAnsi="Calibri"/>
          <w:color w:val="000000" w:themeColor="text1"/>
          <w:lang w:val="en-US"/>
        </w:rPr>
        <w:t>share</w:t>
      </w:r>
      <w:r w:rsidRPr="00431533">
        <w:rPr>
          <w:rFonts w:ascii="Calibri" w:hAnsi="Calibri"/>
          <w:color w:val="000000" w:themeColor="text1"/>
          <w:lang w:val="en-US"/>
        </w:rPr>
        <w:t xml:space="preserve"> of deposits in </w:t>
      </w:r>
      <w:r w:rsidR="00E2291B">
        <w:rPr>
          <w:rFonts w:ascii="Calibri" w:hAnsi="Calibri"/>
          <w:color w:val="000000" w:themeColor="text1"/>
          <w:lang w:val="en-US"/>
        </w:rPr>
        <w:t xml:space="preserve">the </w:t>
      </w:r>
      <w:r w:rsidRPr="00431533">
        <w:rPr>
          <w:rFonts w:ascii="Calibri" w:hAnsi="Calibri"/>
          <w:color w:val="000000" w:themeColor="text1"/>
          <w:lang w:val="en-US"/>
        </w:rPr>
        <w:t xml:space="preserve">money supply: </w:t>
      </w:r>
      <w:r w:rsidRPr="00431533">
        <w:rPr>
          <w:rFonts w:ascii="Calibri" w:hAnsi="Calibri"/>
          <w:i/>
          <w:color w:val="000000" w:themeColor="text1"/>
          <w:lang w:val="en-US"/>
        </w:rPr>
        <w:t>CIM</w:t>
      </w:r>
      <w:r w:rsidRPr="00431533">
        <w:rPr>
          <w:rFonts w:ascii="Calibri" w:hAnsi="Calibri"/>
          <w:color w:val="000000" w:themeColor="text1"/>
          <w:lang w:val="en-US"/>
        </w:rPr>
        <w:t xml:space="preserve"> = (</w:t>
      </w:r>
      <w:r w:rsidRPr="00431533">
        <w:rPr>
          <w:rFonts w:ascii="Calibri" w:hAnsi="Calibri"/>
          <w:i/>
          <w:color w:val="000000" w:themeColor="text1"/>
          <w:lang w:val="en-US"/>
        </w:rPr>
        <w:t>M2</w:t>
      </w:r>
      <w:r w:rsidRPr="00431533">
        <w:rPr>
          <w:rFonts w:ascii="Calibri" w:hAnsi="Calibri"/>
          <w:color w:val="000000" w:themeColor="text1"/>
          <w:lang w:val="en-US"/>
        </w:rPr>
        <w:t xml:space="preserve"> – </w:t>
      </w:r>
      <w:r w:rsidRPr="00431533">
        <w:rPr>
          <w:rFonts w:ascii="Calibri" w:hAnsi="Calibri"/>
          <w:i/>
          <w:color w:val="000000" w:themeColor="text1"/>
          <w:lang w:val="en-US"/>
        </w:rPr>
        <w:t>C</w:t>
      </w:r>
      <w:r w:rsidRPr="00431533">
        <w:rPr>
          <w:rFonts w:ascii="Calibri" w:hAnsi="Calibri"/>
          <w:color w:val="000000" w:themeColor="text1"/>
          <w:lang w:val="en-US"/>
        </w:rPr>
        <w:t>)/</w:t>
      </w:r>
      <w:r w:rsidRPr="00431533">
        <w:rPr>
          <w:rFonts w:ascii="Calibri" w:hAnsi="Calibri"/>
          <w:i/>
          <w:color w:val="000000" w:themeColor="text1"/>
          <w:lang w:val="en-US"/>
        </w:rPr>
        <w:t>M2</w:t>
      </w:r>
      <w:r w:rsidRPr="00431533">
        <w:rPr>
          <w:rFonts w:ascii="Calibri" w:hAnsi="Calibri"/>
          <w:color w:val="000000" w:themeColor="text1"/>
          <w:lang w:val="en-US"/>
        </w:rPr>
        <w:t xml:space="preserve">, </w:t>
      </w:r>
      <w:r w:rsidR="00E2291B">
        <w:rPr>
          <w:rFonts w:ascii="Calibri" w:hAnsi="Calibri"/>
          <w:color w:val="000000" w:themeColor="text1"/>
          <w:lang w:val="en-US"/>
        </w:rPr>
        <w:t>where</w:t>
      </w:r>
      <w:r w:rsidRPr="00431533">
        <w:rPr>
          <w:rFonts w:ascii="Calibri" w:hAnsi="Calibri"/>
          <w:color w:val="000000" w:themeColor="text1"/>
          <w:lang w:val="en-US"/>
        </w:rPr>
        <w:t xml:space="preserve"> </w:t>
      </w:r>
      <w:r w:rsidRPr="00431533">
        <w:rPr>
          <w:rFonts w:ascii="Calibri" w:hAnsi="Calibri"/>
          <w:i/>
          <w:color w:val="000000" w:themeColor="text1"/>
          <w:lang w:val="en-US"/>
        </w:rPr>
        <w:t>C</w:t>
      </w:r>
      <w:r w:rsidRPr="00431533">
        <w:rPr>
          <w:rFonts w:ascii="Calibri" w:hAnsi="Calibri"/>
          <w:color w:val="000000" w:themeColor="text1"/>
          <w:lang w:val="en-US"/>
        </w:rPr>
        <w:t xml:space="preserve"> </w:t>
      </w:r>
      <w:r w:rsidR="00E2291B">
        <w:rPr>
          <w:rFonts w:ascii="Calibri" w:hAnsi="Calibri"/>
          <w:color w:val="000000" w:themeColor="text1"/>
          <w:lang w:val="en-US"/>
        </w:rPr>
        <w:t>is</w:t>
      </w:r>
      <w:r w:rsidRPr="00431533">
        <w:rPr>
          <w:rFonts w:ascii="Calibri" w:hAnsi="Calibri"/>
          <w:color w:val="000000" w:themeColor="text1"/>
          <w:lang w:val="en-US"/>
        </w:rPr>
        <w:t xml:space="preserve"> currency outside banks and </w:t>
      </w:r>
      <w:r w:rsidRPr="00431533">
        <w:rPr>
          <w:rFonts w:ascii="Calibri" w:hAnsi="Calibri"/>
          <w:i/>
          <w:color w:val="000000" w:themeColor="text1"/>
          <w:lang w:val="en-US"/>
        </w:rPr>
        <w:t>M2</w:t>
      </w:r>
      <w:r w:rsidRPr="00431533">
        <w:rPr>
          <w:rFonts w:ascii="Calibri" w:hAnsi="Calibri"/>
          <w:color w:val="000000" w:themeColor="text1"/>
          <w:lang w:val="en-US"/>
        </w:rPr>
        <w:t xml:space="preserve"> </w:t>
      </w:r>
      <w:r w:rsidR="00E2291B">
        <w:rPr>
          <w:rFonts w:ascii="Calibri" w:hAnsi="Calibri"/>
          <w:color w:val="000000" w:themeColor="text1"/>
          <w:lang w:val="en-US"/>
        </w:rPr>
        <w:t xml:space="preserve">is </w:t>
      </w:r>
      <w:r w:rsidRPr="00431533">
        <w:rPr>
          <w:rFonts w:ascii="Calibri" w:hAnsi="Calibri"/>
          <w:color w:val="000000" w:themeColor="text1"/>
          <w:lang w:val="en-US"/>
        </w:rPr>
        <w:t>the money supply</w:t>
      </w:r>
      <w:r w:rsidR="00E2291B">
        <w:rPr>
          <w:rFonts w:ascii="Calibri" w:hAnsi="Calibri"/>
          <w:color w:val="000000" w:themeColor="text1"/>
          <w:lang w:val="en-US"/>
        </w:rPr>
        <w:t>,</w:t>
      </w:r>
      <w:r w:rsidRPr="00431533">
        <w:rPr>
          <w:rFonts w:ascii="Calibri" w:hAnsi="Calibri"/>
          <w:color w:val="000000" w:themeColor="text1"/>
          <w:lang w:val="en-US"/>
        </w:rPr>
        <w:t xml:space="preserve"> including </w:t>
      </w:r>
      <w:r w:rsidRPr="00431533">
        <w:rPr>
          <w:rFonts w:ascii="Calibri" w:hAnsi="Calibri"/>
          <w:lang w:val="en-US"/>
        </w:rPr>
        <w:t xml:space="preserve">all current and term deposits. </w:t>
      </w:r>
    </w:p>
    <w:p w14:paraId="78CC0AFC" w14:textId="192AEEB3" w:rsidR="008542D6" w:rsidRPr="00431533" w:rsidRDefault="00E2291B" w:rsidP="004A1545">
      <w:pPr>
        <w:autoSpaceDE w:val="0"/>
        <w:autoSpaceDN w:val="0"/>
        <w:adjustRightInd w:val="0"/>
        <w:ind w:firstLine="709"/>
        <w:rPr>
          <w:rFonts w:ascii="Calibri" w:hAnsi="Calibri"/>
          <w:lang w:val="en-US"/>
        </w:rPr>
      </w:pPr>
      <w:r w:rsidRPr="00E2291B">
        <w:rPr>
          <w:rFonts w:ascii="Calibri" w:hAnsi="Calibri"/>
          <w:lang w:val="en-US"/>
        </w:rPr>
        <w:t xml:space="preserve">In constructing the transformed index, the range within which </w:t>
      </w:r>
      <w:r w:rsidRPr="00E2291B">
        <w:rPr>
          <w:rFonts w:ascii="Calibri" w:hAnsi="Calibri"/>
          <w:i/>
          <w:iCs/>
          <w:lang w:val="en-US"/>
        </w:rPr>
        <w:t>CIM</w:t>
      </w:r>
      <w:r w:rsidRPr="00E2291B">
        <w:rPr>
          <w:rFonts w:ascii="Calibri" w:hAnsi="Calibri"/>
          <w:lang w:val="en-US"/>
        </w:rPr>
        <w:t xml:space="preserve"> fluctuates, 1 and 0, has provided the upper and lower bounds. A shortcoming of </w:t>
      </w:r>
      <w:r w:rsidRPr="00E2291B">
        <w:rPr>
          <w:rFonts w:ascii="Calibri" w:hAnsi="Calibri"/>
          <w:i/>
          <w:iCs/>
          <w:lang w:val="en-US"/>
        </w:rPr>
        <w:t>CIM</w:t>
      </w:r>
      <w:r w:rsidRPr="00E2291B">
        <w:rPr>
          <w:rFonts w:ascii="Calibri" w:hAnsi="Calibri"/>
          <w:lang w:val="en-US"/>
        </w:rPr>
        <w:t xml:space="preserve"> estimates for </w:t>
      </w:r>
      <w:r w:rsidRPr="00E2291B">
        <w:rPr>
          <w:rFonts w:ascii="Calibri" w:hAnsi="Calibri"/>
          <w:lang w:val="en-US"/>
        </w:rPr>
        <w:lastRenderedPageBreak/>
        <w:t xml:space="preserve">countries in early stages of economic development arises from the public’s use of alternatives to deposits (i.e., bills of exchange), which, in practice, expanded the money supply and thereby introduced a downward bias in </w:t>
      </w:r>
      <w:r w:rsidRPr="00E2291B">
        <w:rPr>
          <w:rFonts w:ascii="Calibri" w:hAnsi="Calibri"/>
          <w:i/>
          <w:iCs/>
          <w:lang w:val="en-US"/>
        </w:rPr>
        <w:t>CIM</w:t>
      </w:r>
      <w:r w:rsidRPr="00E2291B">
        <w:rPr>
          <w:rFonts w:ascii="Calibri" w:hAnsi="Calibri"/>
          <w:lang w:val="en-US"/>
        </w:rPr>
        <w:t xml:space="preserve">. As a crude correction, I have assumed a ‘floor’ of 0.2 for </w:t>
      </w:r>
      <w:r w:rsidRPr="00E2291B">
        <w:rPr>
          <w:rFonts w:ascii="Calibri" w:hAnsi="Calibri"/>
          <w:i/>
          <w:iCs/>
          <w:lang w:val="en-US"/>
        </w:rPr>
        <w:t>CIM</w:t>
      </w:r>
      <w:r w:rsidRPr="00E2291B">
        <w:rPr>
          <w:rFonts w:ascii="Calibri" w:hAnsi="Calibri"/>
          <w:lang w:val="en-US"/>
        </w:rPr>
        <w:t>.</w:t>
      </w:r>
    </w:p>
    <w:p w14:paraId="1D4B2D89" w14:textId="77777777" w:rsidR="00431533" w:rsidRPr="00122A0B" w:rsidRDefault="00431533" w:rsidP="00431533">
      <w:pPr>
        <w:autoSpaceDE w:val="0"/>
        <w:autoSpaceDN w:val="0"/>
        <w:adjustRightInd w:val="0"/>
        <w:rPr>
          <w:rFonts w:ascii="Calibri" w:hAnsi="Calibri"/>
          <w:b/>
          <w:bCs/>
          <w:iCs/>
          <w:lang w:val="en-US"/>
        </w:rPr>
      </w:pPr>
      <w:r w:rsidRPr="00122A0B">
        <w:rPr>
          <w:rFonts w:ascii="Calibri" w:hAnsi="Calibri"/>
          <w:b/>
          <w:bCs/>
          <w:i/>
          <w:u w:val="single"/>
          <w:lang w:val="en-US"/>
        </w:rPr>
        <w:t>Monetary aggregates</w:t>
      </w:r>
      <w:r w:rsidRPr="00122A0B">
        <w:rPr>
          <w:rFonts w:ascii="Calibri" w:hAnsi="Calibri"/>
          <w:b/>
          <w:bCs/>
          <w:iCs/>
          <w:lang w:val="en-US"/>
        </w:rPr>
        <w:t xml:space="preserve"> </w:t>
      </w:r>
    </w:p>
    <w:p w14:paraId="681EADB8" w14:textId="77777777" w:rsidR="00431533" w:rsidRPr="00431533" w:rsidRDefault="00431533" w:rsidP="00431533">
      <w:pPr>
        <w:autoSpaceDE w:val="0"/>
        <w:autoSpaceDN w:val="0"/>
        <w:adjustRightInd w:val="0"/>
        <w:rPr>
          <w:rFonts w:ascii="Calibri" w:hAnsi="Calibri"/>
          <w:iCs/>
          <w:lang w:val="en-US"/>
        </w:rPr>
      </w:pPr>
      <w:r w:rsidRPr="00431533">
        <w:rPr>
          <w:rFonts w:ascii="Calibri" w:hAnsi="Calibri"/>
          <w:iCs/>
          <w:lang w:val="en-US"/>
        </w:rPr>
        <w:t>The sources for sources used for each country are,</w:t>
      </w:r>
    </w:p>
    <w:p w14:paraId="7BFB5A96" w14:textId="77777777"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b/>
          <w:color w:val="000000" w:themeColor="text1"/>
          <w:lang w:val="en-US"/>
        </w:rPr>
        <w:t>Australia</w:t>
      </w:r>
      <w:r w:rsidRPr="00431533">
        <w:rPr>
          <w:rFonts w:ascii="Calibri" w:hAnsi="Calibri"/>
          <w:bCs/>
          <w:color w:val="000000" w:themeColor="text1"/>
          <w:lang w:val="en-US"/>
        </w:rPr>
        <w:t>,</w:t>
      </w:r>
      <w:r w:rsidRPr="00431533">
        <w:rPr>
          <w:rFonts w:ascii="Calibri" w:hAnsi="Calibri"/>
          <w:color w:val="000000" w:themeColor="text1"/>
          <w:lang w:val="en-US"/>
        </w:rPr>
        <w:t xml:space="preserve"> Vamplew (1987), up to 1983; IMF, 1984-1958; Reserve Bank of Australia (RBA), 1959-2020. </w:t>
      </w:r>
    </w:p>
    <w:p w14:paraId="74CF1829" w14:textId="77777777" w:rsidR="00431533" w:rsidRPr="00431533" w:rsidRDefault="00431533" w:rsidP="00431533">
      <w:pPr>
        <w:autoSpaceDE w:val="0"/>
        <w:autoSpaceDN w:val="0"/>
        <w:adjustRightInd w:val="0"/>
        <w:rPr>
          <w:rFonts w:ascii="Calibri" w:hAnsi="Calibri"/>
          <w:color w:val="FF0000"/>
          <w:lang w:val="en-US"/>
        </w:rPr>
      </w:pPr>
      <w:r w:rsidRPr="00431533">
        <w:rPr>
          <w:rFonts w:ascii="Calibri" w:hAnsi="Calibri"/>
          <w:b/>
          <w:lang w:val="en-US"/>
        </w:rPr>
        <w:t>Austria</w:t>
      </w:r>
      <w:r w:rsidRPr="00431533">
        <w:rPr>
          <w:rFonts w:ascii="Calibri" w:hAnsi="Calibri"/>
          <w:bCs/>
          <w:lang w:val="en-US"/>
        </w:rPr>
        <w:t>,</w:t>
      </w:r>
      <w:r w:rsidRPr="00431533">
        <w:rPr>
          <w:rFonts w:ascii="Calibri" w:hAnsi="Calibri"/>
          <w:b/>
          <w:lang w:val="en-US"/>
        </w:rPr>
        <w:t xml:space="preserve"> </w:t>
      </w:r>
      <w:r w:rsidRPr="00431533">
        <w:rPr>
          <w:rFonts w:ascii="Calibri" w:hAnsi="Calibri"/>
          <w:lang w:val="en-US"/>
        </w:rPr>
        <w:t>(Austria-Hungary up to 1913),</w:t>
      </w:r>
      <w:r w:rsidRPr="00431533">
        <w:rPr>
          <w:rFonts w:ascii="Calibri" w:hAnsi="Calibri"/>
          <w:b/>
          <w:lang w:val="en-US"/>
        </w:rPr>
        <w:t xml:space="preserve"> </w:t>
      </w:r>
      <w:r w:rsidRPr="00431533">
        <w:rPr>
          <w:rFonts w:ascii="Calibri" w:hAnsi="Calibri"/>
          <w:lang w:val="en-US"/>
        </w:rPr>
        <w:t xml:space="preserve">Jobst and Scheiber (2014), currency outside banks; Komlos (1987), demand and time and savings deposits; Mitchell </w:t>
      </w:r>
      <w:r w:rsidRPr="00431533">
        <w:rPr>
          <w:rFonts w:ascii="Calibri" w:hAnsi="Calibri"/>
          <w:color w:val="000000" w:themeColor="text1"/>
          <w:lang w:val="en-US"/>
        </w:rPr>
        <w:t xml:space="preserve">(2008), 1925-37, 1946-53; IMF, 1953-1996; </w:t>
      </w:r>
      <w:r w:rsidRPr="00786A46">
        <w:rPr>
          <w:rFonts w:ascii="Calibri" w:hAnsi="Calibri"/>
          <w:color w:val="000000" w:themeColor="text1"/>
          <w:lang w:val="de-AT"/>
        </w:rPr>
        <w:t>Österreichische Nationalbank</w:t>
      </w:r>
      <w:r w:rsidRPr="00786A46">
        <w:rPr>
          <w:rFonts w:ascii="Calibri" w:hAnsi="Calibri"/>
          <w:color w:val="000000" w:themeColor="text1"/>
          <w:lang w:val="en-US"/>
        </w:rPr>
        <w:t xml:space="preserve"> (</w:t>
      </w:r>
      <w:r w:rsidRPr="00786A46">
        <w:rPr>
          <w:rFonts w:ascii="Calibri" w:hAnsi="Calibri"/>
          <w:color w:val="000000" w:themeColor="text1"/>
          <w:lang w:val="de-AT"/>
        </w:rPr>
        <w:t>OeNB</w:t>
      </w:r>
      <w:r w:rsidRPr="00431533">
        <w:rPr>
          <w:rFonts w:ascii="Calibri" w:hAnsi="Calibri"/>
          <w:color w:val="000000" w:themeColor="text1"/>
          <w:lang w:val="en-US"/>
        </w:rPr>
        <w:t>), 1997-2020</w:t>
      </w:r>
      <w:r w:rsidRPr="00431533">
        <w:rPr>
          <w:rFonts w:ascii="Calibri" w:hAnsi="Calibri"/>
          <w:color w:val="FF0000"/>
          <w:lang w:val="en-US"/>
        </w:rPr>
        <w:t xml:space="preserve"> </w:t>
      </w:r>
      <w:hyperlink r:id="rId8" w:history="1">
        <w:r w:rsidRPr="00431533">
          <w:rPr>
            <w:rStyle w:val="Hipervnculo"/>
            <w:rFonts w:ascii="Calibri" w:hAnsi="Calibri"/>
            <w:lang w:val="en-US"/>
          </w:rPr>
          <w:t>https://www.oenb.at/isaweb/report.do?lang=EN&amp;report=1.3.2</w:t>
        </w:r>
      </w:hyperlink>
    </w:p>
    <w:p w14:paraId="47DEDDD9" w14:textId="77777777" w:rsidR="00431533" w:rsidRPr="00431533" w:rsidRDefault="00431533" w:rsidP="00431533">
      <w:pPr>
        <w:autoSpaceDE w:val="0"/>
        <w:autoSpaceDN w:val="0"/>
        <w:adjustRightInd w:val="0"/>
        <w:rPr>
          <w:rFonts w:ascii="Calibri" w:hAnsi="Calibri"/>
          <w:b/>
          <w:color w:val="000000" w:themeColor="text1"/>
          <w:lang w:val="en-US"/>
        </w:rPr>
      </w:pPr>
      <w:r w:rsidRPr="00431533">
        <w:rPr>
          <w:rFonts w:ascii="Calibri" w:hAnsi="Calibri"/>
          <w:b/>
          <w:color w:val="000000" w:themeColor="text1"/>
          <w:lang w:val="en-US"/>
        </w:rPr>
        <w:t xml:space="preserve">Belgium, </w:t>
      </w:r>
      <w:r w:rsidRPr="00431533">
        <w:rPr>
          <w:rFonts w:ascii="Calibri" w:hAnsi="Calibri"/>
          <w:color w:val="000000" w:themeColor="text1"/>
          <w:lang w:val="en-US"/>
        </w:rPr>
        <w:t xml:space="preserve">Mitchell (2008), banknote in circulation and time and savings deposits, 1850-1950; Banks (2010), demand deposits, except for 1870-74 in which the level for 1875 is </w:t>
      </w:r>
      <w:r w:rsidRPr="00431533">
        <w:rPr>
          <w:rFonts w:ascii="Calibri" w:hAnsi="Calibri"/>
          <w:lang w:val="en-US"/>
        </w:rPr>
        <w:t xml:space="preserve">projected backwards with banknotes in circulation; Mitchell (2008), 1950-68; IMF, </w:t>
      </w:r>
      <w:r w:rsidRPr="00431533">
        <w:rPr>
          <w:rFonts w:ascii="Calibri" w:hAnsi="Calibri"/>
          <w:color w:val="000000" w:themeColor="text1"/>
          <w:lang w:val="en-US"/>
        </w:rPr>
        <w:t xml:space="preserve">1969-2012; 2013-2020, money in circulation, IMF; money supply,  JST v.6. </w:t>
      </w:r>
    </w:p>
    <w:p w14:paraId="4BF19889" w14:textId="77777777" w:rsidR="00431533" w:rsidRPr="00431533" w:rsidRDefault="00431533" w:rsidP="00431533">
      <w:pPr>
        <w:autoSpaceDE w:val="0"/>
        <w:autoSpaceDN w:val="0"/>
        <w:adjustRightInd w:val="0"/>
        <w:rPr>
          <w:rFonts w:ascii="Calibri" w:hAnsi="Calibri"/>
          <w:b/>
          <w:color w:val="000000" w:themeColor="text1"/>
          <w:lang w:val="en-US"/>
        </w:rPr>
      </w:pPr>
      <w:r w:rsidRPr="00431533">
        <w:rPr>
          <w:rFonts w:ascii="Calibri" w:hAnsi="Calibri"/>
          <w:b/>
          <w:color w:val="000000" w:themeColor="text1"/>
          <w:lang w:val="en-US"/>
        </w:rPr>
        <w:t>Canada</w:t>
      </w:r>
      <w:r w:rsidRPr="00431533">
        <w:rPr>
          <w:rFonts w:ascii="Calibri" w:hAnsi="Calibri"/>
          <w:bCs/>
          <w:color w:val="000000" w:themeColor="text1"/>
          <w:lang w:val="en-US"/>
        </w:rPr>
        <w:t>,</w:t>
      </w:r>
      <w:r w:rsidRPr="00431533">
        <w:rPr>
          <w:rFonts w:ascii="Calibri" w:hAnsi="Calibri"/>
          <w:b/>
          <w:color w:val="000000" w:themeColor="text1"/>
          <w:lang w:val="en-US"/>
        </w:rPr>
        <w:t xml:space="preserve"> </w:t>
      </w:r>
      <w:r w:rsidRPr="00431533">
        <w:rPr>
          <w:rFonts w:ascii="Calibri" w:hAnsi="Calibri"/>
          <w:color w:val="000000" w:themeColor="text1"/>
          <w:lang w:val="en-US"/>
        </w:rPr>
        <w:t>Mitchell (2008), 1856-1913; McInnis (2001), 1871-1913; Canadian Historical Statistics, 1913-68; Bank of Canada, 1868-2020.</w:t>
      </w:r>
    </w:p>
    <w:p w14:paraId="0E759D49"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Denmark</w:t>
      </w:r>
      <w:r w:rsidRPr="00431533">
        <w:rPr>
          <w:rFonts w:ascii="Calibri" w:hAnsi="Calibri"/>
          <w:bCs/>
          <w:color w:val="000000" w:themeColor="text1"/>
          <w:lang w:val="en-US"/>
        </w:rPr>
        <w:t xml:space="preserve">, </w:t>
      </w:r>
      <w:r w:rsidRPr="00431533">
        <w:rPr>
          <w:rFonts w:ascii="Calibri" w:hAnsi="Calibri"/>
          <w:color w:val="000000" w:themeColor="text1"/>
          <w:lang w:val="en-US"/>
        </w:rPr>
        <w:t>Mitchell (2008), 1850-1948; IMF, 1948-2020.</w:t>
      </w:r>
    </w:p>
    <w:p w14:paraId="511FA102" w14:textId="77777777"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b/>
          <w:color w:val="000000" w:themeColor="text1"/>
          <w:lang w:val="en-US"/>
        </w:rPr>
        <w:t>Finland</w:t>
      </w:r>
      <w:r w:rsidRPr="00431533">
        <w:rPr>
          <w:rFonts w:ascii="Calibri" w:hAnsi="Calibri"/>
          <w:bCs/>
          <w:color w:val="000000" w:themeColor="text1"/>
          <w:lang w:val="en-US"/>
        </w:rPr>
        <w:t xml:space="preserve">, </w:t>
      </w:r>
      <w:r w:rsidRPr="00431533">
        <w:rPr>
          <w:rFonts w:ascii="Calibri" w:hAnsi="Calibri"/>
          <w:color w:val="000000" w:themeColor="text1"/>
          <w:lang w:val="en-US"/>
        </w:rPr>
        <w:t>Mitchell (2008), 1862-1950; IMF, 1950-2012; 2013-2020, money in circulation, IMF; money supply,  JST v.6.</w:t>
      </w:r>
    </w:p>
    <w:p w14:paraId="45709900"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lang w:val="en-US"/>
        </w:rPr>
        <w:t>France</w:t>
      </w:r>
      <w:r w:rsidRPr="00431533">
        <w:rPr>
          <w:rFonts w:ascii="Calibri" w:hAnsi="Calibri"/>
          <w:bCs/>
          <w:lang w:val="en-US"/>
        </w:rPr>
        <w:t xml:space="preserve">, </w:t>
      </w:r>
      <w:r w:rsidRPr="00431533">
        <w:rPr>
          <w:rFonts w:ascii="Calibri" w:hAnsi="Calibri"/>
          <w:lang w:val="en-US"/>
        </w:rPr>
        <w:t>Mitchell (2008), 1850-</w:t>
      </w:r>
      <w:r w:rsidRPr="00431533">
        <w:rPr>
          <w:rFonts w:ascii="Calibri" w:hAnsi="Calibri"/>
          <w:color w:val="000000" w:themeColor="text1"/>
          <w:lang w:val="en-US"/>
        </w:rPr>
        <w:t>1947; Saint-Marc (1983), demand deposits, 1850-1944</w:t>
      </w:r>
      <w:r w:rsidRPr="00431533">
        <w:rPr>
          <w:rFonts w:ascii="Calibri" w:hAnsi="Calibri"/>
          <w:lang w:val="en-US"/>
        </w:rPr>
        <w:t xml:space="preserve">; </w:t>
      </w:r>
      <w:r w:rsidRPr="00431533">
        <w:rPr>
          <w:rFonts w:ascii="Calibri" w:hAnsi="Calibri"/>
          <w:color w:val="000000" w:themeColor="text1"/>
          <w:lang w:val="en-US"/>
        </w:rPr>
        <w:t>IMF, 1948-2012; 2013-2020, money in circulation, IMF; money supply,  JST v.6.</w:t>
      </w:r>
    </w:p>
    <w:p w14:paraId="0BAA7596"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Germany</w:t>
      </w:r>
      <w:r w:rsidRPr="00431533">
        <w:rPr>
          <w:rFonts w:ascii="Calibri" w:hAnsi="Calibri"/>
          <w:bCs/>
          <w:color w:val="000000" w:themeColor="text1"/>
          <w:lang w:val="en-US"/>
        </w:rPr>
        <w:t xml:space="preserve">, </w:t>
      </w:r>
      <w:r w:rsidRPr="00431533">
        <w:rPr>
          <w:rFonts w:ascii="Calibri" w:hAnsi="Calibri"/>
          <w:color w:val="000000" w:themeColor="text1"/>
          <w:lang w:val="en-US"/>
        </w:rPr>
        <w:t>Mitchell (2008), 1850-1920, 1923, 1944; Ritschl (2002), 1924-1943; IMF, 1950-2012; 2013-2020, money in circulation, IMF; money supply,  JST v.6.</w:t>
      </w:r>
    </w:p>
    <w:p w14:paraId="256DB424" w14:textId="77777777" w:rsidR="00431533" w:rsidRPr="00431533" w:rsidRDefault="00431533" w:rsidP="00431533">
      <w:pPr>
        <w:autoSpaceDE w:val="0"/>
        <w:autoSpaceDN w:val="0"/>
        <w:adjustRightInd w:val="0"/>
        <w:rPr>
          <w:rFonts w:ascii="Calibri" w:hAnsi="Calibri"/>
          <w:bCs/>
          <w:lang w:val="en-US"/>
        </w:rPr>
      </w:pPr>
      <w:r w:rsidRPr="00945EF7">
        <w:rPr>
          <w:rFonts w:ascii="Calibri" w:hAnsi="Calibri"/>
          <w:b/>
          <w:color w:val="000000" w:themeColor="text1"/>
          <w:lang w:val="en-US"/>
        </w:rPr>
        <w:t>Greece</w:t>
      </w:r>
      <w:r w:rsidRPr="00945EF7">
        <w:rPr>
          <w:rFonts w:ascii="Calibri" w:hAnsi="Calibri"/>
          <w:bCs/>
          <w:color w:val="000000" w:themeColor="text1"/>
          <w:lang w:val="en-US"/>
        </w:rPr>
        <w:t xml:space="preserve">, </w:t>
      </w:r>
      <w:r w:rsidRPr="00945EF7">
        <w:rPr>
          <w:rFonts w:ascii="Calibri" w:hAnsi="Calibri"/>
          <w:color w:val="000000" w:themeColor="text1"/>
          <w:lang w:val="en-US"/>
        </w:rPr>
        <w:t xml:space="preserve">Lazaretou (2014), 1850-1939; </w:t>
      </w:r>
      <w:r w:rsidRPr="00431533">
        <w:rPr>
          <w:rFonts w:ascii="Calibri" w:hAnsi="Calibri"/>
          <w:color w:val="000000" w:themeColor="text1"/>
          <w:lang w:val="en-US"/>
        </w:rPr>
        <w:t xml:space="preserve">IMF, 1953-2000; Bank of Greece, 2001-2020. Estimates for 1939 and 1946-52 </w:t>
      </w:r>
      <w:r w:rsidRPr="00431533">
        <w:rPr>
          <w:rFonts w:ascii="Calibri" w:hAnsi="Calibri"/>
          <w:lang w:val="en-US"/>
        </w:rPr>
        <w:t>were computed by projecting the CIM level for 1953 with an alternative CIM derived with M1 from Mitchell (2008).</w:t>
      </w:r>
    </w:p>
    <w:p w14:paraId="7CA488D7"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Ireland</w:t>
      </w:r>
      <w:r w:rsidRPr="00431533">
        <w:rPr>
          <w:rFonts w:ascii="Calibri" w:hAnsi="Calibri"/>
          <w:bCs/>
          <w:color w:val="000000" w:themeColor="text1"/>
          <w:lang w:val="en-US"/>
        </w:rPr>
        <w:t xml:space="preserve">, </w:t>
      </w:r>
      <w:r w:rsidRPr="00431533">
        <w:rPr>
          <w:rFonts w:ascii="Calibri" w:hAnsi="Calibri"/>
          <w:color w:val="000000" w:themeColor="text1"/>
          <w:lang w:val="en-US"/>
        </w:rPr>
        <w:t>Mitchell (2008), 1913-32; Gerlach and Stuart (2014), 1932-2012; 2013-2020, money in circulation, IMF; money supply,  JST v.6.</w:t>
      </w:r>
    </w:p>
    <w:p w14:paraId="4F22900C" w14:textId="77777777" w:rsidR="00431533" w:rsidRPr="00945EF7" w:rsidRDefault="00431533" w:rsidP="00431533">
      <w:pPr>
        <w:autoSpaceDE w:val="0"/>
        <w:autoSpaceDN w:val="0"/>
        <w:adjustRightInd w:val="0"/>
        <w:rPr>
          <w:rFonts w:ascii="Calibri" w:hAnsi="Calibri"/>
          <w:b/>
          <w:color w:val="000000" w:themeColor="text1"/>
          <w:lang w:val="en-US"/>
        </w:rPr>
      </w:pPr>
      <w:r w:rsidRPr="00945EF7">
        <w:rPr>
          <w:rFonts w:ascii="Calibri" w:hAnsi="Calibri"/>
          <w:b/>
          <w:color w:val="000000" w:themeColor="text1"/>
        </w:rPr>
        <w:t xml:space="preserve">Italy, </w:t>
      </w:r>
      <w:r w:rsidRPr="00945EF7">
        <w:rPr>
          <w:rFonts w:ascii="Calibri" w:hAnsi="Calibri"/>
          <w:color w:val="000000" w:themeColor="text1"/>
        </w:rPr>
        <w:t xml:space="preserve">de Bonis et al. </w:t>
      </w:r>
      <w:r w:rsidRPr="00431533">
        <w:rPr>
          <w:rFonts w:ascii="Calibri" w:hAnsi="Calibri"/>
          <w:color w:val="000000" w:themeColor="text1"/>
          <w:lang w:val="en-US"/>
        </w:rPr>
        <w:t>(2012), 1861-2010; 2010-2020, money in circulation, IMF; money supply,  JST v.6.</w:t>
      </w:r>
    </w:p>
    <w:p w14:paraId="7BFD0495"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lang w:val="en-US"/>
        </w:rPr>
        <w:t>Japan</w:t>
      </w:r>
      <w:r w:rsidRPr="00431533">
        <w:rPr>
          <w:rFonts w:ascii="Calibri" w:hAnsi="Calibri"/>
          <w:bCs/>
          <w:lang w:val="en-US"/>
        </w:rPr>
        <w:t xml:space="preserve">, </w:t>
      </w:r>
      <w:r w:rsidRPr="00431533">
        <w:rPr>
          <w:rFonts w:ascii="Calibri" w:hAnsi="Calibri"/>
          <w:lang w:val="en-US"/>
        </w:rPr>
        <w:t xml:space="preserve">Currency outside banks, Mitchell (2008), 1913, 1925-39, 1950-52; Deposits, Patrick (1967), 1888-1910; Yamamura (1972), 1911-1926. Estimates for 1873-87, 1927-39, and 1950-52 were computed with Mitchell (2008) re-scaled to match the levels for </w:t>
      </w:r>
      <w:r w:rsidRPr="00431533">
        <w:rPr>
          <w:rFonts w:ascii="Calibri" w:hAnsi="Calibri"/>
          <w:color w:val="000000" w:themeColor="text1"/>
          <w:lang w:val="en-US"/>
        </w:rPr>
        <w:t>1888, 1926, and 1953, respectively. IMF, 1953-2001; Bank of Japan, 2001-2020.</w:t>
      </w:r>
    </w:p>
    <w:p w14:paraId="550153C1" w14:textId="77777777" w:rsidR="00E2291B" w:rsidRDefault="00431533" w:rsidP="00431533">
      <w:pPr>
        <w:autoSpaceDE w:val="0"/>
        <w:autoSpaceDN w:val="0"/>
        <w:adjustRightInd w:val="0"/>
        <w:rPr>
          <w:rFonts w:ascii="Calibri" w:hAnsi="Calibri"/>
          <w:lang w:val="en-US"/>
        </w:rPr>
      </w:pPr>
      <w:r w:rsidRPr="00431533">
        <w:rPr>
          <w:rFonts w:ascii="Calibri" w:hAnsi="Calibri"/>
          <w:b/>
          <w:lang w:val="en-US"/>
        </w:rPr>
        <w:t>Netherlands</w:t>
      </w:r>
      <w:r w:rsidRPr="00431533">
        <w:rPr>
          <w:rFonts w:ascii="Calibri" w:hAnsi="Calibri"/>
          <w:bCs/>
          <w:lang w:val="en-US"/>
        </w:rPr>
        <w:t xml:space="preserve">, </w:t>
      </w:r>
      <w:r w:rsidRPr="00431533">
        <w:rPr>
          <w:rFonts w:ascii="Calibri" w:hAnsi="Calibri"/>
          <w:lang w:val="en-US"/>
        </w:rPr>
        <w:t xml:space="preserve">1850-1912, </w:t>
      </w:r>
      <w:r w:rsidR="00E2291B" w:rsidRPr="00E2291B">
        <w:rPr>
          <w:rFonts w:ascii="Calibri" w:hAnsi="Calibri"/>
          <w:lang w:val="en-US"/>
        </w:rPr>
        <w:t xml:space="preserve">Data on demand deposits is lacking. The persistence of the prolongatie market explains the slow development of deposits in Dutch commercial banking (Jonker, 1997: 101-102) and, perhaps, the absence of any record of demand deposits. In fact, the public used money put on prolongatie as a form of interest-bearing demand deposits backed by securities, and thus it served as a substitute for demand deposits (I owe this remark to Joost Jonker). As a crude alternative, M1 (that is, currency outside banks and demand deposits) was estimated for 1850-1912 by projecting its level in 1913 backwards using data on currency outside banks from Mitchell (2008). Time and savings deposits also come from Mitchell (2008). Mitchell (2008), 1918-50; IMF, 1950-2012; 2013-2020, money in circulation, IMF; money supply, JST v.6. </w:t>
      </w:r>
    </w:p>
    <w:p w14:paraId="5511ED13" w14:textId="24E735A2"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lastRenderedPageBreak/>
        <w:t>New Zealand</w:t>
      </w:r>
      <w:r w:rsidRPr="00431533">
        <w:rPr>
          <w:rFonts w:ascii="Calibri" w:hAnsi="Calibri"/>
          <w:bCs/>
          <w:color w:val="000000" w:themeColor="text1"/>
          <w:lang w:val="en-US"/>
        </w:rPr>
        <w:t xml:space="preserve">, </w:t>
      </w:r>
      <w:r w:rsidRPr="00431533">
        <w:rPr>
          <w:rFonts w:ascii="Calibri" w:hAnsi="Calibri"/>
          <w:color w:val="000000" w:themeColor="text1"/>
          <w:lang w:val="en-US"/>
        </w:rPr>
        <w:t>Currency outside banks, Mitchell (2008), 1870-1939; IMF, 1950-88; Reserve Bank of New Zealand, 1988-2020. Demand deposits, 1850-1913, Statistics New Zealand; Time and savings deposits, Mitchell (2008); All deposits, Statistics New Zealand, 1925-64; IMF, 1965-1988; Reserve Bank of New Zealand, 1988-2020.</w:t>
      </w:r>
    </w:p>
    <w:p w14:paraId="2BC0C945"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Norway</w:t>
      </w:r>
      <w:r w:rsidRPr="00431533">
        <w:rPr>
          <w:rFonts w:ascii="Calibri" w:hAnsi="Calibri"/>
          <w:bCs/>
          <w:color w:val="000000" w:themeColor="text1"/>
          <w:lang w:val="en-US"/>
        </w:rPr>
        <w:t>, Eitrheim, Klovland, and Qvigstad (2022).</w:t>
      </w:r>
    </w:p>
    <w:p w14:paraId="1DF62DF7" w14:textId="77777777" w:rsidR="00431533" w:rsidRPr="00945EF7" w:rsidRDefault="00431533" w:rsidP="00431533">
      <w:pPr>
        <w:autoSpaceDE w:val="0"/>
        <w:autoSpaceDN w:val="0"/>
        <w:adjustRightInd w:val="0"/>
        <w:rPr>
          <w:rFonts w:ascii="Calibri" w:hAnsi="Calibri"/>
          <w:bCs/>
          <w:color w:val="000000" w:themeColor="text1"/>
          <w:lang w:val="en-US"/>
        </w:rPr>
      </w:pPr>
      <w:r w:rsidRPr="0039420D">
        <w:rPr>
          <w:rFonts w:ascii="Calibri" w:hAnsi="Calibri"/>
          <w:b/>
          <w:color w:val="000000" w:themeColor="text1"/>
          <w:lang w:val="en-US"/>
        </w:rPr>
        <w:t>Portugal</w:t>
      </w:r>
      <w:r w:rsidRPr="0039420D">
        <w:rPr>
          <w:rFonts w:ascii="Calibri" w:hAnsi="Calibri"/>
          <w:bCs/>
          <w:color w:val="000000" w:themeColor="text1"/>
          <w:lang w:val="en-US"/>
        </w:rPr>
        <w:t xml:space="preserve">, </w:t>
      </w:r>
      <w:r w:rsidRPr="0039420D">
        <w:rPr>
          <w:rFonts w:ascii="Calibri" w:hAnsi="Calibri"/>
          <w:color w:val="000000" w:themeColor="text1"/>
          <w:lang w:val="en-US"/>
        </w:rPr>
        <w:t xml:space="preserve">Reis (1990), 1854-1912; Reis (2001), 1850-53, 1913-50; Pinheiro (1997), </w:t>
      </w:r>
      <w:r w:rsidRPr="00945EF7">
        <w:rPr>
          <w:rFonts w:ascii="Calibri" w:hAnsi="Calibri"/>
          <w:color w:val="000000" w:themeColor="text1"/>
          <w:lang w:val="en-US"/>
        </w:rPr>
        <w:t xml:space="preserve">1950-95; IMF, 1996-2012; </w:t>
      </w:r>
      <w:r w:rsidRPr="00431533">
        <w:rPr>
          <w:rFonts w:ascii="Calibri" w:hAnsi="Calibri"/>
          <w:color w:val="000000" w:themeColor="text1"/>
          <w:lang w:val="en-US"/>
        </w:rPr>
        <w:t>2013-2020, money in circulation, IMF; money supply,  JST v.6.</w:t>
      </w:r>
    </w:p>
    <w:p w14:paraId="084E24AA"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Spain</w:t>
      </w:r>
      <w:r w:rsidRPr="00431533">
        <w:rPr>
          <w:rFonts w:ascii="Calibri" w:hAnsi="Calibri"/>
          <w:bCs/>
          <w:color w:val="000000" w:themeColor="text1"/>
          <w:lang w:val="en-US"/>
        </w:rPr>
        <w:t xml:space="preserve">, </w:t>
      </w:r>
      <w:r w:rsidRPr="00431533">
        <w:rPr>
          <w:rFonts w:ascii="Calibri" w:hAnsi="Calibri"/>
          <w:color w:val="000000" w:themeColor="text1"/>
          <w:lang w:val="en-US"/>
        </w:rPr>
        <w:t xml:space="preserve">1850-55, Tortella (1982), currency in circulation, and Tedde (1999), notes in circulation. 1856-73, Banco de España (1970), currency outside banks; 1850-73, Martín-Aceña and Pons (2005), demand deposits; time and savings deposits: Tortella’s (1985) deposits estimates less sight deposits in private banks (Martín-Aceña and Pons, 2005), provide an estimate of time deposits, to which I added non-banking savings deposits from Titos (1999). </w:t>
      </w:r>
      <w:r w:rsidRPr="00945EF7">
        <w:rPr>
          <w:rFonts w:ascii="Calibri" w:hAnsi="Calibri"/>
          <w:color w:val="000000" w:themeColor="text1"/>
          <w:lang w:val="en-US"/>
        </w:rPr>
        <w:t xml:space="preserve">1874-99, Tortella (1974); 1900-1935, Martín-Aceña (1985); 1941-2000, Martín-Aceña and Pons (2005); IMF, 2000-2012; </w:t>
      </w:r>
      <w:r w:rsidRPr="00431533">
        <w:rPr>
          <w:rFonts w:ascii="Calibri" w:hAnsi="Calibri"/>
          <w:color w:val="000000" w:themeColor="text1"/>
          <w:lang w:val="en-US"/>
        </w:rPr>
        <w:t>2013-2020, money in circulation, IMF; money supply,  JST v.6.</w:t>
      </w:r>
    </w:p>
    <w:p w14:paraId="38E14F9F" w14:textId="77777777" w:rsidR="00431533" w:rsidRPr="0080137E"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Sweden</w:t>
      </w:r>
      <w:r w:rsidRPr="00431533">
        <w:rPr>
          <w:rFonts w:ascii="Calibri" w:hAnsi="Calibri"/>
          <w:bCs/>
          <w:color w:val="000000" w:themeColor="text1"/>
          <w:lang w:val="en-US"/>
        </w:rPr>
        <w:t xml:space="preserve">, </w:t>
      </w:r>
      <w:r w:rsidRPr="00431533">
        <w:rPr>
          <w:rFonts w:ascii="Calibri" w:hAnsi="Calibri"/>
          <w:color w:val="000000" w:themeColor="text1"/>
          <w:lang w:val="en-US"/>
        </w:rPr>
        <w:t xml:space="preserve">1850-2012, Edvinsson and Ögren (2014); Statistics Sweden, 2012-2020. </w:t>
      </w:r>
    </w:p>
    <w:p w14:paraId="36B853A4" w14:textId="67E7BBBF" w:rsidR="00431533" w:rsidRPr="00431533" w:rsidRDefault="00431533" w:rsidP="00431533">
      <w:pPr>
        <w:autoSpaceDE w:val="0"/>
        <w:autoSpaceDN w:val="0"/>
        <w:adjustRightInd w:val="0"/>
        <w:rPr>
          <w:rFonts w:ascii="Calibri" w:hAnsi="Calibri"/>
          <w:bCs/>
          <w:color w:val="7030A0"/>
          <w:lang w:val="en-US"/>
        </w:rPr>
      </w:pPr>
      <w:r w:rsidRPr="00431533">
        <w:rPr>
          <w:rFonts w:ascii="Calibri" w:hAnsi="Calibri"/>
          <w:b/>
          <w:lang w:val="en-US"/>
        </w:rPr>
        <w:t>Switzerland</w:t>
      </w:r>
      <w:r w:rsidRPr="00431533">
        <w:rPr>
          <w:rFonts w:ascii="Calibri" w:hAnsi="Calibri"/>
          <w:bCs/>
          <w:lang w:val="en-US"/>
        </w:rPr>
        <w:t xml:space="preserve">, </w:t>
      </w:r>
      <w:r w:rsidRPr="00431533">
        <w:rPr>
          <w:rFonts w:ascii="Calibri" w:hAnsi="Calibri"/>
          <w:lang w:val="en-US"/>
        </w:rPr>
        <w:t xml:space="preserve">Historical Statistics of Switzerland, </w:t>
      </w:r>
      <w:r w:rsidRPr="00431533">
        <w:rPr>
          <w:rFonts w:ascii="Calibri" w:hAnsi="Calibri"/>
          <w:color w:val="000000" w:themeColor="text1"/>
          <w:lang w:val="en-US"/>
        </w:rPr>
        <w:t>1851-1950</w:t>
      </w:r>
      <w:r w:rsidRPr="00431533">
        <w:rPr>
          <w:rFonts w:ascii="Calibri" w:hAnsi="Calibri"/>
          <w:lang w:val="en-US"/>
        </w:rPr>
        <w:t xml:space="preserve">, </w:t>
      </w:r>
      <w:r w:rsidR="00E2291B">
        <w:rPr>
          <w:rFonts w:ascii="Calibri" w:hAnsi="Calibri"/>
          <w:lang w:val="en-US"/>
        </w:rPr>
        <w:t>In the absence of data on time and savings deposits, it was assumed that they moved in line with demand deposits, so the level of total deposits in 1906 was backwards-projected using the data on demand deposits; Swiss National Bank (2023), 1950-2020.</w:t>
      </w:r>
    </w:p>
    <w:p w14:paraId="586D7BFD"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lang w:val="en-US"/>
        </w:rPr>
        <w:t xml:space="preserve">United Kingdom, </w:t>
      </w:r>
      <w:r w:rsidRPr="00431533">
        <w:rPr>
          <w:rFonts w:ascii="Calibri" w:hAnsi="Calibri"/>
          <w:b/>
          <w:color w:val="000000" w:themeColor="text1"/>
          <w:lang w:val="en-US"/>
        </w:rPr>
        <w:t>Currency</w:t>
      </w:r>
      <w:r w:rsidRPr="00431533">
        <w:rPr>
          <w:rFonts w:ascii="Calibri" w:hAnsi="Calibri"/>
          <w:bCs/>
          <w:color w:val="000000" w:themeColor="text1"/>
          <w:lang w:val="en-US"/>
        </w:rPr>
        <w:t xml:space="preserve"> (notes and coin) in the hands of the public//in circulation, Bank of England.</w:t>
      </w:r>
      <w:r w:rsidRPr="00431533">
        <w:rPr>
          <w:rFonts w:ascii="Calibri" w:hAnsi="Calibri"/>
          <w:bCs/>
          <w:color w:val="001DFF"/>
          <w:lang w:val="en-US"/>
        </w:rPr>
        <w:t xml:space="preserve"> </w:t>
      </w:r>
      <w:r w:rsidRPr="00431533">
        <w:rPr>
          <w:rFonts w:ascii="Calibri" w:hAnsi="Calibri"/>
          <w:lang w:val="en-US"/>
        </w:rPr>
        <w:t xml:space="preserve">1850-70, </w:t>
      </w:r>
      <w:r w:rsidRPr="00431533">
        <w:rPr>
          <w:rFonts w:ascii="Calibri" w:hAnsi="Calibri"/>
          <w:b/>
          <w:bCs/>
          <w:color w:val="000000" w:themeColor="text1"/>
          <w:lang w:val="en-US"/>
        </w:rPr>
        <w:t>Currency</w:t>
      </w:r>
      <w:r w:rsidRPr="00431533">
        <w:rPr>
          <w:rFonts w:ascii="Calibri" w:hAnsi="Calibri"/>
          <w:color w:val="000000" w:themeColor="text1"/>
          <w:lang w:val="en-US"/>
        </w:rPr>
        <w:t xml:space="preserve"> outside banks, 1850-70. Two alternative estimates were derived and its average taken. On the one hand, Mitchell (1988), coin level for 1870 was backwards projected with Huffman and Lothian (1980) figures and added up to Mitchell (2008) banknotes in circulation. On the other, Hills et al. (2010) currency outside banks in 1870 was projected backwards with Huffman and Lothian (1980) total figures for coin and notes outside banks. 1871-1981,</w:t>
      </w:r>
      <w:r w:rsidRPr="00431533">
        <w:rPr>
          <w:color w:val="000000" w:themeColor="text1"/>
          <w:lang w:val="en-US"/>
        </w:rPr>
        <w:t xml:space="preserve"> </w:t>
      </w:r>
      <w:r w:rsidRPr="00431533">
        <w:rPr>
          <w:rFonts w:ascii="Calibri" w:hAnsi="Calibri"/>
          <w:color w:val="000000" w:themeColor="text1"/>
          <w:lang w:val="en-US"/>
        </w:rPr>
        <w:t xml:space="preserve">the average of estimates by Hills et al. (2010) and by Capie and Webber (1985) was used. From 1982 onwards, Hills et al. (2010) was employed. </w:t>
      </w:r>
      <w:r w:rsidRPr="00431533">
        <w:rPr>
          <w:rFonts w:ascii="Calibri" w:hAnsi="Calibri"/>
          <w:b/>
          <w:bCs/>
          <w:lang w:val="en-US"/>
        </w:rPr>
        <w:t>Deposits</w:t>
      </w:r>
      <w:r w:rsidRPr="00431533">
        <w:rPr>
          <w:rFonts w:ascii="Calibri" w:hAnsi="Calibri"/>
          <w:lang w:val="en-US"/>
        </w:rPr>
        <w:t xml:space="preserve">, Collins (1983), demand deposits (derived from net public liabilities of commercial banks, which include notes and deposits); and Mitchell (1988, 2008), savings deposits. 1871-1981, </w:t>
      </w:r>
      <w:r w:rsidRPr="00431533">
        <w:rPr>
          <w:rFonts w:ascii="Calibri" w:hAnsi="Calibri"/>
          <w:color w:val="000000" w:themeColor="text1"/>
          <w:lang w:val="en-US"/>
        </w:rPr>
        <w:t>Capie and Webber (1985); 1982-2009, Hills et al. (2010); 2010-2020, Bank of England.</w:t>
      </w:r>
      <w:r w:rsidRPr="00431533">
        <w:rPr>
          <w:rFonts w:ascii="Calibri" w:hAnsi="Calibri"/>
          <w:lang w:val="en-US"/>
        </w:rPr>
        <w:t xml:space="preserve"> </w:t>
      </w:r>
      <w:r w:rsidRPr="00431533">
        <w:rPr>
          <w:rFonts w:ascii="Calibri" w:hAnsi="Calibri"/>
          <w:color w:val="000000" w:themeColor="text1"/>
          <w:lang w:val="en-US"/>
        </w:rPr>
        <w:t>Pre-1982 figures were adjusted to match the level of 1982 derived from data in Hills et al. (2010).</w:t>
      </w:r>
    </w:p>
    <w:p w14:paraId="7B3A88B3" w14:textId="77777777"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b/>
          <w:lang w:val="en-US"/>
        </w:rPr>
        <w:t>United States</w:t>
      </w:r>
      <w:r w:rsidRPr="00431533">
        <w:rPr>
          <w:rFonts w:ascii="Calibri" w:hAnsi="Calibri"/>
          <w:bCs/>
          <w:lang w:val="en-US"/>
        </w:rPr>
        <w:t xml:space="preserve">, </w:t>
      </w:r>
      <w:r w:rsidRPr="00431533">
        <w:rPr>
          <w:rFonts w:ascii="Calibri" w:hAnsi="Calibri"/>
          <w:lang w:val="en-US"/>
        </w:rPr>
        <w:t xml:space="preserve">1850-66, Anderson (2003), currency outside banks derived by projecting its level in 1867 backwards with the series of all notes and coin; figures for all deposits obtained by projecting backwards Anderson (2003) level for 1867 with the series of </w:t>
      </w:r>
      <w:r w:rsidRPr="00431533">
        <w:rPr>
          <w:rFonts w:ascii="Calibri" w:hAnsi="Calibri"/>
          <w:color w:val="000000" w:themeColor="text1"/>
          <w:lang w:val="en-US"/>
        </w:rPr>
        <w:t xml:space="preserve">deposits provided by Mitchell (2008); Anderson (2003), 1867-2002; FRED, 2003-2020. </w:t>
      </w:r>
    </w:p>
    <w:p w14:paraId="0F9B3B88" w14:textId="0B17EE83"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color w:val="000000" w:themeColor="text1"/>
          <w:u w:val="single"/>
          <w:lang w:val="en-US"/>
        </w:rPr>
        <w:t>Note</w:t>
      </w:r>
      <w:r w:rsidRPr="00431533">
        <w:rPr>
          <w:rFonts w:ascii="Calibri" w:hAnsi="Calibri"/>
          <w:color w:val="000000" w:themeColor="text1"/>
          <w:lang w:val="en-US"/>
        </w:rPr>
        <w:t xml:space="preserve">: </w:t>
      </w:r>
      <w:r w:rsidR="00E2291B">
        <w:rPr>
          <w:rFonts w:ascii="Calibri" w:hAnsi="Calibri"/>
          <w:color w:val="000000" w:themeColor="text1"/>
          <w:lang w:val="en-US"/>
        </w:rPr>
        <w:t xml:space="preserve">In the Eurozone or Euro Area, since the introduction of the Euro, data are available on ‘national contributions to monetary aggregates’ rather than on national aggregates. This is because the European Central Bank does not publish data on national contributions to euro area monetary aggregates (and counterparts) for some components, where the allocation by country is not straightforward. </w:t>
      </w:r>
      <w:r w:rsidRPr="00431533">
        <w:rPr>
          <w:rFonts w:ascii="Calibri" w:hAnsi="Calibri"/>
          <w:color w:val="000000" w:themeColor="text1"/>
          <w:lang w:val="en-US"/>
        </w:rPr>
        <w:t>See</w:t>
      </w:r>
    </w:p>
    <w:p w14:paraId="514797AA" w14:textId="77777777" w:rsidR="00431533" w:rsidRPr="00431533" w:rsidRDefault="00431533" w:rsidP="00431533">
      <w:pPr>
        <w:autoSpaceDE w:val="0"/>
        <w:autoSpaceDN w:val="0"/>
        <w:adjustRightInd w:val="0"/>
        <w:rPr>
          <w:rStyle w:val="Hipervnculo"/>
          <w:rFonts w:ascii="Calibri" w:hAnsi="Calibri"/>
          <w:bCs/>
          <w:lang w:val="en-US"/>
        </w:rPr>
      </w:pPr>
      <w:hyperlink r:id="rId9" w:history="1">
        <w:r w:rsidRPr="00431533">
          <w:rPr>
            <w:rStyle w:val="Hipervnculo"/>
            <w:rFonts w:ascii="Calibri" w:hAnsi="Calibri"/>
            <w:bCs/>
            <w:lang w:val="en-US"/>
          </w:rPr>
          <w:t>https://www.oenb.at/isaweb/report.do?lang=EN&amp;report=13.7</w:t>
        </w:r>
      </w:hyperlink>
    </w:p>
    <w:p w14:paraId="429224A2" w14:textId="77777777" w:rsidR="00431533" w:rsidRDefault="00431533" w:rsidP="00431533">
      <w:pPr>
        <w:autoSpaceDE w:val="0"/>
        <w:autoSpaceDN w:val="0"/>
        <w:adjustRightInd w:val="0"/>
        <w:rPr>
          <w:rFonts w:ascii="Calibri" w:hAnsi="Calibri"/>
          <w:b/>
          <w:u w:val="single"/>
          <w:lang w:val="en-US"/>
        </w:rPr>
      </w:pPr>
    </w:p>
    <w:p w14:paraId="0AEAF1F0" w14:textId="77777777" w:rsidR="005A32D2" w:rsidRPr="00431533" w:rsidRDefault="005A32D2" w:rsidP="00431533">
      <w:pPr>
        <w:autoSpaceDE w:val="0"/>
        <w:autoSpaceDN w:val="0"/>
        <w:adjustRightInd w:val="0"/>
        <w:rPr>
          <w:rFonts w:ascii="Calibri" w:hAnsi="Calibri"/>
          <w:b/>
          <w:u w:val="single"/>
          <w:lang w:val="en-US"/>
        </w:rPr>
      </w:pPr>
    </w:p>
    <w:p w14:paraId="7B942673" w14:textId="3A1E9BBC" w:rsidR="00431533" w:rsidRPr="00431533" w:rsidRDefault="00431533" w:rsidP="00431533">
      <w:pPr>
        <w:autoSpaceDE w:val="0"/>
        <w:autoSpaceDN w:val="0"/>
        <w:adjustRightInd w:val="0"/>
        <w:rPr>
          <w:rFonts w:ascii="Calibri" w:hAnsi="Calibri"/>
          <w:b/>
          <w:u w:val="single"/>
          <w:lang w:val="en-US"/>
        </w:rPr>
      </w:pPr>
      <w:r w:rsidRPr="00431533">
        <w:rPr>
          <w:rFonts w:ascii="Calibri" w:hAnsi="Calibri"/>
          <w:b/>
          <w:u w:val="single"/>
          <w:lang w:val="en-US"/>
        </w:rPr>
        <w:lastRenderedPageBreak/>
        <w:t>A</w:t>
      </w:r>
      <w:r w:rsidR="00486D8B">
        <w:rPr>
          <w:rFonts w:ascii="Calibri" w:hAnsi="Calibri"/>
          <w:b/>
          <w:u w:val="single"/>
          <w:lang w:val="en-US"/>
        </w:rPr>
        <w:t xml:space="preserve">rea </w:t>
      </w:r>
      <w:r w:rsidRPr="00431533">
        <w:rPr>
          <w:rFonts w:ascii="Calibri" w:hAnsi="Calibri"/>
          <w:b/>
          <w:u w:val="single"/>
          <w:lang w:val="en-US"/>
        </w:rPr>
        <w:t>3 Sound Money</w:t>
      </w:r>
    </w:p>
    <w:p w14:paraId="7D94148B" w14:textId="77777777" w:rsidR="00431533" w:rsidRPr="00431533" w:rsidRDefault="00431533" w:rsidP="00431533">
      <w:pPr>
        <w:autoSpaceDE w:val="0"/>
        <w:autoSpaceDN w:val="0"/>
        <w:adjustRightInd w:val="0"/>
        <w:rPr>
          <w:rFonts w:ascii="Calibri" w:hAnsi="Calibri"/>
          <w:b/>
          <w:i/>
          <w:lang w:val="en-US"/>
        </w:rPr>
      </w:pPr>
      <w:r w:rsidRPr="00431533">
        <w:rPr>
          <w:rFonts w:ascii="Calibri" w:hAnsi="Calibri"/>
          <w:b/>
          <w:i/>
          <w:lang w:val="en-US"/>
        </w:rPr>
        <w:t>A) Inflation Rate</w:t>
      </w:r>
    </w:p>
    <w:p w14:paraId="40C991F7" w14:textId="003C84FE" w:rsidR="00431533" w:rsidRPr="00E54EC0" w:rsidRDefault="00431533" w:rsidP="00E54EC0">
      <w:pPr>
        <w:autoSpaceDE w:val="0"/>
        <w:autoSpaceDN w:val="0"/>
        <w:adjustRightInd w:val="0"/>
        <w:ind w:firstLine="709"/>
        <w:rPr>
          <w:rFonts w:ascii="Calibri" w:hAnsi="Calibri"/>
          <w:color w:val="000000" w:themeColor="text1"/>
          <w:lang w:val="en-US"/>
        </w:rPr>
      </w:pPr>
      <w:r w:rsidRPr="00431533">
        <w:rPr>
          <w:rFonts w:ascii="Calibri" w:hAnsi="Calibri"/>
          <w:color w:val="000000" w:themeColor="text1"/>
          <w:lang w:val="en-US"/>
        </w:rPr>
        <w:t xml:space="preserve">The consumer price index (CPI) has been used as the measure of inflation for this component. When the CPI was unavailable, the implicit GDP deflator was used. </w:t>
      </w:r>
      <w:r w:rsidRPr="00431533">
        <w:rPr>
          <w:rFonts w:ascii="Calibri" w:hAnsi="Calibri"/>
          <w:iCs/>
          <w:color w:val="000000" w:themeColor="text1"/>
          <w:lang w:val="en-US"/>
        </w:rPr>
        <w:t>To be consistent with the view that price stability guarantees economic freedom</w:t>
      </w:r>
      <w:r w:rsidR="00E2291B">
        <w:rPr>
          <w:rFonts w:ascii="Calibri" w:hAnsi="Calibri"/>
          <w:iCs/>
          <w:color w:val="000000" w:themeColor="text1"/>
          <w:lang w:val="en-US"/>
        </w:rPr>
        <w:t>,</w:t>
      </w:r>
      <w:r w:rsidRPr="00431533">
        <w:rPr>
          <w:rFonts w:ascii="Calibri" w:hAnsi="Calibri"/>
          <w:iCs/>
          <w:color w:val="000000" w:themeColor="text1"/>
          <w:lang w:val="en-US"/>
        </w:rPr>
        <w:t xml:space="preserve"> the absolute value of inflation has been considered.</w:t>
      </w:r>
      <w:r w:rsidRPr="00431533">
        <w:rPr>
          <w:rFonts w:ascii="Calibri" w:hAnsi="Calibri"/>
          <w:color w:val="000000" w:themeColor="text1"/>
          <w:lang w:val="en-US"/>
        </w:rPr>
        <w:t xml:space="preserve"> </w:t>
      </w:r>
      <w:r w:rsidRPr="00431533">
        <w:rPr>
          <w:rFonts w:ascii="Calibri" w:hAnsi="Calibri"/>
          <w:iCs/>
          <w:color w:val="000000" w:themeColor="text1"/>
          <w:lang w:val="en-US"/>
        </w:rPr>
        <w:t xml:space="preserve">It has been transformed into index form using the expression </w:t>
      </w:r>
      <w:r w:rsidRPr="00431533">
        <w:rPr>
          <w:rFonts w:ascii="Calibri" w:hAnsi="Calibri"/>
          <w:i/>
          <w:iCs/>
          <w:color w:val="000000" w:themeColor="text1"/>
          <w:lang w:val="en-US"/>
        </w:rPr>
        <w:t>I</w:t>
      </w:r>
      <w:r w:rsidRPr="00431533">
        <w:rPr>
          <w:rFonts w:ascii="Calibri" w:hAnsi="Calibri"/>
          <w:bCs/>
          <w:i/>
          <w:color w:val="000000" w:themeColor="text1"/>
          <w:vertAlign w:val="subscript"/>
          <w:lang w:val="en-US"/>
        </w:rPr>
        <w:t>ij</w:t>
      </w:r>
      <w:r w:rsidRPr="00431533">
        <w:rPr>
          <w:rFonts w:ascii="Calibri" w:hAnsi="Calibri"/>
          <w:iCs/>
          <w:color w:val="000000" w:themeColor="text1"/>
          <w:lang w:val="en-US"/>
        </w:rPr>
        <w:t xml:space="preserve"> = 10*(</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MAX</w:t>
      </w:r>
      <w:r w:rsidRPr="00431533">
        <w:rPr>
          <w:rFonts w:ascii="Calibri" w:hAnsi="Calibri"/>
          <w:iCs/>
          <w:color w:val="000000" w:themeColor="text1"/>
          <w:lang w:val="en-US"/>
        </w:rPr>
        <w:t xml:space="preserve">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ij</w:t>
      </w:r>
      <w:r w:rsidRPr="00431533">
        <w:rPr>
          <w:rFonts w:ascii="Calibri" w:hAnsi="Calibri"/>
          <w:iCs/>
          <w:color w:val="000000" w:themeColor="text1"/>
          <w:lang w:val="en-US"/>
        </w:rPr>
        <w:t>)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MAX</w:t>
      </w:r>
      <w:r w:rsidRPr="00431533">
        <w:rPr>
          <w:rFonts w:ascii="Calibri" w:hAnsi="Calibri"/>
          <w:iCs/>
          <w:color w:val="000000" w:themeColor="text1"/>
          <w:lang w:val="en-US"/>
        </w:rPr>
        <w:t xml:space="preserve">-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MIN</w:t>
      </w:r>
      <w:r w:rsidRPr="00431533">
        <w:rPr>
          <w:rFonts w:ascii="Calibri" w:hAnsi="Calibri"/>
          <w:iCs/>
          <w:color w:val="000000" w:themeColor="text1"/>
          <w:lang w:val="en-US"/>
        </w:rPr>
        <w:t>)</w:t>
      </w:r>
      <w:r w:rsidR="00E54EC0">
        <w:rPr>
          <w:rFonts w:ascii="Calibri" w:hAnsi="Calibri"/>
          <w:iCs/>
          <w:color w:val="000000" w:themeColor="text1"/>
          <w:lang w:val="en-US"/>
        </w:rPr>
        <w:t>, w</w:t>
      </w:r>
      <w:r w:rsidRPr="00431533">
        <w:rPr>
          <w:rFonts w:ascii="Calibri" w:hAnsi="Calibri"/>
          <w:iCs/>
          <w:color w:val="000000" w:themeColor="text1"/>
          <w:lang w:val="en-US"/>
        </w:rPr>
        <w:t xml:space="preserve">here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ij</w:t>
      </w:r>
      <w:r w:rsidRPr="00431533">
        <w:rPr>
          <w:rFonts w:ascii="Calibri" w:hAnsi="Calibri"/>
          <w:iCs/>
          <w:color w:val="000000" w:themeColor="text1"/>
          <w:lang w:val="en-US"/>
        </w:rPr>
        <w:t xml:space="preserve"> represents the value of country </w:t>
      </w:r>
      <w:r w:rsidR="00E2291B">
        <w:rPr>
          <w:rFonts w:ascii="Calibri" w:hAnsi="Calibri"/>
          <w:i/>
          <w:iCs/>
          <w:color w:val="000000" w:themeColor="text1"/>
          <w:lang w:val="en-US"/>
        </w:rPr>
        <w:t>I</w:t>
      </w:r>
      <w:r w:rsidR="00E2291B">
        <w:rPr>
          <w:rFonts w:ascii="Calibri" w:hAnsi="Calibri"/>
          <w:color w:val="000000" w:themeColor="text1"/>
          <w:lang w:val="en-US"/>
        </w:rPr>
        <w:t>’s</w:t>
      </w:r>
      <w:r w:rsidRPr="00431533">
        <w:rPr>
          <w:rFonts w:ascii="Calibri" w:hAnsi="Calibri"/>
          <w:iCs/>
          <w:color w:val="000000" w:themeColor="text1"/>
          <w:lang w:val="en-US"/>
        </w:rPr>
        <w:t xml:space="preserve"> indicator at year </w:t>
      </w:r>
      <w:r w:rsidRPr="00431533">
        <w:rPr>
          <w:rFonts w:ascii="Calibri" w:hAnsi="Calibri"/>
          <w:i/>
          <w:iCs/>
          <w:color w:val="000000" w:themeColor="text1"/>
          <w:lang w:val="en-US"/>
        </w:rPr>
        <w:t>j</w:t>
      </w:r>
      <w:r w:rsidR="00E2291B">
        <w:rPr>
          <w:rFonts w:ascii="Calibri" w:hAnsi="Calibri"/>
          <w:iCs/>
          <w:color w:val="000000" w:themeColor="text1"/>
          <w:lang w:val="en-US"/>
        </w:rPr>
        <w:t xml:space="preserve">, </w:t>
      </w:r>
      <w:r w:rsidRPr="00431533">
        <w:rPr>
          <w:rFonts w:ascii="Calibri" w:hAnsi="Calibri"/>
          <w:iCs/>
          <w:color w:val="000000" w:themeColor="text1"/>
          <w:lang w:val="en-US"/>
        </w:rPr>
        <w:t xml:space="preserve">and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MAX</w:t>
      </w:r>
      <w:r w:rsidRPr="00431533">
        <w:rPr>
          <w:rFonts w:ascii="Calibri" w:hAnsi="Calibri"/>
          <w:iCs/>
          <w:color w:val="000000" w:themeColor="text1"/>
          <w:lang w:val="en-US"/>
        </w:rPr>
        <w:t xml:space="preserve"> and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MIN</w:t>
      </w:r>
      <w:r w:rsidRPr="00431533">
        <w:rPr>
          <w:rFonts w:ascii="Calibri" w:hAnsi="Calibri"/>
          <w:iCs/>
          <w:color w:val="000000" w:themeColor="text1"/>
          <w:lang w:val="en-US"/>
        </w:rPr>
        <w:t xml:space="preserve"> its maximum and minimum values, 50 and 0, respectively.</w:t>
      </w:r>
    </w:p>
    <w:p w14:paraId="0FF17A8A" w14:textId="77777777" w:rsidR="00431533" w:rsidRPr="00431533" w:rsidRDefault="00431533" w:rsidP="00431533">
      <w:pPr>
        <w:autoSpaceDE w:val="0"/>
        <w:autoSpaceDN w:val="0"/>
        <w:adjustRightInd w:val="0"/>
        <w:rPr>
          <w:rFonts w:ascii="Calibri" w:hAnsi="Calibri"/>
          <w:b/>
          <w:i/>
          <w:lang w:val="en-US"/>
        </w:rPr>
      </w:pPr>
    </w:p>
    <w:p w14:paraId="3DF6B063" w14:textId="77777777" w:rsidR="00431533" w:rsidRPr="00431533" w:rsidRDefault="00431533" w:rsidP="00431533">
      <w:pPr>
        <w:autoSpaceDE w:val="0"/>
        <w:autoSpaceDN w:val="0"/>
        <w:adjustRightInd w:val="0"/>
        <w:rPr>
          <w:rFonts w:ascii="Calibri" w:hAnsi="Calibri"/>
          <w:b/>
          <w:i/>
          <w:lang w:val="en-US"/>
        </w:rPr>
      </w:pPr>
      <w:r w:rsidRPr="00431533">
        <w:rPr>
          <w:rFonts w:ascii="Calibri" w:hAnsi="Calibri"/>
          <w:b/>
          <w:i/>
          <w:lang w:val="en-US"/>
        </w:rPr>
        <w:t>B) Standard Inflation Variability during the last five years</w:t>
      </w:r>
    </w:p>
    <w:p w14:paraId="61EB7E67" w14:textId="77777777" w:rsidR="00E2291B" w:rsidRDefault="00E2291B" w:rsidP="00E2291B">
      <w:pPr>
        <w:autoSpaceDE w:val="0"/>
        <w:autoSpaceDN w:val="0"/>
        <w:adjustRightInd w:val="0"/>
        <w:ind w:firstLine="709"/>
        <w:rPr>
          <w:rFonts w:ascii="Calibri" w:hAnsi="Calibri"/>
          <w:lang w:val="en-US"/>
        </w:rPr>
      </w:pPr>
      <w:r w:rsidRPr="00E2291B">
        <w:rPr>
          <w:rFonts w:ascii="Calibri" w:hAnsi="Calibri"/>
          <w:lang w:val="en-US"/>
        </w:rPr>
        <w:t xml:space="preserve">The GDP deflator was used as the measure of inflation for this component. When unavailable, the CPI was used. To be consistent with the view that price stability is what guarantees economic freedom, the absolute value of inflation has been considered. It has been transformed into index form using the expression </w:t>
      </w:r>
    </w:p>
    <w:p w14:paraId="141324EE" w14:textId="4D26D385" w:rsidR="00431533" w:rsidRPr="00E54EC0" w:rsidRDefault="00431533" w:rsidP="00E54EC0">
      <w:pPr>
        <w:autoSpaceDE w:val="0"/>
        <w:autoSpaceDN w:val="0"/>
        <w:adjustRightInd w:val="0"/>
        <w:rPr>
          <w:rFonts w:ascii="Calibri" w:hAnsi="Calibri"/>
          <w:iCs/>
          <w:lang w:val="en-US"/>
        </w:rPr>
      </w:pPr>
      <w:r w:rsidRPr="00431533">
        <w:rPr>
          <w:rFonts w:ascii="Calibri" w:hAnsi="Calibri"/>
          <w:i/>
          <w:iCs/>
          <w:lang w:val="en-US"/>
        </w:rPr>
        <w:t>I</w:t>
      </w:r>
      <w:r w:rsidRPr="00431533">
        <w:rPr>
          <w:rFonts w:ascii="Calibri" w:hAnsi="Calibri"/>
          <w:bCs/>
          <w:i/>
          <w:vertAlign w:val="subscript"/>
          <w:lang w:val="en-US"/>
        </w:rPr>
        <w:t>ij</w:t>
      </w:r>
      <w:r w:rsidRPr="00431533">
        <w:rPr>
          <w:rFonts w:ascii="Calibri" w:hAnsi="Calibri"/>
          <w:iCs/>
          <w:lang w:val="en-US"/>
        </w:rPr>
        <w:t xml:space="preserve"> = 10*(</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w:t>
      </w:r>
      <w:r w:rsidR="00E54EC0">
        <w:rPr>
          <w:rFonts w:ascii="Calibri" w:hAnsi="Calibri"/>
          <w:iCs/>
          <w:lang w:val="en-US"/>
        </w:rPr>
        <w:t>, w</w:t>
      </w:r>
      <w:r w:rsidRPr="00431533">
        <w:rPr>
          <w:rFonts w:ascii="Calibri" w:hAnsi="Calibri"/>
          <w:iCs/>
          <w:lang w:val="en-US"/>
        </w:rPr>
        <w:t xml:space="preserve">here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xml:space="preserve"> represents the value of country </w:t>
      </w:r>
      <w:r w:rsidR="00E2291B">
        <w:rPr>
          <w:rFonts w:ascii="Calibri" w:hAnsi="Calibri"/>
          <w:i/>
          <w:iCs/>
          <w:lang w:val="en-US"/>
        </w:rPr>
        <w:t>I</w:t>
      </w:r>
      <w:r w:rsidR="00E2291B">
        <w:rPr>
          <w:rFonts w:ascii="Calibri" w:hAnsi="Calibri"/>
          <w:lang w:val="en-US"/>
        </w:rPr>
        <w:t>’s</w:t>
      </w:r>
      <w:r w:rsidRPr="00431533">
        <w:rPr>
          <w:rFonts w:ascii="Calibri" w:hAnsi="Calibri"/>
          <w:iCs/>
          <w:lang w:val="en-US"/>
        </w:rPr>
        <w:t xml:space="preserve"> indicator </w:t>
      </w:r>
      <w:r w:rsidR="00E2291B">
        <w:rPr>
          <w:rFonts w:ascii="Calibri" w:hAnsi="Calibri"/>
          <w:iCs/>
          <w:lang w:val="en-US"/>
        </w:rPr>
        <w:t xml:space="preserve">in </w:t>
      </w:r>
      <w:r w:rsidRPr="00431533">
        <w:rPr>
          <w:rFonts w:ascii="Calibri" w:hAnsi="Calibri"/>
          <w:iCs/>
          <w:lang w:val="en-US"/>
        </w:rPr>
        <w:t xml:space="preserve">year </w:t>
      </w:r>
      <w:r w:rsidRPr="00431533">
        <w:rPr>
          <w:rFonts w:ascii="Calibri" w:hAnsi="Calibri"/>
          <w:i/>
          <w:iCs/>
          <w:lang w:val="en-US"/>
        </w:rPr>
        <w:t>j</w:t>
      </w:r>
      <w:r w:rsidRPr="00431533">
        <w:rPr>
          <w:rFonts w:ascii="Calibri" w:hAnsi="Calibri"/>
          <w:iCs/>
          <w:lang w:val="en-US"/>
        </w:rPr>
        <w:t xml:space="preserve"> and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and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MIN</w:t>
      </w:r>
      <w:r w:rsidRPr="00431533">
        <w:rPr>
          <w:rFonts w:ascii="Calibri" w:hAnsi="Calibri"/>
          <w:iCs/>
          <w:color w:val="000000" w:themeColor="text1"/>
          <w:lang w:val="en-US"/>
        </w:rPr>
        <w:t>, its maximum and minimum values, 25 and 0, respectively.</w:t>
      </w:r>
    </w:p>
    <w:p w14:paraId="3D7C8831" w14:textId="77777777" w:rsidR="00431533" w:rsidRPr="00431533" w:rsidRDefault="00431533" w:rsidP="00431533">
      <w:pPr>
        <w:autoSpaceDE w:val="0"/>
        <w:autoSpaceDN w:val="0"/>
        <w:adjustRightInd w:val="0"/>
        <w:rPr>
          <w:rFonts w:ascii="Calibri" w:hAnsi="Calibri"/>
          <w:b/>
          <w:i/>
          <w:lang w:val="en-US"/>
        </w:rPr>
      </w:pPr>
    </w:p>
    <w:p w14:paraId="6D818F72" w14:textId="77777777" w:rsidR="00431533" w:rsidRPr="00431533" w:rsidRDefault="00431533" w:rsidP="00431533">
      <w:pPr>
        <w:autoSpaceDE w:val="0"/>
        <w:autoSpaceDN w:val="0"/>
        <w:adjustRightInd w:val="0"/>
        <w:rPr>
          <w:rFonts w:ascii="Calibri" w:hAnsi="Calibri"/>
          <w:b/>
          <w:i/>
          <w:lang w:val="en-US"/>
        </w:rPr>
      </w:pPr>
      <w:r w:rsidRPr="00431533">
        <w:rPr>
          <w:rFonts w:ascii="Calibri" w:hAnsi="Calibri"/>
          <w:b/>
          <w:i/>
          <w:lang w:val="en-US"/>
        </w:rPr>
        <w:t xml:space="preserve">C) Money Growth Differential </w:t>
      </w:r>
    </w:p>
    <w:p w14:paraId="62A13451" w14:textId="421DC6D2" w:rsidR="009F4F5E" w:rsidRDefault="009F4F5E" w:rsidP="00E54EC0">
      <w:pPr>
        <w:autoSpaceDE w:val="0"/>
        <w:autoSpaceDN w:val="0"/>
        <w:adjustRightInd w:val="0"/>
        <w:rPr>
          <w:rFonts w:ascii="Calibri" w:hAnsi="Calibri"/>
          <w:color w:val="000000" w:themeColor="text1"/>
          <w:lang w:val="en-US"/>
        </w:rPr>
      </w:pPr>
      <w:r w:rsidRPr="009F4F5E">
        <w:rPr>
          <w:rFonts w:ascii="Calibri" w:hAnsi="Calibri"/>
          <w:color w:val="000000" w:themeColor="text1"/>
          <w:lang w:val="en-US"/>
        </w:rPr>
        <w:t>It is derived as the absolute value of the difference between the average annual growth of the money supply over the last five years and the average annual growth of real GDP over the last ten years. M1 figures were used to measure money supply</w:t>
      </w:r>
      <w:r>
        <w:rPr>
          <w:rFonts w:ascii="Calibri" w:hAnsi="Calibri"/>
          <w:color w:val="000000" w:themeColor="text1"/>
          <w:lang w:val="en-US"/>
        </w:rPr>
        <w:t xml:space="preserve"> growth</w:t>
      </w:r>
      <w:r w:rsidRPr="009F4F5E">
        <w:rPr>
          <w:rFonts w:ascii="Calibri" w:hAnsi="Calibri"/>
          <w:color w:val="000000" w:themeColor="text1"/>
          <w:lang w:val="en-US"/>
        </w:rPr>
        <w:t xml:space="preserve">. It has been transformed into index form using the expression </w:t>
      </w:r>
    </w:p>
    <w:p w14:paraId="4B647FF8" w14:textId="401A2A4A" w:rsidR="00431533" w:rsidRPr="00E54EC0" w:rsidRDefault="00431533" w:rsidP="00E54EC0">
      <w:pPr>
        <w:autoSpaceDE w:val="0"/>
        <w:autoSpaceDN w:val="0"/>
        <w:adjustRightInd w:val="0"/>
        <w:rPr>
          <w:rFonts w:ascii="Calibri" w:hAnsi="Calibri"/>
          <w:iCs/>
          <w:lang w:val="en-US"/>
        </w:rPr>
      </w:pPr>
      <w:r w:rsidRPr="00431533">
        <w:rPr>
          <w:rFonts w:ascii="Calibri" w:hAnsi="Calibri"/>
          <w:i/>
          <w:iCs/>
          <w:lang w:val="en-US"/>
        </w:rPr>
        <w:t>I</w:t>
      </w:r>
      <w:r w:rsidRPr="00431533">
        <w:rPr>
          <w:rFonts w:ascii="Calibri" w:hAnsi="Calibri"/>
          <w:bCs/>
          <w:i/>
          <w:vertAlign w:val="subscript"/>
          <w:lang w:val="en-US"/>
        </w:rPr>
        <w:t>ij</w:t>
      </w:r>
      <w:r w:rsidRPr="00431533">
        <w:rPr>
          <w:rFonts w:ascii="Calibri" w:hAnsi="Calibri"/>
          <w:iCs/>
          <w:lang w:val="en-US"/>
        </w:rPr>
        <w:t xml:space="preserve"> = 10*(</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w:t>
      </w:r>
      <w:r w:rsidRPr="00431533">
        <w:rPr>
          <w:rFonts w:ascii="Calibri" w:hAnsi="Calibri"/>
          <w:i/>
          <w:iCs/>
          <w:lang w:val="en-US"/>
        </w:rPr>
        <w:t>V</w:t>
      </w:r>
      <w:r w:rsidRPr="00431533">
        <w:rPr>
          <w:rFonts w:ascii="Calibri" w:hAnsi="Calibri"/>
          <w:bCs/>
          <w:i/>
          <w:vertAlign w:val="subscript"/>
          <w:lang w:val="en-US"/>
        </w:rPr>
        <w:t>MIN</w:t>
      </w:r>
      <w:r w:rsidRPr="00431533">
        <w:rPr>
          <w:rFonts w:ascii="Calibri" w:hAnsi="Calibri"/>
          <w:iCs/>
          <w:lang w:val="en-US"/>
        </w:rPr>
        <w:t>)</w:t>
      </w:r>
      <w:r w:rsidR="00E54EC0">
        <w:rPr>
          <w:rFonts w:ascii="Calibri" w:hAnsi="Calibri"/>
          <w:iCs/>
          <w:lang w:val="en-US"/>
        </w:rPr>
        <w:t>, w</w:t>
      </w:r>
      <w:r w:rsidRPr="00431533">
        <w:rPr>
          <w:rFonts w:ascii="Calibri" w:hAnsi="Calibri"/>
          <w:iCs/>
          <w:lang w:val="en-US"/>
        </w:rPr>
        <w:t xml:space="preserve">here </w:t>
      </w:r>
      <w:r w:rsidRPr="00431533">
        <w:rPr>
          <w:rFonts w:ascii="Calibri" w:hAnsi="Calibri"/>
          <w:i/>
          <w:iCs/>
          <w:lang w:val="en-US"/>
        </w:rPr>
        <w:t>V</w:t>
      </w:r>
      <w:r w:rsidRPr="00431533">
        <w:rPr>
          <w:rFonts w:ascii="Calibri" w:hAnsi="Calibri"/>
          <w:bCs/>
          <w:i/>
          <w:vertAlign w:val="subscript"/>
          <w:lang w:val="en-US"/>
        </w:rPr>
        <w:t>ij</w:t>
      </w:r>
      <w:r w:rsidRPr="00431533">
        <w:rPr>
          <w:rFonts w:ascii="Calibri" w:hAnsi="Calibri"/>
          <w:iCs/>
          <w:lang w:val="en-US"/>
        </w:rPr>
        <w:t xml:space="preserve"> represents the value of country </w:t>
      </w:r>
      <w:r w:rsidR="009F4F5E">
        <w:rPr>
          <w:rFonts w:ascii="Calibri" w:hAnsi="Calibri"/>
          <w:i/>
          <w:iCs/>
          <w:lang w:val="en-US"/>
        </w:rPr>
        <w:t>I</w:t>
      </w:r>
      <w:r w:rsidR="009F4F5E">
        <w:rPr>
          <w:rFonts w:ascii="Calibri" w:hAnsi="Calibri"/>
          <w:lang w:val="en-US"/>
        </w:rPr>
        <w:t>’s</w:t>
      </w:r>
      <w:r w:rsidRPr="00431533">
        <w:rPr>
          <w:rFonts w:ascii="Calibri" w:hAnsi="Calibri"/>
          <w:iCs/>
          <w:lang w:val="en-US"/>
        </w:rPr>
        <w:t xml:space="preserve"> indicator </w:t>
      </w:r>
      <w:r w:rsidR="009F4F5E">
        <w:rPr>
          <w:rFonts w:ascii="Calibri" w:hAnsi="Calibri"/>
          <w:iCs/>
          <w:lang w:val="en-US"/>
        </w:rPr>
        <w:t>in</w:t>
      </w:r>
      <w:r w:rsidRPr="00431533">
        <w:rPr>
          <w:rFonts w:ascii="Calibri" w:hAnsi="Calibri"/>
          <w:iCs/>
          <w:lang w:val="en-US"/>
        </w:rPr>
        <w:t xml:space="preserve"> year </w:t>
      </w:r>
      <w:r w:rsidRPr="00431533">
        <w:rPr>
          <w:rFonts w:ascii="Calibri" w:hAnsi="Calibri"/>
          <w:i/>
          <w:iCs/>
          <w:lang w:val="en-US"/>
        </w:rPr>
        <w:t>j</w:t>
      </w:r>
      <w:r w:rsidR="009F4F5E">
        <w:rPr>
          <w:rFonts w:ascii="Calibri" w:hAnsi="Calibri"/>
          <w:iCs/>
          <w:lang w:val="en-US"/>
        </w:rPr>
        <w:t xml:space="preserve">, </w:t>
      </w:r>
      <w:r w:rsidRPr="00431533">
        <w:rPr>
          <w:rFonts w:ascii="Calibri" w:hAnsi="Calibri"/>
          <w:iCs/>
          <w:lang w:val="en-US"/>
        </w:rPr>
        <w:t xml:space="preserve">and </w:t>
      </w:r>
      <w:r w:rsidRPr="00431533">
        <w:rPr>
          <w:rFonts w:ascii="Calibri" w:hAnsi="Calibri"/>
          <w:i/>
          <w:iCs/>
          <w:lang w:val="en-US"/>
        </w:rPr>
        <w:t>V</w:t>
      </w:r>
      <w:r w:rsidRPr="00431533">
        <w:rPr>
          <w:rFonts w:ascii="Calibri" w:hAnsi="Calibri"/>
          <w:bCs/>
          <w:i/>
          <w:vertAlign w:val="subscript"/>
          <w:lang w:val="en-US"/>
        </w:rPr>
        <w:t>MAX</w:t>
      </w:r>
      <w:r w:rsidRPr="00431533">
        <w:rPr>
          <w:rFonts w:ascii="Calibri" w:hAnsi="Calibri"/>
          <w:iCs/>
          <w:lang w:val="en-US"/>
        </w:rPr>
        <w:t xml:space="preserve"> and </w:t>
      </w:r>
      <w:r w:rsidRPr="00431533">
        <w:rPr>
          <w:rFonts w:ascii="Calibri" w:hAnsi="Calibri"/>
          <w:i/>
          <w:iCs/>
          <w:color w:val="000000" w:themeColor="text1"/>
          <w:lang w:val="en-US"/>
        </w:rPr>
        <w:t>V</w:t>
      </w:r>
      <w:r w:rsidRPr="00431533">
        <w:rPr>
          <w:rFonts w:ascii="Calibri" w:hAnsi="Calibri"/>
          <w:bCs/>
          <w:i/>
          <w:color w:val="000000" w:themeColor="text1"/>
          <w:vertAlign w:val="subscript"/>
          <w:lang w:val="en-US"/>
        </w:rPr>
        <w:t>MIN</w:t>
      </w:r>
      <w:r w:rsidRPr="00431533">
        <w:rPr>
          <w:rFonts w:ascii="Calibri" w:hAnsi="Calibri"/>
          <w:iCs/>
          <w:color w:val="000000" w:themeColor="text1"/>
          <w:lang w:val="en-US"/>
        </w:rPr>
        <w:t xml:space="preserve"> </w:t>
      </w:r>
      <w:r w:rsidR="009F4F5E">
        <w:rPr>
          <w:rFonts w:ascii="Calibri" w:hAnsi="Calibri"/>
          <w:iCs/>
          <w:color w:val="000000" w:themeColor="text1"/>
          <w:lang w:val="en-US"/>
        </w:rPr>
        <w:t xml:space="preserve">denote </w:t>
      </w:r>
      <w:r w:rsidRPr="00431533">
        <w:rPr>
          <w:rFonts w:ascii="Calibri" w:hAnsi="Calibri"/>
          <w:iCs/>
          <w:color w:val="000000" w:themeColor="text1"/>
          <w:lang w:val="en-US"/>
        </w:rPr>
        <w:t>its maximum and minimum values, 50 and 0, respectively.</w:t>
      </w:r>
    </w:p>
    <w:p w14:paraId="698E232F" w14:textId="77777777" w:rsidR="00431533" w:rsidRPr="00431533" w:rsidRDefault="00431533" w:rsidP="00431533">
      <w:pPr>
        <w:autoSpaceDE w:val="0"/>
        <w:autoSpaceDN w:val="0"/>
        <w:adjustRightInd w:val="0"/>
        <w:rPr>
          <w:rFonts w:ascii="Calibri" w:hAnsi="Calibri"/>
          <w:bCs/>
          <w:iCs/>
          <w:color w:val="000000" w:themeColor="text1"/>
          <w:lang w:val="en-US"/>
        </w:rPr>
      </w:pPr>
      <w:r w:rsidRPr="00431533">
        <w:rPr>
          <w:rFonts w:ascii="Calibri" w:hAnsi="Calibri"/>
          <w:color w:val="000000" w:themeColor="text1"/>
          <w:lang w:val="en-US"/>
        </w:rPr>
        <w:t xml:space="preserve">The following national sources, </w:t>
      </w:r>
      <w:r w:rsidRPr="00431533">
        <w:rPr>
          <w:rFonts w:ascii="Calibri" w:hAnsi="Calibri"/>
          <w:iCs/>
          <w:color w:val="000000" w:themeColor="text1"/>
          <w:lang w:val="en-US"/>
        </w:rPr>
        <w:t xml:space="preserve">completed with </w:t>
      </w:r>
      <w:r w:rsidRPr="00431533">
        <w:rPr>
          <w:rFonts w:ascii="Calibri" w:hAnsi="Calibri"/>
          <w:lang w:val="en-US"/>
        </w:rPr>
        <w:t>Jordà-Schularick-Taylor (</w:t>
      </w:r>
      <w:r w:rsidRPr="00431533">
        <w:rPr>
          <w:rFonts w:ascii="Calibri" w:hAnsi="Calibri"/>
          <w:bCs/>
          <w:iCs/>
          <w:color w:val="000000" w:themeColor="text1"/>
          <w:lang w:val="en-US"/>
        </w:rPr>
        <w:t xml:space="preserve">JST) and </w:t>
      </w:r>
      <w:r w:rsidRPr="00431533">
        <w:rPr>
          <w:rFonts w:ascii="Calibri" w:hAnsi="Calibri"/>
          <w:color w:val="000000" w:themeColor="text1"/>
          <w:lang w:val="en-US"/>
        </w:rPr>
        <w:t>Gwartney et al., 2022 (EFW) data</w:t>
      </w:r>
      <w:r w:rsidRPr="00431533">
        <w:rPr>
          <w:rFonts w:ascii="Calibri" w:hAnsi="Calibri"/>
          <w:bCs/>
          <w:iCs/>
          <w:color w:val="000000" w:themeColor="text1"/>
          <w:lang w:val="en-US"/>
        </w:rPr>
        <w:t>sets, have been used:</w:t>
      </w:r>
    </w:p>
    <w:p w14:paraId="0CE8B6F7" w14:textId="77777777" w:rsidR="00431533" w:rsidRPr="00431533" w:rsidRDefault="00431533" w:rsidP="00431533">
      <w:pPr>
        <w:autoSpaceDE w:val="0"/>
        <w:autoSpaceDN w:val="0"/>
        <w:adjustRightInd w:val="0"/>
        <w:rPr>
          <w:rFonts w:ascii="Calibri" w:hAnsi="Calibri"/>
          <w:bCs/>
          <w:iCs/>
          <w:color w:val="000000" w:themeColor="text1"/>
          <w:lang w:val="en-US"/>
        </w:rPr>
      </w:pPr>
    </w:p>
    <w:p w14:paraId="56BFE2FE" w14:textId="77777777" w:rsidR="00431533" w:rsidRPr="00122A0B" w:rsidRDefault="00431533" w:rsidP="00431533">
      <w:pPr>
        <w:autoSpaceDE w:val="0"/>
        <w:autoSpaceDN w:val="0"/>
        <w:adjustRightInd w:val="0"/>
        <w:rPr>
          <w:rFonts w:ascii="Calibri" w:hAnsi="Calibri"/>
          <w:b/>
          <w:i/>
          <w:iCs/>
          <w:color w:val="000000" w:themeColor="text1"/>
          <w:lang w:val="en-US"/>
        </w:rPr>
      </w:pPr>
      <w:r w:rsidRPr="00122A0B">
        <w:rPr>
          <w:rFonts w:ascii="Calibri" w:hAnsi="Calibri"/>
          <w:b/>
          <w:i/>
          <w:iCs/>
          <w:color w:val="000000" w:themeColor="text1"/>
          <w:u w:val="single"/>
          <w:lang w:val="en-US"/>
        </w:rPr>
        <w:t>CPI and GDP Deflator and Volume</w:t>
      </w:r>
      <w:r w:rsidRPr="00122A0B">
        <w:rPr>
          <w:rFonts w:ascii="Calibri" w:hAnsi="Calibri"/>
          <w:b/>
          <w:i/>
          <w:iCs/>
          <w:color w:val="000000" w:themeColor="text1"/>
          <w:lang w:val="en-US"/>
        </w:rPr>
        <w:t xml:space="preserve"> </w:t>
      </w:r>
    </w:p>
    <w:p w14:paraId="1A740C22"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Australia</w:t>
      </w:r>
      <w:r w:rsidRPr="00431533">
        <w:rPr>
          <w:rFonts w:ascii="Calibri" w:hAnsi="Calibri"/>
          <w:bCs/>
          <w:lang w:val="en-US"/>
        </w:rPr>
        <w:t xml:space="preserve">, </w:t>
      </w:r>
      <w:r w:rsidRPr="00431533">
        <w:rPr>
          <w:rFonts w:ascii="Calibri" w:hAnsi="Calibri"/>
          <w:color w:val="000000" w:themeColor="text1"/>
          <w:lang w:val="en-US"/>
        </w:rPr>
        <w:t>Hutchinson and Ploeckl (2022).</w:t>
      </w:r>
    </w:p>
    <w:p w14:paraId="7102305E"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Austria</w:t>
      </w:r>
      <w:r w:rsidRPr="00431533">
        <w:rPr>
          <w:rFonts w:ascii="Calibri" w:hAnsi="Calibri"/>
          <w:bCs/>
          <w:lang w:val="en-US"/>
        </w:rPr>
        <w:t xml:space="preserve">, </w:t>
      </w:r>
      <w:r w:rsidRPr="00431533">
        <w:rPr>
          <w:rFonts w:ascii="Calibri" w:hAnsi="Calibri"/>
          <w:lang w:val="en-US"/>
        </w:rPr>
        <w:t xml:space="preserve">CPI, Reinhart and Rogoff (2011), 1850-63;  Jobst and Scheiber (2014), 1863-1913; </w:t>
      </w:r>
      <w:r w:rsidRPr="00431533">
        <w:rPr>
          <w:rFonts w:ascii="Calibri" w:hAnsi="Calibri"/>
          <w:color w:val="000000" w:themeColor="text1"/>
          <w:lang w:val="en-US"/>
        </w:rPr>
        <w:t>Maddison (1991), 1913-39; IMF, since 1950; OECD, since 2000. GDP deflator, derived from nominal GDP, Mitchell (2008), 1925-37, and IMF, 1950-60, and real GDP, Maddison (2010). 1960 onwards, IMF (1960-70) and OECD (1970-2020).</w:t>
      </w:r>
      <w:r w:rsidRPr="00431533">
        <w:rPr>
          <w:rFonts w:ascii="Calibri" w:hAnsi="Calibri"/>
          <w:bCs/>
          <w:lang w:val="en-US"/>
        </w:rPr>
        <w:t xml:space="preserve"> </w:t>
      </w:r>
      <w:r w:rsidRPr="00431533">
        <w:rPr>
          <w:rFonts w:ascii="Calibri" w:hAnsi="Calibri"/>
          <w:color w:val="000000" w:themeColor="text1"/>
          <w:lang w:val="en-US"/>
        </w:rPr>
        <w:t>Real GDP, Schulze (1997), up to 1913; Maddison (2010), 1913-1990. Conference Board, 1990-2020.</w:t>
      </w:r>
    </w:p>
    <w:p w14:paraId="7C0672F1"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Belgium</w:t>
      </w:r>
      <w:r w:rsidRPr="00431533">
        <w:rPr>
          <w:rFonts w:ascii="Calibri" w:hAnsi="Calibri"/>
          <w:bCs/>
          <w:lang w:val="en-US"/>
        </w:rPr>
        <w:t xml:space="preserve">, </w:t>
      </w:r>
      <w:r w:rsidRPr="00431533">
        <w:rPr>
          <w:rFonts w:ascii="Calibri" w:hAnsi="Calibri"/>
          <w:color w:val="000000" w:themeColor="text1"/>
          <w:lang w:val="en-US"/>
        </w:rPr>
        <w:t>CPI, Maddison (1991), 1850-1939; IMF, 1950-2000; OECD; 2000 onwards.</w:t>
      </w:r>
    </w:p>
    <w:p w14:paraId="1E747DDD" w14:textId="77777777"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color w:val="000000" w:themeColor="text1"/>
          <w:lang w:val="en-US"/>
        </w:rPr>
        <w:t>GDP deflator, 1850-1913, Horlings (1997); 1925-39, average of Buyst (1997), income and expenditure, and Horlings (1997), output deflators; derived from nominal GDP (IMF) and real GDP (Maddison, 2010), 1946-60; OECD, GDP deflator, 1960 onwards. Real GDP, 1850-1913, Horlings (1997); 1925-39, average of Buyst (1997), income and expenditure, and Horlings (1997), output; Maddison (2010) and Conference Board, thereafter.</w:t>
      </w:r>
    </w:p>
    <w:p w14:paraId="760D59EE"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Canada</w:t>
      </w:r>
      <w:r w:rsidRPr="00431533">
        <w:rPr>
          <w:rFonts w:ascii="Calibri" w:hAnsi="Calibri"/>
          <w:bCs/>
          <w:color w:val="000000" w:themeColor="text1"/>
          <w:lang w:val="en-US"/>
        </w:rPr>
        <w:t>, CPI,</w:t>
      </w:r>
      <w:r w:rsidRPr="00431533">
        <w:rPr>
          <w:rFonts w:ascii="Calibri" w:hAnsi="Calibri"/>
          <w:color w:val="000000" w:themeColor="text1"/>
          <w:lang w:val="en-US"/>
        </w:rPr>
        <w:t xml:space="preserve"> Geloso (2019), 1850-2015; OECD, 2015-2020.</w:t>
      </w:r>
      <w:r w:rsidRPr="00431533">
        <w:rPr>
          <w:rFonts w:ascii="Calibri" w:hAnsi="Calibri"/>
          <w:bCs/>
          <w:color w:val="000000" w:themeColor="text1"/>
          <w:lang w:val="en-US"/>
        </w:rPr>
        <w:t xml:space="preserve"> </w:t>
      </w:r>
      <w:r w:rsidRPr="00431533">
        <w:rPr>
          <w:rFonts w:ascii="Calibri" w:hAnsi="Calibri"/>
          <w:color w:val="000000" w:themeColor="text1"/>
          <w:lang w:val="en-US"/>
        </w:rPr>
        <w:t>GDP deflator, Urquhart (1993), 1870-1950; IMF and OECD, since 1950.</w:t>
      </w:r>
      <w:r w:rsidRPr="00431533">
        <w:rPr>
          <w:rFonts w:ascii="Calibri" w:hAnsi="Calibri"/>
          <w:bCs/>
          <w:color w:val="000000" w:themeColor="text1"/>
          <w:lang w:val="en-US"/>
        </w:rPr>
        <w:t xml:space="preserve"> </w:t>
      </w:r>
      <w:r w:rsidRPr="00431533">
        <w:rPr>
          <w:rFonts w:ascii="Calibri" w:hAnsi="Calibri"/>
          <w:lang w:val="en-US"/>
        </w:rPr>
        <w:t>Real GDP</w:t>
      </w:r>
      <w:r w:rsidRPr="00431533">
        <w:rPr>
          <w:rFonts w:ascii="Calibri" w:hAnsi="Calibri"/>
          <w:color w:val="0000FF"/>
          <w:lang w:val="en-US"/>
        </w:rPr>
        <w:t xml:space="preserve">, </w:t>
      </w:r>
      <w:r w:rsidRPr="00431533">
        <w:rPr>
          <w:rFonts w:ascii="Calibri" w:hAnsi="Calibri"/>
          <w:lang w:val="en-US"/>
        </w:rPr>
        <w:t xml:space="preserve">Urquhart (1993), 1870-1939; Maddison (2010) </w:t>
      </w:r>
      <w:r w:rsidRPr="00431533">
        <w:rPr>
          <w:rFonts w:ascii="Calibri" w:hAnsi="Calibri"/>
          <w:color w:val="000000" w:themeColor="text1"/>
          <w:lang w:val="en-US"/>
        </w:rPr>
        <w:t>and Conference Board</w:t>
      </w:r>
      <w:r w:rsidRPr="00431533">
        <w:rPr>
          <w:rFonts w:ascii="Calibri" w:hAnsi="Calibri"/>
          <w:lang w:val="en-US"/>
        </w:rPr>
        <w:t xml:space="preserve"> thereafter.</w:t>
      </w:r>
    </w:p>
    <w:p w14:paraId="793FE6B5"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lastRenderedPageBreak/>
        <w:t>Denmark</w:t>
      </w:r>
      <w:r w:rsidRPr="00431533">
        <w:rPr>
          <w:rFonts w:ascii="Calibri" w:hAnsi="Calibri"/>
          <w:bCs/>
          <w:lang w:val="en-US"/>
        </w:rPr>
        <w:t xml:space="preserve">, </w:t>
      </w:r>
      <w:r w:rsidRPr="00431533">
        <w:rPr>
          <w:rFonts w:ascii="Calibri" w:hAnsi="Calibri"/>
          <w:color w:val="000000" w:themeColor="text1"/>
          <w:lang w:val="en-US"/>
        </w:rPr>
        <w:t>CPI, Mitchell (2008), 1850-70; Maddison (1991), 1870-1950; IMF and OECD, since 1950. GDP deflator, Derived from nominal GDP, Hansen (1974), 1850-1939 and IMF, 1950 onwards, and real GDP from Maddison (2010).</w:t>
      </w:r>
      <w:r w:rsidRPr="00431533">
        <w:rPr>
          <w:rFonts w:ascii="Calibri" w:hAnsi="Calibri"/>
          <w:bCs/>
          <w:lang w:val="en-US"/>
        </w:rPr>
        <w:t xml:space="preserve"> </w:t>
      </w:r>
      <w:r w:rsidRPr="00431533">
        <w:rPr>
          <w:rFonts w:ascii="Calibri" w:hAnsi="Calibri"/>
          <w:color w:val="000000" w:themeColor="text1"/>
          <w:lang w:val="en-US"/>
        </w:rPr>
        <w:t>Real GDP, Maddison (2010), 1850-1990; Conference Board, 1990-2020.</w:t>
      </w:r>
    </w:p>
    <w:p w14:paraId="2382B9A6"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Finland</w:t>
      </w:r>
      <w:r w:rsidRPr="00431533">
        <w:rPr>
          <w:rFonts w:ascii="Calibri" w:hAnsi="Calibri"/>
          <w:bCs/>
          <w:color w:val="000000" w:themeColor="text1"/>
          <w:lang w:val="en-US"/>
        </w:rPr>
        <w:t xml:space="preserve">, </w:t>
      </w:r>
      <w:r w:rsidRPr="00431533">
        <w:rPr>
          <w:rFonts w:ascii="Calibri" w:hAnsi="Calibri"/>
          <w:color w:val="000000" w:themeColor="text1"/>
          <w:lang w:val="en-US"/>
        </w:rPr>
        <w:t>CPI, Heikkinen (1997), 1850-1913;</w:t>
      </w:r>
      <w:r w:rsidRPr="00431533">
        <w:rPr>
          <w:color w:val="000000" w:themeColor="text1"/>
          <w:lang w:val="en-US"/>
        </w:rPr>
        <w:t xml:space="preserve"> </w:t>
      </w:r>
      <w:r w:rsidRPr="00431533">
        <w:rPr>
          <w:rFonts w:ascii="Calibri" w:hAnsi="Calibri"/>
          <w:color w:val="000000" w:themeColor="text1"/>
          <w:lang w:val="en-US"/>
        </w:rPr>
        <w:t>Hjerppe (1996), 1913-50; IMF, 1950-2000; OECD 2000 onwards.</w:t>
      </w:r>
      <w:r w:rsidRPr="00431533">
        <w:rPr>
          <w:rFonts w:ascii="Calibri" w:hAnsi="Calibri"/>
          <w:bCs/>
          <w:color w:val="000000" w:themeColor="text1"/>
          <w:lang w:val="en-US"/>
        </w:rPr>
        <w:t xml:space="preserve"> </w:t>
      </w:r>
      <w:r w:rsidRPr="00431533">
        <w:rPr>
          <w:rFonts w:ascii="Calibri" w:hAnsi="Calibri"/>
          <w:color w:val="000000" w:themeColor="text1"/>
          <w:lang w:val="en-US"/>
        </w:rPr>
        <w:t>GDP deflator, derived from nominal GDP Hjerppe (1996), 1860-1960, and real GDP, Maddison (2010); 1960-2020, OECD</w:t>
      </w:r>
      <w:r w:rsidRPr="00431533">
        <w:rPr>
          <w:rFonts w:ascii="Calibri" w:hAnsi="Calibri"/>
          <w:bCs/>
          <w:color w:val="000000" w:themeColor="text1"/>
          <w:lang w:val="en-US"/>
        </w:rPr>
        <w:t xml:space="preserve">. </w:t>
      </w:r>
      <w:r w:rsidRPr="00431533">
        <w:rPr>
          <w:rFonts w:ascii="Calibri" w:hAnsi="Calibri"/>
          <w:color w:val="000000" w:themeColor="text1"/>
          <w:lang w:val="en-US"/>
        </w:rPr>
        <w:t>Real GDP, Maddison (2010), 1860-1990; Conference Board, 1990-2020.</w:t>
      </w:r>
    </w:p>
    <w:p w14:paraId="6918CD93"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France</w:t>
      </w:r>
      <w:r w:rsidRPr="00431533">
        <w:rPr>
          <w:rFonts w:ascii="Calibri" w:hAnsi="Calibri"/>
          <w:bCs/>
          <w:lang w:val="en-US"/>
        </w:rPr>
        <w:t xml:space="preserve">, </w:t>
      </w:r>
      <w:r w:rsidRPr="00431533">
        <w:rPr>
          <w:rFonts w:ascii="Calibri" w:hAnsi="Calibri"/>
          <w:color w:val="000000" w:themeColor="text1"/>
          <w:lang w:val="en-US"/>
        </w:rPr>
        <w:t>CPI, Lévy-Leboyer and Bourguignon (1985), 1850-1913; Maddison (1991), 1913-50; IMF, 1950-2000; OECD, from 2000 onwards.</w:t>
      </w:r>
      <w:r w:rsidRPr="00431533">
        <w:rPr>
          <w:rFonts w:ascii="Calibri" w:hAnsi="Calibri"/>
          <w:bCs/>
          <w:lang w:val="en-US"/>
        </w:rPr>
        <w:t xml:space="preserve"> </w:t>
      </w:r>
      <w:r w:rsidRPr="00431533">
        <w:rPr>
          <w:rFonts w:ascii="Calibri" w:hAnsi="Calibri"/>
          <w:color w:val="000000" w:themeColor="text1"/>
          <w:lang w:val="en-US"/>
        </w:rPr>
        <w:t>GDP deflator, Toutain (1997), 1850-1950; IMF, 1950-2000; OECD, 2000-2020.</w:t>
      </w:r>
      <w:r w:rsidRPr="00431533">
        <w:rPr>
          <w:rFonts w:ascii="Calibri" w:hAnsi="Calibri"/>
          <w:bCs/>
          <w:lang w:val="en-US"/>
        </w:rPr>
        <w:t xml:space="preserve"> </w:t>
      </w:r>
      <w:r w:rsidRPr="00431533">
        <w:rPr>
          <w:rFonts w:ascii="Calibri" w:hAnsi="Calibri"/>
          <w:color w:val="000000" w:themeColor="text1"/>
          <w:lang w:val="en-US"/>
        </w:rPr>
        <w:t>Real GDP, Toutain (1997), 1820-1913, Maddison (2010), 1924-1990; Conference Board, 1990-2020.</w:t>
      </w:r>
    </w:p>
    <w:p w14:paraId="77936A0C"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Germany</w:t>
      </w:r>
      <w:r w:rsidRPr="00431533">
        <w:rPr>
          <w:rFonts w:ascii="Calibri" w:hAnsi="Calibri"/>
          <w:bCs/>
          <w:lang w:val="en-US"/>
        </w:rPr>
        <w:t xml:space="preserve">, </w:t>
      </w:r>
      <w:r w:rsidRPr="00431533">
        <w:rPr>
          <w:rFonts w:ascii="Calibri" w:hAnsi="Calibri"/>
          <w:lang w:val="en-US"/>
        </w:rPr>
        <w:t xml:space="preserve">CPI, Mitchell (2008), 1850-70; Maddison (1991), 1870-1939; IMF, 1950-93; DeStatis </w:t>
      </w:r>
      <w:hyperlink r:id="rId10" w:history="1">
        <w:r w:rsidRPr="00431533">
          <w:rPr>
            <w:rStyle w:val="Hipervnculo"/>
            <w:rFonts w:ascii="Calibri" w:hAnsi="Calibri"/>
            <w:lang w:val="en-US"/>
          </w:rPr>
          <w:t>www.destatis.de</w:t>
        </w:r>
      </w:hyperlink>
      <w:r w:rsidRPr="00431533">
        <w:rPr>
          <w:rFonts w:ascii="Calibri" w:hAnsi="Calibri"/>
          <w:lang w:val="en-US"/>
        </w:rPr>
        <w:t xml:space="preserve">, </w:t>
      </w:r>
      <w:r w:rsidRPr="00431533">
        <w:rPr>
          <w:rFonts w:ascii="Calibri" w:hAnsi="Calibri"/>
          <w:color w:val="000000" w:themeColor="text1"/>
          <w:lang w:val="en-US"/>
        </w:rPr>
        <w:t>1993-2000; OECD, 2000 onwards.</w:t>
      </w:r>
      <w:r w:rsidRPr="00431533">
        <w:rPr>
          <w:rFonts w:ascii="Calibri" w:hAnsi="Calibri"/>
          <w:bCs/>
          <w:lang w:val="en-US"/>
        </w:rPr>
        <w:t xml:space="preserve"> </w:t>
      </w:r>
      <w:r w:rsidRPr="00431533">
        <w:rPr>
          <w:rFonts w:ascii="Calibri" w:hAnsi="Calibri"/>
          <w:color w:val="000000" w:themeColor="text1"/>
          <w:lang w:val="en-US"/>
        </w:rPr>
        <w:t>GDP deflator, Ritschl and Spoerer (1997), 1901-44; IMF, 1960-2000; OECD, 2000-2020</w:t>
      </w:r>
      <w:r w:rsidRPr="00431533">
        <w:rPr>
          <w:rFonts w:ascii="Calibri" w:hAnsi="Calibri"/>
          <w:bCs/>
          <w:lang w:val="en-US"/>
        </w:rPr>
        <w:t xml:space="preserve">. </w:t>
      </w:r>
      <w:r w:rsidRPr="00431533">
        <w:rPr>
          <w:rFonts w:ascii="Calibri" w:hAnsi="Calibri"/>
          <w:color w:val="000000" w:themeColor="text1"/>
          <w:lang w:val="en-US"/>
        </w:rPr>
        <w:t>Real GDP Burhop and Wolff (2005), 1851-1913; Ritschl and Spoerer (1997), 1913-50; Maddison (2010), 1950-1990; Conference Board, 1990-2020.</w:t>
      </w:r>
    </w:p>
    <w:p w14:paraId="6D5852E8" w14:textId="77777777" w:rsidR="00431533" w:rsidRPr="00431533" w:rsidRDefault="00431533" w:rsidP="00431533">
      <w:pPr>
        <w:autoSpaceDE w:val="0"/>
        <w:autoSpaceDN w:val="0"/>
        <w:adjustRightInd w:val="0"/>
        <w:rPr>
          <w:rFonts w:ascii="Calibri" w:hAnsi="Calibri"/>
          <w:b/>
          <w:lang w:val="en-US"/>
        </w:rPr>
      </w:pPr>
      <w:r w:rsidRPr="00431533">
        <w:rPr>
          <w:rFonts w:ascii="Calibri" w:hAnsi="Calibri"/>
          <w:b/>
          <w:lang w:val="en-US"/>
        </w:rPr>
        <w:t xml:space="preserve">Greece, </w:t>
      </w:r>
      <w:r w:rsidRPr="00431533">
        <w:rPr>
          <w:rFonts w:ascii="Calibri" w:hAnsi="Calibri"/>
          <w:color w:val="000000" w:themeColor="text1"/>
          <w:lang w:val="en-US"/>
        </w:rPr>
        <w:t>CPI, Mitchell (2008), 1914-1939; IMF, 1950-2000; OECD, 2000-2020.</w:t>
      </w:r>
    </w:p>
    <w:p w14:paraId="7071748E" w14:textId="77777777" w:rsidR="00431533" w:rsidRPr="00A274B4" w:rsidRDefault="00431533" w:rsidP="00431533">
      <w:pPr>
        <w:autoSpaceDE w:val="0"/>
        <w:autoSpaceDN w:val="0"/>
        <w:adjustRightInd w:val="0"/>
        <w:rPr>
          <w:rFonts w:ascii="Calibri" w:hAnsi="Calibri"/>
          <w:color w:val="000000" w:themeColor="text1"/>
          <w:lang w:val="en-US"/>
        </w:rPr>
      </w:pPr>
      <w:r w:rsidRPr="00353F3D">
        <w:rPr>
          <w:rFonts w:ascii="Calibri" w:hAnsi="Calibri"/>
          <w:color w:val="000000" w:themeColor="text1"/>
        </w:rPr>
        <w:t xml:space="preserve">GDP deflator, Kostelenos et al. (2007), 1850-1937; UN (1950), 1937-39; IMF, 1950-2000; OECD, 2000-2020. Real GDP  Kostelenos et al. </w:t>
      </w:r>
      <w:r w:rsidRPr="00431533">
        <w:rPr>
          <w:rFonts w:ascii="Calibri" w:hAnsi="Calibri"/>
          <w:color w:val="000000" w:themeColor="text1"/>
          <w:lang w:val="en-US"/>
        </w:rPr>
        <w:t>(2007), 1850-1939; IMF, 1950-1959; Conference Board, 1960-2020</w:t>
      </w:r>
    </w:p>
    <w:p w14:paraId="4B91698A"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Ireland</w:t>
      </w:r>
      <w:r w:rsidRPr="00431533">
        <w:rPr>
          <w:rFonts w:ascii="Calibri" w:hAnsi="Calibri"/>
          <w:bCs/>
          <w:lang w:val="en-US"/>
        </w:rPr>
        <w:t xml:space="preserve">, </w:t>
      </w:r>
      <w:r w:rsidRPr="00431533">
        <w:rPr>
          <w:rFonts w:ascii="Calibri" w:hAnsi="Calibri"/>
          <w:color w:val="000000" w:themeColor="text1"/>
          <w:lang w:val="en-US"/>
        </w:rPr>
        <w:t>CPI, Mitchell (2008), 1914, 1925-33; Gerlach and Stuart (2015), 1933-2000; OECD, 2000-2020.</w:t>
      </w:r>
      <w:r w:rsidRPr="00431533">
        <w:rPr>
          <w:rFonts w:ascii="Calibri" w:hAnsi="Calibri"/>
          <w:bCs/>
          <w:lang w:val="en-US"/>
        </w:rPr>
        <w:t xml:space="preserve"> </w:t>
      </w:r>
      <w:r w:rsidRPr="00431533">
        <w:rPr>
          <w:rFonts w:ascii="Calibri" w:hAnsi="Calibri"/>
          <w:color w:val="000000" w:themeColor="text1"/>
          <w:lang w:val="en-US"/>
        </w:rPr>
        <w:t>GDP deflator, Gerlach and Stuart (2015), 1933-2000; OECD, 2000-2020</w:t>
      </w:r>
      <w:r w:rsidRPr="00431533">
        <w:rPr>
          <w:rFonts w:ascii="Calibri" w:hAnsi="Calibri"/>
          <w:bCs/>
          <w:lang w:val="en-US"/>
        </w:rPr>
        <w:t xml:space="preserve">. </w:t>
      </w:r>
      <w:r w:rsidRPr="00431533">
        <w:rPr>
          <w:rFonts w:ascii="Calibri" w:hAnsi="Calibri"/>
          <w:color w:val="000000" w:themeColor="text1"/>
          <w:lang w:val="en-US"/>
        </w:rPr>
        <w:t>Real GDP, Maddison (2010), 1922-1933; Gerlach and Stuart (2015), 1933-1990; Conference Board, 1990-2020.</w:t>
      </w:r>
    </w:p>
    <w:p w14:paraId="248ABA03" w14:textId="082FC8DF"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Italy</w:t>
      </w:r>
      <w:r w:rsidRPr="00431533">
        <w:rPr>
          <w:rFonts w:ascii="Calibri" w:hAnsi="Calibri"/>
          <w:bCs/>
          <w:color w:val="000000" w:themeColor="text1"/>
          <w:lang w:val="en-US"/>
        </w:rPr>
        <w:t xml:space="preserve">, </w:t>
      </w:r>
      <w:r w:rsidRPr="00431533">
        <w:rPr>
          <w:rFonts w:ascii="Calibri" w:hAnsi="Calibri"/>
          <w:color w:val="000000" w:themeColor="text1"/>
          <w:lang w:val="en-US"/>
        </w:rPr>
        <w:t>CPI, ISTAT, 1861-2011; OECD, 2011-2020.</w:t>
      </w:r>
      <w:r w:rsidRPr="00431533">
        <w:rPr>
          <w:rFonts w:ascii="Calibri" w:hAnsi="Calibri"/>
          <w:bCs/>
          <w:color w:val="000000" w:themeColor="text1"/>
          <w:lang w:val="en-US"/>
        </w:rPr>
        <w:t xml:space="preserve"> </w:t>
      </w:r>
      <w:r w:rsidRPr="00431533">
        <w:rPr>
          <w:rFonts w:ascii="Calibri" w:hAnsi="Calibri"/>
          <w:color w:val="000000" w:themeColor="text1"/>
          <w:lang w:val="en-US"/>
        </w:rPr>
        <w:t>GDP deflator, Baffigi (2013), 1861-2000; OECD, 2000-20.</w:t>
      </w:r>
      <w:r w:rsidRPr="00431533">
        <w:rPr>
          <w:rFonts w:ascii="Calibri" w:hAnsi="Calibri"/>
          <w:bCs/>
          <w:color w:val="000000" w:themeColor="text1"/>
          <w:lang w:val="en-US"/>
        </w:rPr>
        <w:t xml:space="preserve"> </w:t>
      </w:r>
      <w:r w:rsidRPr="00431533">
        <w:rPr>
          <w:rFonts w:ascii="Calibri" w:hAnsi="Calibri"/>
          <w:color w:val="000000" w:themeColor="text1"/>
          <w:lang w:val="en-US"/>
        </w:rPr>
        <w:t>Real GDP, Baffigi (2013), 1861-2000; Conference Board, 2000-</w:t>
      </w:r>
      <w:r w:rsidR="00E54EC0">
        <w:rPr>
          <w:rFonts w:ascii="Calibri" w:hAnsi="Calibri"/>
          <w:color w:val="000000" w:themeColor="text1"/>
          <w:lang w:val="en-US"/>
        </w:rPr>
        <w:t>20</w:t>
      </w:r>
    </w:p>
    <w:p w14:paraId="790EC79F"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Japan</w:t>
      </w:r>
      <w:r w:rsidRPr="00431533">
        <w:rPr>
          <w:rFonts w:ascii="Calibri" w:hAnsi="Calibri"/>
          <w:bCs/>
          <w:color w:val="000000" w:themeColor="text1"/>
          <w:lang w:val="en-US"/>
        </w:rPr>
        <w:t xml:space="preserve">, </w:t>
      </w:r>
      <w:r w:rsidRPr="00431533">
        <w:rPr>
          <w:rFonts w:ascii="Calibri" w:hAnsi="Calibri"/>
          <w:color w:val="000000" w:themeColor="text1"/>
          <w:lang w:val="en-US"/>
        </w:rPr>
        <w:t xml:space="preserve">CPI, Reinhart and Rogoff (2011), 1850-79; Maddison (1991), 1879-1939; IMF, 1950-2000  and OECD, 2000-2020, since 1950. GDP deflator, derived from nominal GDP, Ohkawa and Shinohara (1979), 1885-1951, and IMF, 1951-55, and real GDP (Maddison 2010), 1885-1955; Historical Statistics Japan, 1955-2003; OECD, 2003 onwards. </w:t>
      </w:r>
      <w:r w:rsidRPr="00431533">
        <w:rPr>
          <w:rFonts w:ascii="Calibri" w:hAnsi="Calibri"/>
          <w:lang w:val="en-US"/>
        </w:rPr>
        <w:t>Real GDP, Maddison (2010).</w:t>
      </w:r>
    </w:p>
    <w:p w14:paraId="470D2A5A"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Netherlands</w:t>
      </w:r>
      <w:r w:rsidRPr="00431533">
        <w:rPr>
          <w:rFonts w:ascii="Calibri" w:hAnsi="Calibri"/>
          <w:bCs/>
          <w:color w:val="000000" w:themeColor="text1"/>
          <w:lang w:val="en-US"/>
        </w:rPr>
        <w:t xml:space="preserve">, </w:t>
      </w:r>
      <w:r w:rsidRPr="00431533">
        <w:rPr>
          <w:rFonts w:ascii="Calibri" w:hAnsi="Calibri"/>
          <w:color w:val="000000" w:themeColor="text1"/>
          <w:lang w:val="en-US"/>
        </w:rPr>
        <w:t xml:space="preserve">CPI, Maddison (1991), 1870-1950; IMF, 1950-2000; OECD, 2000-2020. </w:t>
      </w:r>
    </w:p>
    <w:p w14:paraId="5F1EA7D1" w14:textId="77777777" w:rsidR="00431533" w:rsidRPr="00431533" w:rsidRDefault="00431533" w:rsidP="00431533">
      <w:pPr>
        <w:autoSpaceDE w:val="0"/>
        <w:autoSpaceDN w:val="0"/>
        <w:adjustRightInd w:val="0"/>
        <w:rPr>
          <w:rFonts w:ascii="Calibri" w:hAnsi="Calibri"/>
          <w:color w:val="000000" w:themeColor="text1"/>
          <w:lang w:val="en-US"/>
        </w:rPr>
      </w:pPr>
      <w:r w:rsidRPr="00431533">
        <w:rPr>
          <w:rFonts w:ascii="Calibri" w:hAnsi="Calibri"/>
          <w:color w:val="000000" w:themeColor="text1"/>
          <w:lang w:val="en-US"/>
        </w:rPr>
        <w:t>GDP deflator, Smits et al. (2000), 1850-1913; den Bakker et al. (1990), 1925-39; IMF, 1950-60; OECD, 1960-2020. Real GDP, , Smits et al. (2000), 1850-1913; Maddison (2010), 1913-1950; Conference Board, 1950-2020</w:t>
      </w:r>
    </w:p>
    <w:p w14:paraId="3618F70F"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New Zealand</w:t>
      </w:r>
      <w:r w:rsidRPr="00431533">
        <w:rPr>
          <w:rFonts w:ascii="Calibri" w:hAnsi="Calibri"/>
          <w:bCs/>
          <w:color w:val="000000" w:themeColor="text1"/>
          <w:lang w:val="en-US"/>
        </w:rPr>
        <w:t xml:space="preserve">, </w:t>
      </w:r>
      <w:r w:rsidRPr="00431533">
        <w:rPr>
          <w:rFonts w:ascii="Calibri" w:hAnsi="Calibri"/>
          <w:color w:val="000000" w:themeColor="text1"/>
          <w:lang w:val="en-US"/>
        </w:rPr>
        <w:t>CPI, Statistics New Zealand, 1857-2004; OECD, 2004 onwards.</w:t>
      </w:r>
      <w:r w:rsidRPr="00431533">
        <w:rPr>
          <w:rFonts w:ascii="Calibri" w:hAnsi="Calibri"/>
          <w:bCs/>
          <w:color w:val="000000" w:themeColor="text1"/>
          <w:lang w:val="en-US"/>
        </w:rPr>
        <w:t xml:space="preserve"> </w:t>
      </w:r>
      <w:r w:rsidRPr="00431533">
        <w:rPr>
          <w:rFonts w:ascii="Calibri" w:hAnsi="Calibri"/>
          <w:color w:val="000000" w:themeColor="text1"/>
          <w:lang w:val="en-US"/>
        </w:rPr>
        <w:t>GDP deflator, Statistics New Zealand, 1860-2000; OECD, 2000 onwards.</w:t>
      </w:r>
      <w:r w:rsidRPr="00431533">
        <w:rPr>
          <w:rFonts w:ascii="Calibri" w:hAnsi="Calibri"/>
          <w:bCs/>
          <w:color w:val="000000" w:themeColor="text1"/>
          <w:lang w:val="en-US"/>
        </w:rPr>
        <w:t xml:space="preserve"> </w:t>
      </w:r>
      <w:r w:rsidRPr="00431533">
        <w:rPr>
          <w:rFonts w:ascii="Calibri" w:hAnsi="Calibri"/>
          <w:color w:val="000000" w:themeColor="text1"/>
          <w:lang w:val="en-US"/>
        </w:rPr>
        <w:t xml:space="preserve">Real GDP, Statistics New Zealand, 1860-2004; Conference Board, thereafter. </w:t>
      </w:r>
    </w:p>
    <w:p w14:paraId="76CAD722" w14:textId="77777777" w:rsidR="00431533" w:rsidRPr="00431533"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lang w:val="en-US"/>
        </w:rPr>
        <w:t>Norway</w:t>
      </w:r>
      <w:r w:rsidRPr="00431533">
        <w:rPr>
          <w:rFonts w:ascii="Calibri" w:hAnsi="Calibri"/>
          <w:bCs/>
          <w:color w:val="000000" w:themeColor="text1"/>
          <w:lang w:val="en-US"/>
        </w:rPr>
        <w:t xml:space="preserve">, </w:t>
      </w:r>
      <w:r w:rsidRPr="00431533">
        <w:rPr>
          <w:rFonts w:ascii="Calibri" w:hAnsi="Calibri"/>
          <w:color w:val="000000" w:themeColor="text1"/>
          <w:lang w:val="en-US"/>
        </w:rPr>
        <w:t>CPI, GDP deflator, and real GDP, Grytten (2022).</w:t>
      </w:r>
    </w:p>
    <w:p w14:paraId="5EAC27A4" w14:textId="77777777" w:rsidR="00431533" w:rsidRPr="00A274B4" w:rsidRDefault="00431533" w:rsidP="00431533">
      <w:pPr>
        <w:autoSpaceDE w:val="0"/>
        <w:autoSpaceDN w:val="0"/>
        <w:adjustRightInd w:val="0"/>
        <w:rPr>
          <w:rFonts w:ascii="Calibri" w:hAnsi="Calibri"/>
          <w:bCs/>
          <w:color w:val="000000" w:themeColor="text1"/>
          <w:lang w:val="en-US"/>
        </w:rPr>
      </w:pPr>
      <w:r w:rsidRPr="00431533">
        <w:rPr>
          <w:rFonts w:ascii="Calibri" w:hAnsi="Calibri"/>
          <w:b/>
          <w:color w:val="000000" w:themeColor="text1"/>
        </w:rPr>
        <w:t>Portugal</w:t>
      </w:r>
      <w:r w:rsidRPr="00431533">
        <w:rPr>
          <w:rFonts w:ascii="Calibri" w:hAnsi="Calibri"/>
          <w:bCs/>
          <w:color w:val="000000" w:themeColor="text1"/>
        </w:rPr>
        <w:t xml:space="preserve">, </w:t>
      </w:r>
      <w:r w:rsidRPr="00431533">
        <w:rPr>
          <w:rFonts w:ascii="Calibri" w:hAnsi="Calibri"/>
          <w:color w:val="000000" w:themeColor="text1"/>
        </w:rPr>
        <w:t>CPI, Valério (2001), 1850-1939; IMF, since 1950.</w:t>
      </w:r>
      <w:r w:rsidRPr="00431533">
        <w:rPr>
          <w:rFonts w:ascii="Calibri" w:hAnsi="Calibri"/>
          <w:bCs/>
          <w:color w:val="000000" w:themeColor="text1"/>
        </w:rPr>
        <w:t xml:space="preserve"> </w:t>
      </w:r>
      <w:r w:rsidRPr="00431533">
        <w:rPr>
          <w:rFonts w:ascii="Calibri" w:hAnsi="Calibri"/>
          <w:color w:val="000000" w:themeColor="text1"/>
          <w:lang w:val="en-US"/>
        </w:rPr>
        <w:t>GDP deflator and real GDP, Lains (2003), 1850-1910; Batista et al. (1997), 1910-53; Pinheiro (1997), 1953 onwards.</w:t>
      </w:r>
    </w:p>
    <w:p w14:paraId="0D7994D3" w14:textId="77777777" w:rsidR="00431533" w:rsidRPr="00D834B1" w:rsidRDefault="00431533" w:rsidP="00431533">
      <w:pPr>
        <w:autoSpaceDE w:val="0"/>
        <w:autoSpaceDN w:val="0"/>
        <w:adjustRightInd w:val="0"/>
        <w:rPr>
          <w:rFonts w:ascii="Calibri" w:hAnsi="Calibri"/>
          <w:bCs/>
          <w:color w:val="000000" w:themeColor="text1"/>
        </w:rPr>
      </w:pPr>
      <w:r w:rsidRPr="00D834B1">
        <w:rPr>
          <w:rFonts w:ascii="Calibri" w:hAnsi="Calibri"/>
          <w:b/>
          <w:color w:val="000000" w:themeColor="text1"/>
          <w:lang w:val="en-US"/>
        </w:rPr>
        <w:t>Spain</w:t>
      </w:r>
      <w:r w:rsidRPr="00D834B1">
        <w:rPr>
          <w:rFonts w:ascii="Calibri" w:hAnsi="Calibri"/>
          <w:bCs/>
          <w:color w:val="000000" w:themeColor="text1"/>
          <w:lang w:val="en-US"/>
        </w:rPr>
        <w:t xml:space="preserve">, </w:t>
      </w:r>
      <w:r w:rsidRPr="00D834B1">
        <w:rPr>
          <w:rFonts w:ascii="Calibri" w:hAnsi="Calibri"/>
          <w:lang w:val="en-US"/>
        </w:rPr>
        <w:t xml:space="preserve">CPI, Maluquer de Motes (2005, 2006), 1850-2001; INE, </w:t>
      </w:r>
      <w:hyperlink r:id="rId11" w:history="1">
        <w:r w:rsidRPr="00D834B1">
          <w:rPr>
            <w:rStyle w:val="Hipervnculo"/>
            <w:rFonts w:ascii="Calibri" w:hAnsi="Calibri"/>
            <w:lang w:val="en-US"/>
          </w:rPr>
          <w:t>http://www.ine.es/</w:t>
        </w:r>
      </w:hyperlink>
      <w:r w:rsidRPr="00D834B1">
        <w:rPr>
          <w:rFonts w:ascii="Calibri" w:hAnsi="Calibri"/>
          <w:lang w:val="en-US"/>
        </w:rPr>
        <w:t xml:space="preserve">, since 2001. </w:t>
      </w:r>
      <w:r w:rsidRPr="00CF11F4">
        <w:rPr>
          <w:rFonts w:ascii="Calibri" w:hAnsi="Calibri"/>
        </w:rPr>
        <w:t>GDP deflator and real GDP, Prados de la Escosura (20</w:t>
      </w:r>
      <w:r>
        <w:rPr>
          <w:rFonts w:ascii="Calibri" w:hAnsi="Calibri"/>
        </w:rPr>
        <w:t>17</w:t>
      </w:r>
      <w:r w:rsidRPr="00CF11F4">
        <w:rPr>
          <w:rFonts w:ascii="Calibri" w:hAnsi="Calibri"/>
        </w:rPr>
        <w:t>, updated)</w:t>
      </w:r>
    </w:p>
    <w:p w14:paraId="0C4F18C1" w14:textId="77777777" w:rsidR="00431533" w:rsidRPr="00431533" w:rsidRDefault="00431533" w:rsidP="00431533">
      <w:pPr>
        <w:autoSpaceDE w:val="0"/>
        <w:autoSpaceDN w:val="0"/>
        <w:adjustRightInd w:val="0"/>
        <w:rPr>
          <w:rFonts w:ascii="Calibri" w:hAnsi="Calibri"/>
          <w:bCs/>
          <w:lang w:val="en-US"/>
        </w:rPr>
      </w:pPr>
      <w:r w:rsidRPr="00431533">
        <w:rPr>
          <w:rFonts w:ascii="Calibri" w:hAnsi="Calibri"/>
          <w:b/>
          <w:lang w:val="en-US"/>
        </w:rPr>
        <w:t>Sweden</w:t>
      </w:r>
      <w:r w:rsidRPr="00431533">
        <w:rPr>
          <w:rFonts w:ascii="Calibri" w:hAnsi="Calibri"/>
          <w:bCs/>
          <w:lang w:val="en-US"/>
        </w:rPr>
        <w:t xml:space="preserve">, </w:t>
      </w:r>
      <w:r w:rsidRPr="00431533">
        <w:rPr>
          <w:rFonts w:ascii="Calibri" w:hAnsi="Calibri"/>
          <w:lang w:val="en-US"/>
        </w:rPr>
        <w:t>CPI, Edvinsson and Söderberg (2007), 1850-2006; Statistics_Sweden, 2007</w:t>
      </w:r>
    </w:p>
    <w:p w14:paraId="51755D22" w14:textId="77777777" w:rsidR="00431533" w:rsidRPr="00431533" w:rsidRDefault="00431533" w:rsidP="00431533">
      <w:pPr>
        <w:autoSpaceDE w:val="0"/>
        <w:autoSpaceDN w:val="0"/>
        <w:adjustRightInd w:val="0"/>
        <w:rPr>
          <w:rFonts w:ascii="Calibri" w:hAnsi="Calibri"/>
          <w:lang w:val="en-US"/>
        </w:rPr>
      </w:pPr>
      <w:r w:rsidRPr="00431533">
        <w:rPr>
          <w:rFonts w:ascii="Calibri" w:hAnsi="Calibri"/>
          <w:lang w:val="en-US"/>
        </w:rPr>
        <w:t>GDP deflator and real GDP, Schön and Krantz (2012)</w:t>
      </w:r>
    </w:p>
    <w:p w14:paraId="1E82C3F6"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Switzerland</w:t>
      </w:r>
      <w:r w:rsidRPr="007C05E5">
        <w:rPr>
          <w:rFonts w:ascii="Calibri" w:hAnsi="Calibri"/>
          <w:bCs/>
          <w:color w:val="000000" w:themeColor="text1"/>
          <w:lang w:val="en-US"/>
        </w:rPr>
        <w:t xml:space="preserve">, </w:t>
      </w:r>
      <w:r w:rsidRPr="007C05E5">
        <w:rPr>
          <w:rFonts w:ascii="Calibri" w:hAnsi="Calibri"/>
          <w:color w:val="000000" w:themeColor="text1"/>
          <w:lang w:val="en-US"/>
        </w:rPr>
        <w:t>CPI, Historical Statistics Switzerland, 1850-2000; OECD, 2000-2020.</w:t>
      </w:r>
    </w:p>
    <w:p w14:paraId="19A46958" w14:textId="77777777" w:rsidR="00431533" w:rsidRPr="007C05E5" w:rsidRDefault="00431533" w:rsidP="00431533">
      <w:pPr>
        <w:autoSpaceDE w:val="0"/>
        <w:autoSpaceDN w:val="0"/>
        <w:adjustRightInd w:val="0"/>
        <w:rPr>
          <w:rFonts w:ascii="Calibri" w:hAnsi="Calibri"/>
          <w:color w:val="000000" w:themeColor="text1"/>
          <w:lang w:val="en-US"/>
        </w:rPr>
      </w:pPr>
      <w:r w:rsidRPr="007C05E5">
        <w:rPr>
          <w:rFonts w:ascii="Calibri" w:hAnsi="Calibri"/>
          <w:color w:val="000000" w:themeColor="text1"/>
          <w:lang w:val="en-US"/>
        </w:rPr>
        <w:lastRenderedPageBreak/>
        <w:t>GDP deflator, Historical Statistics Switzerland, 1851-2000; OECD, 2001-2020. Real GDP, Historical Statistics Switzerland, 1851-2000; Conference Board, 2000-2020.</w:t>
      </w:r>
    </w:p>
    <w:p w14:paraId="536A188E"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United Kingdom</w:t>
      </w:r>
      <w:r w:rsidRPr="007C05E5">
        <w:rPr>
          <w:rFonts w:ascii="Calibri" w:hAnsi="Calibri"/>
          <w:bCs/>
          <w:color w:val="000000" w:themeColor="text1"/>
          <w:lang w:val="en-US"/>
        </w:rPr>
        <w:t xml:space="preserve">, </w:t>
      </w:r>
      <w:r w:rsidRPr="007C05E5">
        <w:rPr>
          <w:rFonts w:ascii="Calibri" w:hAnsi="Calibri"/>
          <w:color w:val="000000" w:themeColor="text1"/>
          <w:lang w:val="en-US"/>
        </w:rPr>
        <w:t>CPI, Hills et al. (2010), 1850-2000; OECD, 2000-2020 and GDP deflator, Hills et al. (2010), 1830-2000; OECD, 2000-2020.</w:t>
      </w:r>
      <w:r w:rsidRPr="007C05E5">
        <w:rPr>
          <w:rFonts w:ascii="Calibri" w:hAnsi="Calibri"/>
          <w:bCs/>
          <w:color w:val="000000" w:themeColor="text1"/>
          <w:lang w:val="en-US"/>
        </w:rPr>
        <w:t xml:space="preserve"> </w:t>
      </w:r>
      <w:r w:rsidRPr="007C05E5">
        <w:rPr>
          <w:rFonts w:ascii="Calibri" w:hAnsi="Calibri"/>
          <w:color w:val="000000" w:themeColor="text1"/>
          <w:lang w:val="en-US"/>
        </w:rPr>
        <w:t>Real GDP, Hills et al. (2010),  1830-2000; Conference Board, 2000-2020</w:t>
      </w:r>
    </w:p>
    <w:p w14:paraId="408246E0" w14:textId="2C39C358" w:rsidR="00431533" w:rsidRDefault="00431533" w:rsidP="00431533">
      <w:pPr>
        <w:autoSpaceDE w:val="0"/>
        <w:autoSpaceDN w:val="0"/>
        <w:adjustRightInd w:val="0"/>
        <w:rPr>
          <w:rFonts w:ascii="Calibri" w:hAnsi="Calibri"/>
          <w:lang w:val="en-US"/>
        </w:rPr>
      </w:pPr>
      <w:r w:rsidRPr="007C05E5">
        <w:rPr>
          <w:rFonts w:ascii="Calibri" w:hAnsi="Calibri"/>
          <w:b/>
          <w:lang w:val="en-US"/>
        </w:rPr>
        <w:t>United States</w:t>
      </w:r>
      <w:r w:rsidRPr="007C05E5">
        <w:rPr>
          <w:rFonts w:ascii="Calibri" w:hAnsi="Calibri"/>
          <w:lang w:val="en-US"/>
        </w:rPr>
        <w:t>, Williamson (2022).</w:t>
      </w:r>
    </w:p>
    <w:p w14:paraId="0D234786" w14:textId="77777777" w:rsidR="005A32D2" w:rsidRPr="00E54EC0" w:rsidRDefault="005A32D2" w:rsidP="00431533">
      <w:pPr>
        <w:autoSpaceDE w:val="0"/>
        <w:autoSpaceDN w:val="0"/>
        <w:adjustRightInd w:val="0"/>
        <w:rPr>
          <w:rFonts w:ascii="Calibri" w:hAnsi="Calibri"/>
          <w:lang w:val="en-US"/>
        </w:rPr>
      </w:pPr>
    </w:p>
    <w:p w14:paraId="60E5D16B" w14:textId="77777777" w:rsidR="00431533" w:rsidRPr="007C05E5" w:rsidRDefault="00431533" w:rsidP="00431533">
      <w:pPr>
        <w:autoSpaceDE w:val="0"/>
        <w:autoSpaceDN w:val="0"/>
        <w:adjustRightInd w:val="0"/>
        <w:rPr>
          <w:rFonts w:ascii="Calibri" w:hAnsi="Calibri"/>
          <w:b/>
          <w:color w:val="000000" w:themeColor="text1"/>
          <w:u w:val="single"/>
          <w:lang w:val="en-US"/>
        </w:rPr>
      </w:pPr>
      <w:r w:rsidRPr="007C05E5">
        <w:rPr>
          <w:rFonts w:ascii="Calibri" w:hAnsi="Calibri"/>
          <w:b/>
          <w:color w:val="000000" w:themeColor="text1"/>
          <w:u w:val="single"/>
          <w:lang w:val="en-US"/>
        </w:rPr>
        <w:t>Area 4 International Openness</w:t>
      </w:r>
    </w:p>
    <w:p w14:paraId="6B9FF21A" w14:textId="7AAB52F8" w:rsidR="00431533" w:rsidRPr="007C05E5" w:rsidRDefault="00431533" w:rsidP="00431533">
      <w:pPr>
        <w:autoSpaceDE w:val="0"/>
        <w:autoSpaceDN w:val="0"/>
        <w:adjustRightInd w:val="0"/>
        <w:rPr>
          <w:rFonts w:ascii="Calibri" w:hAnsi="Calibri"/>
          <w:bCs/>
          <w:iCs/>
          <w:color w:val="000000" w:themeColor="text1"/>
          <w:lang w:val="en-US"/>
        </w:rPr>
      </w:pPr>
      <w:r w:rsidRPr="007C05E5">
        <w:rPr>
          <w:rFonts w:ascii="Calibri" w:hAnsi="Calibri"/>
          <w:b/>
          <w:i/>
          <w:color w:val="000000" w:themeColor="text1"/>
          <w:lang w:val="en-US"/>
        </w:rPr>
        <w:t xml:space="preserve">A ) Tariffs. </w:t>
      </w:r>
      <w:r w:rsidRPr="007C05E5">
        <w:rPr>
          <w:rFonts w:ascii="Calibri" w:hAnsi="Calibri"/>
          <w:bCs/>
          <w:iCs/>
          <w:color w:val="000000" w:themeColor="text1"/>
          <w:lang w:val="en-US"/>
        </w:rPr>
        <w:t xml:space="preserve">Weighted nominal protection </w:t>
      </w:r>
      <w:r w:rsidR="00DC1494">
        <w:rPr>
          <w:rFonts w:ascii="Calibri" w:hAnsi="Calibri"/>
          <w:bCs/>
          <w:iCs/>
          <w:color w:val="000000" w:themeColor="text1"/>
          <w:lang w:val="en-US"/>
        </w:rPr>
        <w:t xml:space="preserve">is </w:t>
      </w:r>
      <w:r w:rsidRPr="007C05E5">
        <w:rPr>
          <w:rFonts w:ascii="Calibri" w:hAnsi="Calibri"/>
          <w:bCs/>
          <w:iCs/>
          <w:color w:val="000000" w:themeColor="text1"/>
          <w:lang w:val="en-US"/>
        </w:rPr>
        <w:t>measured as the ratio of total tariff revenue to the value of total exports and imports</w:t>
      </w:r>
      <w:r w:rsidR="00DC1494">
        <w:rPr>
          <w:rFonts w:ascii="Calibri" w:hAnsi="Calibri"/>
          <w:bCs/>
          <w:iCs/>
          <w:color w:val="000000" w:themeColor="text1"/>
          <w:lang w:val="en-US"/>
        </w:rPr>
        <w:t>.</w:t>
      </w:r>
    </w:p>
    <w:p w14:paraId="6F6B272B" w14:textId="0A9C057E" w:rsidR="00431533" w:rsidRPr="00E54EC0" w:rsidRDefault="00DC1494" w:rsidP="00E54EC0">
      <w:pPr>
        <w:autoSpaceDE w:val="0"/>
        <w:autoSpaceDN w:val="0"/>
        <w:adjustRightInd w:val="0"/>
        <w:ind w:firstLine="709"/>
        <w:rPr>
          <w:rFonts w:ascii="Calibri" w:hAnsi="Calibri"/>
          <w:b/>
          <w:i/>
          <w:iCs/>
          <w:lang w:val="en-US"/>
        </w:rPr>
      </w:pPr>
      <w:r w:rsidRPr="00DC1494">
        <w:rPr>
          <w:rFonts w:ascii="Calibri" w:hAnsi="Calibri"/>
          <w:iCs/>
          <w:lang w:val="en-US"/>
        </w:rPr>
        <w:t>As the indicator’s value is inversely related to the degree of economic freedom, it has been converted into an index using the expression</w:t>
      </w:r>
      <w:r w:rsidRPr="00DC1494">
        <w:rPr>
          <w:rFonts w:ascii="Calibri" w:hAnsi="Calibri"/>
          <w:iCs/>
          <w:lang w:val="en-US"/>
        </w:rPr>
        <w:br/>
      </w:r>
      <w:r w:rsidR="00431533" w:rsidRPr="007C05E5">
        <w:rPr>
          <w:rFonts w:ascii="Calibri" w:hAnsi="Calibri"/>
          <w:iCs/>
          <w:lang w:val="en-US"/>
        </w:rPr>
        <w:t xml:space="preserve"> </w:t>
      </w:r>
      <w:r w:rsidR="00431533" w:rsidRPr="007C05E5">
        <w:rPr>
          <w:rFonts w:ascii="Calibri" w:hAnsi="Calibri"/>
          <w:i/>
          <w:iCs/>
          <w:lang w:val="en-US"/>
        </w:rPr>
        <w:t>I</w:t>
      </w:r>
      <w:r w:rsidR="00431533" w:rsidRPr="007C05E5">
        <w:rPr>
          <w:rFonts w:ascii="Calibri" w:hAnsi="Calibri"/>
          <w:bCs/>
          <w:i/>
          <w:vertAlign w:val="subscript"/>
          <w:lang w:val="en-US"/>
        </w:rPr>
        <w:t>ij</w:t>
      </w:r>
      <w:r w:rsidR="00431533" w:rsidRPr="007C05E5">
        <w:rPr>
          <w:rFonts w:ascii="Calibri" w:hAnsi="Calibri"/>
          <w:iCs/>
          <w:lang w:val="en-US"/>
        </w:rPr>
        <w:t xml:space="preserve"> = 10*(</w:t>
      </w:r>
      <w:r w:rsidR="00431533" w:rsidRPr="007C05E5">
        <w:rPr>
          <w:rFonts w:ascii="Calibri" w:hAnsi="Calibri"/>
          <w:i/>
          <w:iCs/>
          <w:lang w:val="en-US"/>
        </w:rPr>
        <w:t>V</w:t>
      </w:r>
      <w:r w:rsidR="00431533" w:rsidRPr="007C05E5">
        <w:rPr>
          <w:rFonts w:ascii="Calibri" w:hAnsi="Calibri"/>
          <w:bCs/>
          <w:i/>
          <w:vertAlign w:val="subscript"/>
          <w:lang w:val="en-US"/>
        </w:rPr>
        <w:t>MAX</w:t>
      </w:r>
      <w:r w:rsidR="00431533" w:rsidRPr="007C05E5">
        <w:rPr>
          <w:rFonts w:ascii="Calibri" w:hAnsi="Calibri"/>
          <w:iCs/>
          <w:lang w:val="en-US"/>
        </w:rPr>
        <w:t xml:space="preserve"> –</w:t>
      </w:r>
      <w:r w:rsidR="00431533" w:rsidRPr="007C05E5">
        <w:rPr>
          <w:rFonts w:ascii="Calibri" w:hAnsi="Calibri"/>
          <w:i/>
          <w:iCs/>
          <w:lang w:val="en-US"/>
        </w:rPr>
        <w:t>V</w:t>
      </w:r>
      <w:r w:rsidR="00431533" w:rsidRPr="007C05E5">
        <w:rPr>
          <w:rFonts w:ascii="Calibri" w:hAnsi="Calibri"/>
          <w:bCs/>
          <w:i/>
          <w:vertAlign w:val="subscript"/>
          <w:lang w:val="en-US"/>
        </w:rPr>
        <w:t>ij</w:t>
      </w:r>
      <w:r w:rsidR="00431533" w:rsidRPr="007C05E5">
        <w:rPr>
          <w:rFonts w:ascii="Calibri" w:hAnsi="Calibri"/>
          <w:iCs/>
          <w:lang w:val="en-US"/>
        </w:rPr>
        <w:t>) /(</w:t>
      </w:r>
      <w:r w:rsidR="00431533" w:rsidRPr="007C05E5">
        <w:rPr>
          <w:rFonts w:ascii="Calibri" w:hAnsi="Calibri"/>
          <w:i/>
          <w:iCs/>
          <w:lang w:val="en-US"/>
        </w:rPr>
        <w:t>V</w:t>
      </w:r>
      <w:r w:rsidR="00431533" w:rsidRPr="007C05E5">
        <w:rPr>
          <w:rFonts w:ascii="Calibri" w:hAnsi="Calibri"/>
          <w:bCs/>
          <w:i/>
          <w:vertAlign w:val="subscript"/>
          <w:lang w:val="en-US"/>
        </w:rPr>
        <w:t>MAX</w:t>
      </w:r>
      <w:r w:rsidR="00431533" w:rsidRPr="007C05E5">
        <w:rPr>
          <w:rFonts w:ascii="Calibri" w:hAnsi="Calibri"/>
          <w:iCs/>
          <w:lang w:val="en-US"/>
        </w:rPr>
        <w:t xml:space="preserve">- </w:t>
      </w:r>
      <w:r w:rsidR="00431533" w:rsidRPr="007C05E5">
        <w:rPr>
          <w:rFonts w:ascii="Calibri" w:hAnsi="Calibri"/>
          <w:i/>
          <w:iCs/>
          <w:lang w:val="en-US"/>
        </w:rPr>
        <w:t>V</w:t>
      </w:r>
      <w:r w:rsidR="00431533" w:rsidRPr="007C05E5">
        <w:rPr>
          <w:rFonts w:ascii="Calibri" w:hAnsi="Calibri"/>
          <w:bCs/>
          <w:i/>
          <w:vertAlign w:val="subscript"/>
          <w:lang w:val="en-US"/>
        </w:rPr>
        <w:t>MIN</w:t>
      </w:r>
      <w:r w:rsidR="00431533" w:rsidRPr="007C05E5">
        <w:rPr>
          <w:rFonts w:ascii="Calibri" w:hAnsi="Calibri"/>
          <w:iCs/>
          <w:lang w:val="en-US"/>
        </w:rPr>
        <w:t>)</w:t>
      </w:r>
      <w:r w:rsidR="00E54EC0">
        <w:rPr>
          <w:rFonts w:ascii="Calibri" w:hAnsi="Calibri"/>
          <w:iCs/>
          <w:lang w:val="en-US"/>
        </w:rPr>
        <w:t>, w</w:t>
      </w:r>
      <w:r w:rsidR="00431533" w:rsidRPr="007C05E5">
        <w:rPr>
          <w:rFonts w:ascii="Calibri" w:hAnsi="Calibri"/>
          <w:iCs/>
          <w:lang w:val="en-US"/>
        </w:rPr>
        <w:t xml:space="preserve">here </w:t>
      </w:r>
      <w:r w:rsidR="00431533" w:rsidRPr="007C05E5">
        <w:rPr>
          <w:rFonts w:ascii="Calibri" w:hAnsi="Calibri"/>
          <w:i/>
          <w:iCs/>
          <w:lang w:val="en-US"/>
        </w:rPr>
        <w:t>V</w:t>
      </w:r>
      <w:r w:rsidR="00431533" w:rsidRPr="007C05E5">
        <w:rPr>
          <w:rFonts w:ascii="Calibri" w:hAnsi="Calibri"/>
          <w:bCs/>
          <w:i/>
          <w:vertAlign w:val="subscript"/>
          <w:lang w:val="en-US"/>
        </w:rPr>
        <w:t>ij</w:t>
      </w:r>
      <w:r w:rsidR="00431533" w:rsidRPr="007C05E5">
        <w:rPr>
          <w:rFonts w:ascii="Calibri" w:hAnsi="Calibri"/>
          <w:iCs/>
          <w:lang w:val="en-US"/>
        </w:rPr>
        <w:t xml:space="preserve"> represents the value of country </w:t>
      </w:r>
      <w:r>
        <w:rPr>
          <w:rFonts w:ascii="Calibri" w:hAnsi="Calibri"/>
          <w:i/>
          <w:iCs/>
          <w:lang w:val="en-US"/>
        </w:rPr>
        <w:t>I</w:t>
      </w:r>
      <w:r>
        <w:rPr>
          <w:rFonts w:ascii="Calibri" w:hAnsi="Calibri"/>
          <w:lang w:val="en-US"/>
        </w:rPr>
        <w:t>’s</w:t>
      </w:r>
      <w:r w:rsidR="00431533" w:rsidRPr="007C05E5">
        <w:rPr>
          <w:rFonts w:ascii="Calibri" w:hAnsi="Calibri"/>
          <w:iCs/>
          <w:lang w:val="en-US"/>
        </w:rPr>
        <w:t xml:space="preserve"> indicator </w:t>
      </w:r>
      <w:r>
        <w:rPr>
          <w:rFonts w:ascii="Calibri" w:hAnsi="Calibri"/>
          <w:iCs/>
          <w:lang w:val="en-US"/>
        </w:rPr>
        <w:t>in</w:t>
      </w:r>
      <w:r w:rsidR="00431533" w:rsidRPr="007C05E5">
        <w:rPr>
          <w:rFonts w:ascii="Calibri" w:hAnsi="Calibri"/>
          <w:iCs/>
          <w:lang w:val="en-US"/>
        </w:rPr>
        <w:t xml:space="preserve"> year </w:t>
      </w:r>
      <w:r w:rsidR="00431533" w:rsidRPr="007C05E5">
        <w:rPr>
          <w:rFonts w:ascii="Calibri" w:hAnsi="Calibri"/>
          <w:i/>
          <w:iCs/>
          <w:lang w:val="en-US"/>
        </w:rPr>
        <w:t>j</w:t>
      </w:r>
      <w:r>
        <w:rPr>
          <w:rFonts w:ascii="Calibri" w:hAnsi="Calibri"/>
          <w:lang w:val="en-US"/>
        </w:rPr>
        <w:t>,</w:t>
      </w:r>
      <w:r w:rsidR="00431533" w:rsidRPr="007C05E5">
        <w:rPr>
          <w:rFonts w:ascii="Calibri" w:hAnsi="Calibri"/>
          <w:iCs/>
          <w:lang w:val="en-US"/>
        </w:rPr>
        <w:t xml:space="preserve"> and </w:t>
      </w:r>
      <w:r w:rsidR="00431533" w:rsidRPr="007C05E5">
        <w:rPr>
          <w:rFonts w:ascii="Calibri" w:hAnsi="Calibri"/>
          <w:i/>
          <w:iCs/>
          <w:lang w:val="en-US"/>
        </w:rPr>
        <w:t>V</w:t>
      </w:r>
      <w:r w:rsidR="00431533" w:rsidRPr="007C05E5">
        <w:rPr>
          <w:rFonts w:ascii="Calibri" w:hAnsi="Calibri"/>
          <w:bCs/>
          <w:i/>
          <w:vertAlign w:val="subscript"/>
          <w:lang w:val="en-US"/>
        </w:rPr>
        <w:t>MAX</w:t>
      </w:r>
      <w:r w:rsidR="00431533" w:rsidRPr="007C05E5">
        <w:rPr>
          <w:rFonts w:ascii="Calibri" w:hAnsi="Calibri"/>
          <w:iCs/>
          <w:lang w:val="en-US"/>
        </w:rPr>
        <w:t xml:space="preserve"> and </w:t>
      </w:r>
      <w:r w:rsidR="00431533" w:rsidRPr="007C05E5">
        <w:rPr>
          <w:rFonts w:ascii="Calibri" w:hAnsi="Calibri"/>
          <w:i/>
          <w:iCs/>
          <w:color w:val="000000" w:themeColor="text1"/>
          <w:lang w:val="en-US"/>
        </w:rPr>
        <w:t>V</w:t>
      </w:r>
      <w:r w:rsidR="00431533" w:rsidRPr="007C05E5">
        <w:rPr>
          <w:rFonts w:ascii="Calibri" w:hAnsi="Calibri"/>
          <w:bCs/>
          <w:i/>
          <w:color w:val="000000" w:themeColor="text1"/>
          <w:vertAlign w:val="subscript"/>
          <w:lang w:val="en-US"/>
        </w:rPr>
        <w:t>MIN</w:t>
      </w:r>
      <w:r w:rsidR="00431533" w:rsidRPr="007C05E5">
        <w:rPr>
          <w:rFonts w:ascii="Calibri" w:hAnsi="Calibri"/>
          <w:iCs/>
          <w:color w:val="000000" w:themeColor="text1"/>
          <w:lang w:val="en-US"/>
        </w:rPr>
        <w:t xml:space="preserve"> its maximum and minimum values </w:t>
      </w:r>
      <w:r w:rsidR="00431533" w:rsidRPr="007C05E5">
        <w:rPr>
          <w:rFonts w:ascii="Calibri" w:hAnsi="Calibri"/>
          <w:color w:val="000000" w:themeColor="text1"/>
          <w:lang w:val="en-US"/>
        </w:rPr>
        <w:t>set at 30 and 0</w:t>
      </w:r>
    </w:p>
    <w:p w14:paraId="7CCA8C69" w14:textId="1E8B747D" w:rsidR="00431533" w:rsidRPr="007C05E5" w:rsidRDefault="00431533" w:rsidP="00431533">
      <w:pPr>
        <w:autoSpaceDE w:val="0"/>
        <w:autoSpaceDN w:val="0"/>
        <w:adjustRightInd w:val="0"/>
        <w:rPr>
          <w:rFonts w:ascii="Calibri" w:hAnsi="Calibri"/>
          <w:color w:val="000000" w:themeColor="text1"/>
          <w:lang w:val="en-US"/>
        </w:rPr>
      </w:pPr>
      <w:r w:rsidRPr="007C05E5">
        <w:rPr>
          <w:rFonts w:ascii="Calibri" w:hAnsi="Calibri"/>
          <w:color w:val="000000" w:themeColor="text1"/>
          <w:lang w:val="en-US"/>
        </w:rPr>
        <w:t>Data from Mitchell (2008) and World Bank (2013)</w:t>
      </w:r>
      <w:r w:rsidRPr="007C05E5">
        <w:rPr>
          <w:color w:val="000000" w:themeColor="text1"/>
          <w:lang w:val="en-US"/>
        </w:rPr>
        <w:t xml:space="preserve"> </w:t>
      </w:r>
      <w:r w:rsidRPr="007C05E5">
        <w:rPr>
          <w:rFonts w:ascii="Calibri" w:hAnsi="Calibri"/>
          <w:color w:val="000000" w:themeColor="text1"/>
          <w:lang w:val="en-US"/>
        </w:rPr>
        <w:t>for the post-1970 era were complemented, when necessary, with national sources and EFW since 1999.</w:t>
      </w:r>
    </w:p>
    <w:p w14:paraId="017998A7"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Australia</w:t>
      </w:r>
      <w:r w:rsidRPr="007C05E5">
        <w:rPr>
          <w:rFonts w:ascii="Calibri" w:hAnsi="Calibri"/>
          <w:bCs/>
          <w:lang w:val="en-US"/>
        </w:rPr>
        <w:t xml:space="preserve">, </w:t>
      </w:r>
      <w:r w:rsidRPr="007C05E5">
        <w:rPr>
          <w:rFonts w:ascii="Calibri" w:hAnsi="Calibri"/>
          <w:lang w:val="en-US"/>
        </w:rPr>
        <w:t>Vamplew (1987), 1850-1900; Mitchell (2008), post-1900.</w:t>
      </w:r>
    </w:p>
    <w:p w14:paraId="17660C41" w14:textId="77777777" w:rsidR="00DC1494" w:rsidRDefault="00431533" w:rsidP="00431533">
      <w:pPr>
        <w:autoSpaceDE w:val="0"/>
        <w:autoSpaceDN w:val="0"/>
        <w:adjustRightInd w:val="0"/>
        <w:rPr>
          <w:rFonts w:ascii="Calibri" w:hAnsi="Calibri"/>
          <w:lang w:val="en-US"/>
        </w:rPr>
      </w:pPr>
      <w:r w:rsidRPr="007C05E5">
        <w:rPr>
          <w:rFonts w:ascii="Calibri" w:hAnsi="Calibri"/>
          <w:b/>
          <w:lang w:val="en-US"/>
        </w:rPr>
        <w:t>Austria</w:t>
      </w:r>
      <w:r w:rsidRPr="007C05E5">
        <w:rPr>
          <w:rFonts w:ascii="Calibri" w:hAnsi="Calibri"/>
          <w:bCs/>
          <w:lang w:val="en-US"/>
        </w:rPr>
        <w:t xml:space="preserve">, </w:t>
      </w:r>
      <w:r w:rsidR="00DC1494" w:rsidRPr="00DC1494">
        <w:rPr>
          <w:rFonts w:ascii="Calibri" w:hAnsi="Calibri"/>
          <w:lang w:val="en-US"/>
        </w:rPr>
        <w:t xml:space="preserve">Trade, crude computations from data on the share of Imperial Austria in Austria-Hungary trade, derived from Eddie (1980) for 1880-1913 and extended back to 1850. Eddie (1980) provides Imperial Austria’s share in Austria-Hungary trade, and therefore trade by Imperial Austria can be derived, which includes re-exports to and from Hungary. Eddie presents shares of Austria in Hungary’s trade, so Austrian trade with the rest of the World can be computed. A difficulty arises regarding the share of Austrian trade with Hungary that represents domestic exports and retained or net imports, not just re-exports. Given the lack of information, I decided to consider re-exports negligible and to attribute all the trade between Imperial Austria and Hungary to domestic exports and retained imports. The computed share of Austria in Austria-Hungary trade for 1880 was applied to trade figures for the Dual Monarchy in earlier years to derive Austrian exports and imports back to 1850. </w:t>
      </w:r>
    </w:p>
    <w:p w14:paraId="644A672F" w14:textId="47475A75"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France</w:t>
      </w:r>
      <w:r w:rsidRPr="007C05E5">
        <w:rPr>
          <w:rFonts w:ascii="Calibri" w:hAnsi="Calibri"/>
          <w:bCs/>
          <w:lang w:val="en-US"/>
        </w:rPr>
        <w:t xml:space="preserve">, </w:t>
      </w:r>
      <w:r w:rsidRPr="007C05E5">
        <w:rPr>
          <w:rFonts w:ascii="Calibri" w:hAnsi="Calibri"/>
          <w:lang w:val="en-US"/>
        </w:rPr>
        <w:t>Customs revenues, Mitchell (2008); imports, Lévy-Leboyer (1977), 1850-1913.</w:t>
      </w:r>
    </w:p>
    <w:p w14:paraId="1565738B"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Netherlands</w:t>
      </w:r>
      <w:r w:rsidRPr="007C05E5">
        <w:rPr>
          <w:rFonts w:ascii="Calibri" w:hAnsi="Calibri"/>
          <w:bCs/>
          <w:lang w:val="en-US"/>
        </w:rPr>
        <w:t xml:space="preserve">, </w:t>
      </w:r>
      <w:r w:rsidRPr="007C05E5">
        <w:rPr>
          <w:rFonts w:ascii="Calibri" w:hAnsi="Calibri"/>
          <w:lang w:val="en-US"/>
        </w:rPr>
        <w:t>Smits et al. (2000), 1850-1913; 1925-39, customs revenues, Mitchell 2008); imports, den Bakker et al. (1990).</w:t>
      </w:r>
    </w:p>
    <w:p w14:paraId="700E6838"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New Zealand</w:t>
      </w:r>
      <w:r w:rsidRPr="007C05E5">
        <w:rPr>
          <w:rFonts w:ascii="Calibri" w:hAnsi="Calibri"/>
          <w:bCs/>
          <w:lang w:val="en-US"/>
        </w:rPr>
        <w:t xml:space="preserve">, </w:t>
      </w:r>
      <w:r w:rsidRPr="007C05E5">
        <w:rPr>
          <w:rFonts w:ascii="Calibri" w:hAnsi="Calibri"/>
          <w:lang w:val="en-US"/>
        </w:rPr>
        <w:t>Customs revenues, Mitchell (2008); imports, Statistics New Zealand.</w:t>
      </w:r>
    </w:p>
    <w:p w14:paraId="73C12C8B"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Portugal</w:t>
      </w:r>
      <w:r w:rsidRPr="007C05E5">
        <w:rPr>
          <w:rFonts w:ascii="Calibri" w:hAnsi="Calibri"/>
          <w:bCs/>
          <w:lang w:val="en-US"/>
        </w:rPr>
        <w:t xml:space="preserve">, </w:t>
      </w:r>
      <w:r w:rsidRPr="007C05E5">
        <w:rPr>
          <w:rFonts w:ascii="Calibri" w:hAnsi="Calibri"/>
          <w:lang w:val="en-US"/>
        </w:rPr>
        <w:t>Lains (1995) and Valério (2001).</w:t>
      </w:r>
    </w:p>
    <w:p w14:paraId="54D6C89B"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Spain</w:t>
      </w:r>
      <w:r w:rsidRPr="007C05E5">
        <w:rPr>
          <w:rFonts w:ascii="Calibri" w:hAnsi="Calibri"/>
          <w:bCs/>
          <w:lang w:val="en-US"/>
        </w:rPr>
        <w:t xml:space="preserve">, </w:t>
      </w:r>
      <w:r w:rsidRPr="007C05E5">
        <w:rPr>
          <w:rFonts w:ascii="Calibri" w:hAnsi="Calibri"/>
          <w:lang w:val="en-US"/>
        </w:rPr>
        <w:t>Tena (2005).</w:t>
      </w:r>
    </w:p>
    <w:p w14:paraId="4EDAC2BE" w14:textId="77777777" w:rsidR="00431533" w:rsidRPr="007C05E5" w:rsidRDefault="00431533" w:rsidP="00431533">
      <w:pPr>
        <w:autoSpaceDE w:val="0"/>
        <w:autoSpaceDN w:val="0"/>
        <w:adjustRightInd w:val="0"/>
        <w:rPr>
          <w:rFonts w:ascii="Calibri" w:hAnsi="Calibri"/>
          <w:b/>
          <w:i/>
          <w:color w:val="000000" w:themeColor="text1"/>
          <w:lang w:val="en-US"/>
        </w:rPr>
      </w:pPr>
    </w:p>
    <w:p w14:paraId="360B12CB" w14:textId="77777777" w:rsidR="00DC1494" w:rsidRPr="00DC1494" w:rsidRDefault="00431533" w:rsidP="00DC1494">
      <w:pPr>
        <w:autoSpaceDE w:val="0"/>
        <w:autoSpaceDN w:val="0"/>
        <w:adjustRightInd w:val="0"/>
        <w:rPr>
          <w:rFonts w:ascii="Calibri" w:hAnsi="Calibri"/>
          <w:bCs/>
          <w:iCs/>
          <w:color w:val="000000" w:themeColor="text1"/>
          <w:lang w:val="en-US"/>
        </w:rPr>
      </w:pPr>
      <w:r w:rsidRPr="007C05E5">
        <w:rPr>
          <w:rFonts w:ascii="Calibri" w:hAnsi="Calibri"/>
          <w:b/>
          <w:i/>
          <w:color w:val="000000" w:themeColor="text1"/>
          <w:lang w:val="en-US"/>
        </w:rPr>
        <w:t xml:space="preserve">B) </w:t>
      </w:r>
      <w:r w:rsidR="00DC1494" w:rsidRPr="00DC1494">
        <w:rPr>
          <w:rFonts w:ascii="Calibri" w:hAnsi="Calibri"/>
          <w:b/>
          <w:i/>
          <w:color w:val="000000" w:themeColor="text1"/>
          <w:lang w:val="en-US"/>
        </w:rPr>
        <w:t xml:space="preserve">Black Market </w:t>
      </w:r>
      <w:r w:rsidR="00DC1494" w:rsidRPr="00DC1494">
        <w:rPr>
          <w:rFonts w:ascii="Calibri" w:hAnsi="Calibri"/>
          <w:bCs/>
          <w:iCs/>
          <w:color w:val="000000" w:themeColor="text1"/>
          <w:lang w:val="en-US"/>
        </w:rPr>
        <w:t>Premium is measured as the absolute difference in logs between the official and the parallel (black market) exchange rates (from 1946 onwards).</w:t>
      </w:r>
    </w:p>
    <w:p w14:paraId="70E24376" w14:textId="77777777" w:rsidR="00DC1494" w:rsidRDefault="00DC1494" w:rsidP="00DC1494">
      <w:pPr>
        <w:autoSpaceDE w:val="0"/>
        <w:autoSpaceDN w:val="0"/>
        <w:adjustRightInd w:val="0"/>
        <w:rPr>
          <w:rFonts w:ascii="Calibri" w:hAnsi="Calibri"/>
          <w:b/>
          <w:i/>
          <w:color w:val="000000" w:themeColor="text1"/>
          <w:lang w:val="en-US"/>
        </w:rPr>
      </w:pPr>
      <w:r w:rsidRPr="00DC1494">
        <w:rPr>
          <w:rFonts w:ascii="Calibri" w:hAnsi="Calibri"/>
          <w:bCs/>
          <w:iCs/>
          <w:color w:val="000000" w:themeColor="text1"/>
          <w:lang w:val="en-US"/>
        </w:rPr>
        <w:t>Data for all countries come from the Reinhart and Rogoff (2003, 2004) database, except for Spain, for which a weighted measure from Prados de la Escosura et al. (2012) has been accepted. Since the indicator’s value is inversely related to the degree of economic freedom, it has been transformed into index form using the expressi</w:t>
      </w:r>
      <w:r>
        <w:rPr>
          <w:rFonts w:ascii="Calibri" w:hAnsi="Calibri"/>
          <w:bCs/>
          <w:iCs/>
          <w:color w:val="000000" w:themeColor="text1"/>
          <w:lang w:val="en-US"/>
        </w:rPr>
        <w:t>on</w:t>
      </w:r>
      <w:r w:rsidRPr="00DC1494">
        <w:rPr>
          <w:rFonts w:ascii="Calibri" w:hAnsi="Calibri"/>
          <w:b/>
          <w:i/>
          <w:color w:val="000000" w:themeColor="text1"/>
          <w:lang w:val="en-US"/>
        </w:rPr>
        <w:t xml:space="preserve"> </w:t>
      </w:r>
    </w:p>
    <w:p w14:paraId="71A53C31" w14:textId="652699D3" w:rsidR="00431533" w:rsidRDefault="00431533" w:rsidP="00DC1494">
      <w:pPr>
        <w:autoSpaceDE w:val="0"/>
        <w:autoSpaceDN w:val="0"/>
        <w:adjustRightInd w:val="0"/>
        <w:rPr>
          <w:rFonts w:ascii="Calibri" w:hAnsi="Calibri"/>
          <w:color w:val="000000" w:themeColor="text1"/>
          <w:lang w:val="en-US"/>
        </w:rPr>
      </w:pP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 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represents the value of country </w:t>
      </w:r>
      <w:r w:rsidR="00DC1494">
        <w:rPr>
          <w:rFonts w:ascii="Calibri" w:hAnsi="Calibri"/>
          <w:i/>
          <w:iCs/>
          <w:lang w:val="en-US"/>
        </w:rPr>
        <w:t>I</w:t>
      </w:r>
      <w:r w:rsidR="00DC1494">
        <w:rPr>
          <w:rFonts w:ascii="Calibri" w:hAnsi="Calibri"/>
          <w:lang w:val="en-US"/>
        </w:rPr>
        <w:t>’s</w:t>
      </w:r>
      <w:r w:rsidRPr="007C05E5">
        <w:rPr>
          <w:rFonts w:ascii="Calibri" w:hAnsi="Calibri"/>
          <w:iCs/>
          <w:lang w:val="en-US"/>
        </w:rPr>
        <w:t xml:space="preserve"> indicator </w:t>
      </w:r>
      <w:r w:rsidR="00DC1494">
        <w:rPr>
          <w:rFonts w:ascii="Calibri" w:hAnsi="Calibri"/>
          <w:iCs/>
          <w:lang w:val="en-US"/>
        </w:rPr>
        <w:t>in</w:t>
      </w:r>
      <w:r w:rsidRPr="007C05E5">
        <w:rPr>
          <w:rFonts w:ascii="Calibri" w:hAnsi="Calibri"/>
          <w:iCs/>
          <w:lang w:val="en-US"/>
        </w:rPr>
        <w:t xml:space="preserve"> year </w:t>
      </w:r>
      <w:r w:rsidRPr="007C05E5">
        <w:rPr>
          <w:rFonts w:ascii="Calibri" w:hAnsi="Calibri"/>
          <w:i/>
          <w:iCs/>
          <w:lang w:val="en-US"/>
        </w:rPr>
        <w:t>j</w:t>
      </w:r>
      <w:r w:rsidR="00DC1494">
        <w:rPr>
          <w:rFonts w:ascii="Calibri" w:hAnsi="Calibri"/>
          <w:lang w:val="en-US"/>
        </w:rPr>
        <w:t>,</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color w:val="000000" w:themeColor="text1"/>
          <w:lang w:val="en-US"/>
        </w:rPr>
        <w:t>V</w:t>
      </w:r>
      <w:r w:rsidRPr="007C05E5">
        <w:rPr>
          <w:rFonts w:ascii="Calibri" w:hAnsi="Calibri"/>
          <w:bCs/>
          <w:i/>
          <w:color w:val="000000" w:themeColor="text1"/>
          <w:vertAlign w:val="subscript"/>
          <w:lang w:val="en-US"/>
        </w:rPr>
        <w:t>MIN</w:t>
      </w:r>
      <w:r w:rsidRPr="007C05E5">
        <w:rPr>
          <w:rFonts w:ascii="Calibri" w:hAnsi="Calibri"/>
          <w:iCs/>
          <w:color w:val="000000" w:themeColor="text1"/>
          <w:lang w:val="en-US"/>
        </w:rPr>
        <w:t xml:space="preserve"> its maximum and minimum values </w:t>
      </w:r>
      <w:r w:rsidRPr="007C05E5">
        <w:rPr>
          <w:rFonts w:ascii="Calibri" w:hAnsi="Calibri"/>
          <w:color w:val="000000" w:themeColor="text1"/>
          <w:lang w:val="en-US"/>
        </w:rPr>
        <w:t>set at 50 and 0</w:t>
      </w:r>
    </w:p>
    <w:p w14:paraId="2A9AE241" w14:textId="77777777" w:rsidR="005A32D2" w:rsidRDefault="005A32D2" w:rsidP="00E54EC0">
      <w:pPr>
        <w:autoSpaceDE w:val="0"/>
        <w:autoSpaceDN w:val="0"/>
        <w:adjustRightInd w:val="0"/>
        <w:rPr>
          <w:rFonts w:ascii="Calibri" w:hAnsi="Calibri"/>
          <w:color w:val="000000" w:themeColor="text1"/>
          <w:lang w:val="en-US"/>
        </w:rPr>
      </w:pPr>
    </w:p>
    <w:p w14:paraId="34D11C3B" w14:textId="77777777" w:rsidR="005A32D2" w:rsidRPr="00E54EC0" w:rsidRDefault="005A32D2" w:rsidP="00E54EC0">
      <w:pPr>
        <w:autoSpaceDE w:val="0"/>
        <w:autoSpaceDN w:val="0"/>
        <w:adjustRightInd w:val="0"/>
        <w:rPr>
          <w:rFonts w:ascii="Calibri" w:hAnsi="Calibri"/>
          <w:iCs/>
          <w:lang w:val="en-US"/>
        </w:rPr>
      </w:pPr>
    </w:p>
    <w:p w14:paraId="6B030BF3" w14:textId="77777777" w:rsidR="00431533" w:rsidRPr="007C05E5" w:rsidRDefault="00431533" w:rsidP="00431533">
      <w:pPr>
        <w:autoSpaceDE w:val="0"/>
        <w:autoSpaceDN w:val="0"/>
        <w:adjustRightInd w:val="0"/>
        <w:rPr>
          <w:rFonts w:ascii="Calibri" w:hAnsi="Calibri"/>
          <w:b/>
          <w:i/>
          <w:lang w:val="en-US"/>
        </w:rPr>
      </w:pPr>
    </w:p>
    <w:p w14:paraId="6EEE55B2" w14:textId="77777777" w:rsidR="00431533" w:rsidRPr="007C05E5" w:rsidRDefault="00431533" w:rsidP="00431533">
      <w:pPr>
        <w:autoSpaceDE w:val="0"/>
        <w:autoSpaceDN w:val="0"/>
        <w:adjustRightInd w:val="0"/>
        <w:rPr>
          <w:rFonts w:ascii="Calibri" w:hAnsi="Calibri"/>
          <w:b/>
          <w:i/>
          <w:lang w:val="en-US"/>
        </w:rPr>
      </w:pPr>
      <w:r w:rsidRPr="007C05E5">
        <w:rPr>
          <w:rFonts w:ascii="Calibri" w:hAnsi="Calibri"/>
          <w:b/>
          <w:i/>
          <w:lang w:val="en-US"/>
        </w:rPr>
        <w:lastRenderedPageBreak/>
        <w:t>C) International Factor Mobility</w:t>
      </w:r>
    </w:p>
    <w:p w14:paraId="01CB88A9" w14:textId="77777777" w:rsidR="00E54EC0" w:rsidRDefault="00E54EC0" w:rsidP="00E54EC0">
      <w:pPr>
        <w:autoSpaceDE w:val="0"/>
        <w:autoSpaceDN w:val="0"/>
        <w:adjustRightInd w:val="0"/>
        <w:rPr>
          <w:rFonts w:ascii="Calibri" w:hAnsi="Calibri"/>
          <w:iCs/>
          <w:color w:val="000000" w:themeColor="text1"/>
          <w:lang w:val="en-US"/>
        </w:rPr>
      </w:pPr>
      <w:r w:rsidRPr="00E54EC0">
        <w:rPr>
          <w:rFonts w:ascii="Calibri" w:hAnsi="Calibri"/>
          <w:iCs/>
          <w:color w:val="000000" w:themeColor="text1"/>
          <w:lang w:val="en-US"/>
        </w:rPr>
        <w:t xml:space="preserve">- </w:t>
      </w:r>
      <w:r w:rsidRPr="00E54EC0">
        <w:rPr>
          <w:rFonts w:ascii="Calibri" w:hAnsi="Calibri"/>
          <w:i/>
          <w:color w:val="000000" w:themeColor="text1"/>
          <w:u w:val="single"/>
          <w:lang w:val="en-US"/>
        </w:rPr>
        <w:t>C</w:t>
      </w:r>
      <w:r w:rsidR="00431533" w:rsidRPr="00E54EC0">
        <w:rPr>
          <w:rFonts w:ascii="Calibri" w:hAnsi="Calibri"/>
          <w:i/>
          <w:color w:val="000000" w:themeColor="text1"/>
          <w:u w:val="single"/>
          <w:lang w:val="en-US"/>
        </w:rPr>
        <w:t>apital</w:t>
      </w:r>
      <w:r w:rsidRPr="00E54EC0">
        <w:rPr>
          <w:rFonts w:ascii="Calibri" w:hAnsi="Calibri"/>
          <w:iCs/>
          <w:color w:val="000000" w:themeColor="text1"/>
          <w:lang w:val="en-US"/>
        </w:rPr>
        <w:t xml:space="preserve"> </w:t>
      </w:r>
    </w:p>
    <w:p w14:paraId="1EFEC2A3" w14:textId="77777777" w:rsidR="00B517B5" w:rsidRDefault="00B517B5" w:rsidP="00431533">
      <w:pPr>
        <w:autoSpaceDE w:val="0"/>
        <w:autoSpaceDN w:val="0"/>
        <w:adjustRightInd w:val="0"/>
        <w:ind w:firstLine="709"/>
        <w:rPr>
          <w:rFonts w:ascii="Calibri" w:hAnsi="Calibri"/>
          <w:iCs/>
          <w:color w:val="000000" w:themeColor="text1"/>
          <w:lang w:val="en-US"/>
        </w:rPr>
      </w:pPr>
      <w:r w:rsidRPr="00B517B5">
        <w:rPr>
          <w:rFonts w:ascii="Calibri" w:hAnsi="Calibri"/>
          <w:iCs/>
          <w:color w:val="000000" w:themeColor="text1"/>
          <w:lang w:val="en-US"/>
        </w:rPr>
        <w:t xml:space="preserve">For the pre-1950 period, I have built an index of capital mobility that assigns values on a 0-10 scale to each country, based on its currency convertibility. The values assigned in this exploratory exercise are, unfortunately, largely discretionary. </w:t>
      </w:r>
    </w:p>
    <w:p w14:paraId="6404D8E7" w14:textId="77777777" w:rsidR="00B517B5" w:rsidRDefault="00B517B5" w:rsidP="00B517B5">
      <w:pPr>
        <w:autoSpaceDE w:val="0"/>
        <w:autoSpaceDN w:val="0"/>
        <w:adjustRightInd w:val="0"/>
        <w:ind w:firstLine="709"/>
        <w:rPr>
          <w:rFonts w:ascii="Calibri" w:hAnsi="Calibri"/>
          <w:iCs/>
          <w:lang w:val="en-US"/>
        </w:rPr>
      </w:pPr>
      <w:r w:rsidRPr="00B517B5">
        <w:rPr>
          <w:rFonts w:ascii="Calibri" w:hAnsi="Calibri"/>
          <w:iCs/>
          <w:lang w:val="en-US"/>
        </w:rPr>
        <w:t xml:space="preserve">Thus, before 1914, a value of 10 has been assigned to those countries in the Gold Standard. For countries that did not belong to the Gold Standard, whether with convertible currencies or bimetallic standards, as well as for those shadowing the Gold Standard, an initial value of 8 has been set. However, each country’s value deviates from the initial level according to its exchange rate volatility (ERV) against Sterling (Table 1). </w:t>
      </w:r>
    </w:p>
    <w:p w14:paraId="6995688A" w14:textId="40E9CA5B" w:rsidR="00B517B5" w:rsidRDefault="00B517B5" w:rsidP="00B517B5">
      <w:pPr>
        <w:autoSpaceDE w:val="0"/>
        <w:autoSpaceDN w:val="0"/>
        <w:adjustRightInd w:val="0"/>
        <w:ind w:firstLine="709"/>
        <w:rPr>
          <w:rFonts w:ascii="Calibri" w:hAnsi="Calibri"/>
          <w:iCs/>
          <w:lang w:val="en-US"/>
        </w:rPr>
      </w:pPr>
      <w:r w:rsidRPr="00B517B5">
        <w:rPr>
          <w:rFonts w:ascii="Calibri" w:hAnsi="Calibri"/>
          <w:iCs/>
          <w:lang w:val="en-US"/>
        </w:rPr>
        <w:t xml:space="preserve">In the Interwar years (defined here as the period 1925-39), before the reintroduction of the Gold Standard as a Gold Exchange Standard, a value of 5 was assigned to the following countries: Belgium, Denmark, Greece, and Italy (1925-26); France, Ireland, Norway, and Portugal (1925-28); Japan (1925-29); and Spain (1925-30). Countries in the Gold Exchange Standard were assigned a value of 7, lower than before 1914, as the international capital market was subjected to major dislocations and capital flows tapered in the 1920s and, especially, during the Depression (Eichengreen, 1992; Obstfeld and Taylor, 2004: 132-45). </w:t>
      </w:r>
    </w:p>
    <w:p w14:paraId="4BD04635" w14:textId="77777777" w:rsidR="00B517B5" w:rsidRDefault="00B517B5" w:rsidP="00B517B5">
      <w:pPr>
        <w:autoSpaceDE w:val="0"/>
        <w:autoSpaceDN w:val="0"/>
        <w:adjustRightInd w:val="0"/>
        <w:ind w:firstLine="709"/>
        <w:rPr>
          <w:rFonts w:ascii="Calibri" w:hAnsi="Calibri"/>
          <w:iCs/>
          <w:lang w:val="en-US"/>
        </w:rPr>
      </w:pPr>
    </w:p>
    <w:p w14:paraId="695A16A0" w14:textId="14FDD9B3" w:rsidR="00431533" w:rsidRPr="007C05E5" w:rsidRDefault="00431533" w:rsidP="00431533">
      <w:pPr>
        <w:autoSpaceDE w:val="0"/>
        <w:autoSpaceDN w:val="0"/>
        <w:adjustRightInd w:val="0"/>
        <w:jc w:val="center"/>
        <w:rPr>
          <w:rFonts w:ascii="Calibri" w:hAnsi="Calibri"/>
          <w:b/>
          <w:iCs/>
          <w:lang w:val="en-US"/>
        </w:rPr>
      </w:pPr>
      <w:r w:rsidRPr="007C05E5">
        <w:rPr>
          <w:rFonts w:ascii="Calibri" w:hAnsi="Calibri"/>
          <w:b/>
          <w:iCs/>
          <w:lang w:val="en-US"/>
        </w:rPr>
        <w:t>Table 1</w:t>
      </w:r>
    </w:p>
    <w:p w14:paraId="4022E2C0" w14:textId="77777777" w:rsidR="00431533" w:rsidRPr="007C05E5" w:rsidRDefault="00431533" w:rsidP="00431533">
      <w:pPr>
        <w:autoSpaceDE w:val="0"/>
        <w:autoSpaceDN w:val="0"/>
        <w:adjustRightInd w:val="0"/>
        <w:rPr>
          <w:rFonts w:ascii="Calibri" w:hAnsi="Calibri"/>
          <w:b/>
          <w:iCs/>
          <w:lang w:val="en-US"/>
        </w:rPr>
      </w:pPr>
      <w:r w:rsidRPr="007C05E5">
        <w:rPr>
          <w:rFonts w:ascii="Calibri" w:hAnsi="Calibri"/>
          <w:b/>
          <w:iCs/>
          <w:lang w:val="en-US"/>
        </w:rPr>
        <w:t>Assigned Capital Mobility Values to Degrees of Exchange Rate Volatility before 1914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134"/>
      </w:tblGrid>
      <w:tr w:rsidR="00431533" w:rsidRPr="001B31DF" w14:paraId="503F7AD8" w14:textId="77777777" w:rsidTr="007C4653">
        <w:trPr>
          <w:trHeight w:val="350"/>
          <w:jc w:val="center"/>
        </w:trPr>
        <w:tc>
          <w:tcPr>
            <w:tcW w:w="1461" w:type="dxa"/>
          </w:tcPr>
          <w:p w14:paraId="1561A570" w14:textId="77777777" w:rsidR="00431533" w:rsidRPr="001B31DF" w:rsidRDefault="00431533" w:rsidP="007C4653">
            <w:pPr>
              <w:autoSpaceDE w:val="0"/>
              <w:autoSpaceDN w:val="0"/>
              <w:adjustRightInd w:val="0"/>
              <w:jc w:val="center"/>
              <w:rPr>
                <w:rFonts w:ascii="Calibri" w:hAnsi="Calibri"/>
                <w:b/>
                <w:iCs/>
              </w:rPr>
            </w:pPr>
            <w:r w:rsidRPr="001B31DF">
              <w:rPr>
                <w:rFonts w:ascii="Calibri" w:hAnsi="Calibri"/>
                <w:b/>
                <w:iCs/>
              </w:rPr>
              <w:t>Exchange Rate Volatility</w:t>
            </w:r>
          </w:p>
        </w:tc>
        <w:tc>
          <w:tcPr>
            <w:tcW w:w="1134" w:type="dxa"/>
          </w:tcPr>
          <w:p w14:paraId="5E146A51" w14:textId="77777777" w:rsidR="00431533" w:rsidRPr="001B31DF" w:rsidRDefault="00431533" w:rsidP="007C4653">
            <w:pPr>
              <w:autoSpaceDE w:val="0"/>
              <w:autoSpaceDN w:val="0"/>
              <w:adjustRightInd w:val="0"/>
              <w:jc w:val="center"/>
              <w:rPr>
                <w:rFonts w:ascii="Calibri" w:hAnsi="Calibri"/>
                <w:b/>
                <w:iCs/>
              </w:rPr>
            </w:pPr>
            <w:r w:rsidRPr="001B31DF">
              <w:rPr>
                <w:rFonts w:ascii="Calibri" w:hAnsi="Calibri"/>
                <w:b/>
                <w:iCs/>
              </w:rPr>
              <w:t>Capital Mobility Value</w:t>
            </w:r>
          </w:p>
        </w:tc>
      </w:tr>
      <w:tr w:rsidR="00431533" w:rsidRPr="001B31DF" w14:paraId="554D5BF7" w14:textId="77777777" w:rsidTr="007C4653">
        <w:trPr>
          <w:trHeight w:val="350"/>
          <w:jc w:val="center"/>
        </w:trPr>
        <w:tc>
          <w:tcPr>
            <w:tcW w:w="1461" w:type="dxa"/>
          </w:tcPr>
          <w:p w14:paraId="2E588D02"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&lt; 0.05</w:t>
            </w:r>
          </w:p>
        </w:tc>
        <w:tc>
          <w:tcPr>
            <w:tcW w:w="1134" w:type="dxa"/>
          </w:tcPr>
          <w:p w14:paraId="162645B8"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8</w:t>
            </w:r>
          </w:p>
        </w:tc>
      </w:tr>
      <w:tr w:rsidR="00431533" w:rsidRPr="001B31DF" w14:paraId="09F96CC7" w14:textId="77777777" w:rsidTr="007C4653">
        <w:trPr>
          <w:trHeight w:val="350"/>
          <w:jc w:val="center"/>
        </w:trPr>
        <w:tc>
          <w:tcPr>
            <w:tcW w:w="1461" w:type="dxa"/>
          </w:tcPr>
          <w:p w14:paraId="13CDEE72"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&lt;0.1 &gt;0.05</w:t>
            </w:r>
          </w:p>
        </w:tc>
        <w:tc>
          <w:tcPr>
            <w:tcW w:w="1134" w:type="dxa"/>
          </w:tcPr>
          <w:p w14:paraId="5E414B7A"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7</w:t>
            </w:r>
          </w:p>
        </w:tc>
      </w:tr>
      <w:tr w:rsidR="00431533" w:rsidRPr="001B31DF" w14:paraId="5BF3B8D4" w14:textId="77777777" w:rsidTr="007C4653">
        <w:trPr>
          <w:trHeight w:val="350"/>
          <w:jc w:val="center"/>
        </w:trPr>
        <w:tc>
          <w:tcPr>
            <w:tcW w:w="1461" w:type="dxa"/>
          </w:tcPr>
          <w:p w14:paraId="40CEBF85"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&lt;0.2 &gt;0.1</w:t>
            </w:r>
          </w:p>
        </w:tc>
        <w:tc>
          <w:tcPr>
            <w:tcW w:w="1134" w:type="dxa"/>
          </w:tcPr>
          <w:p w14:paraId="5696381E"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6</w:t>
            </w:r>
          </w:p>
        </w:tc>
      </w:tr>
      <w:tr w:rsidR="00431533" w:rsidRPr="001B31DF" w14:paraId="6FFC2D30" w14:textId="77777777" w:rsidTr="007C4653">
        <w:trPr>
          <w:trHeight w:val="350"/>
          <w:jc w:val="center"/>
        </w:trPr>
        <w:tc>
          <w:tcPr>
            <w:tcW w:w="1461" w:type="dxa"/>
          </w:tcPr>
          <w:p w14:paraId="3006865E"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&lt;0.3 &gt;0.2</w:t>
            </w:r>
          </w:p>
        </w:tc>
        <w:tc>
          <w:tcPr>
            <w:tcW w:w="1134" w:type="dxa"/>
          </w:tcPr>
          <w:p w14:paraId="055D8677"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5</w:t>
            </w:r>
          </w:p>
        </w:tc>
      </w:tr>
      <w:tr w:rsidR="00431533" w:rsidRPr="001B31DF" w14:paraId="012DCB42" w14:textId="77777777" w:rsidTr="007C4653">
        <w:trPr>
          <w:trHeight w:val="370"/>
          <w:jc w:val="center"/>
        </w:trPr>
        <w:tc>
          <w:tcPr>
            <w:tcW w:w="1461" w:type="dxa"/>
          </w:tcPr>
          <w:p w14:paraId="385E7FDA"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&lt;0.4 &gt;0.3</w:t>
            </w:r>
          </w:p>
        </w:tc>
        <w:tc>
          <w:tcPr>
            <w:tcW w:w="1134" w:type="dxa"/>
          </w:tcPr>
          <w:p w14:paraId="1C5B99F3" w14:textId="77777777" w:rsidR="00431533" w:rsidRPr="001B31DF" w:rsidRDefault="00431533" w:rsidP="007C4653">
            <w:pPr>
              <w:autoSpaceDE w:val="0"/>
              <w:autoSpaceDN w:val="0"/>
              <w:adjustRightInd w:val="0"/>
              <w:jc w:val="center"/>
              <w:rPr>
                <w:rFonts w:ascii="Calibri" w:hAnsi="Calibri"/>
                <w:iCs/>
              </w:rPr>
            </w:pPr>
            <w:r w:rsidRPr="001B31DF">
              <w:rPr>
                <w:rFonts w:ascii="Calibri" w:hAnsi="Calibri"/>
                <w:iCs/>
              </w:rPr>
              <w:t>4</w:t>
            </w:r>
          </w:p>
        </w:tc>
      </w:tr>
    </w:tbl>
    <w:p w14:paraId="54DB5D7F" w14:textId="77777777" w:rsidR="00431533" w:rsidRPr="001B31DF" w:rsidRDefault="00431533" w:rsidP="00431533">
      <w:pPr>
        <w:autoSpaceDE w:val="0"/>
        <w:autoSpaceDN w:val="0"/>
        <w:adjustRightInd w:val="0"/>
        <w:rPr>
          <w:rFonts w:ascii="Calibri" w:hAnsi="Calibri"/>
          <w:iCs/>
        </w:rPr>
      </w:pPr>
    </w:p>
    <w:p w14:paraId="02FE583E" w14:textId="77777777" w:rsidR="00B517B5" w:rsidRDefault="00B517B5" w:rsidP="00B517B5">
      <w:pPr>
        <w:autoSpaceDE w:val="0"/>
        <w:autoSpaceDN w:val="0"/>
        <w:adjustRightInd w:val="0"/>
        <w:ind w:firstLine="709"/>
        <w:rPr>
          <w:rFonts w:ascii="Calibri" w:hAnsi="Calibri"/>
          <w:iCs/>
          <w:lang w:val="en-US"/>
        </w:rPr>
      </w:pPr>
      <w:r w:rsidRPr="00B517B5">
        <w:rPr>
          <w:rFonts w:ascii="Calibri" w:hAnsi="Calibri"/>
          <w:iCs/>
          <w:lang w:val="en-US"/>
        </w:rPr>
        <w:t xml:space="preserve">Then, after convertibility into gold was suspended in the UK (1931), a value of 5 was assigned to those countries whose currencies were pegged to the Sterling. Thus, it applied to Australia, New Zealand, Canada, Ireland, Portugal, Norway, Sweden, and Greece (after 1936). In the case of France, after the Gold Standard was abandoned (1936), the value attributed to the Franc was also 5, and this extended to those currencies in the ‘gold bloc’ (Belgium, the Netherlands, Switzerland, and Italy). In cases where exchange controls were introduced but the currency was still pegged to the Sterling or the French Franc, the value was reduced to 3. These were Austria, Belgium (1935), Denmark, Finland (after 1934), Japan, and New Zealand (1939). When, in addition to exchange controls, there were multiple exchange rates, the attributed value was 1 (Germany since 1932, Austria since 1938, Italy since 1937), and, in the case of Spain, a value of 0 was assigned from mid-1936, when its civil war started. </w:t>
      </w:r>
    </w:p>
    <w:p w14:paraId="578574F7" w14:textId="31682273" w:rsidR="00B517B5" w:rsidRDefault="00B517B5" w:rsidP="00B517B5">
      <w:pPr>
        <w:autoSpaceDE w:val="0"/>
        <w:autoSpaceDN w:val="0"/>
        <w:adjustRightInd w:val="0"/>
        <w:ind w:firstLine="709"/>
        <w:rPr>
          <w:rFonts w:ascii="Calibri" w:hAnsi="Calibri"/>
          <w:iCs/>
          <w:lang w:val="en-US"/>
        </w:rPr>
      </w:pPr>
      <w:r w:rsidRPr="00B517B5">
        <w:rPr>
          <w:rFonts w:ascii="Calibri" w:hAnsi="Calibri"/>
          <w:iCs/>
          <w:lang w:val="en-US"/>
        </w:rPr>
        <w:t xml:space="preserve">The data come from Flandreau and Zumer (2004), who described this measure as an index of vulnerability. I replicated the index for missing dates and countries using information from Bordo and Schwartz (1996), Eichengreen (1992), Eichengreen and </w:t>
      </w:r>
      <w:r w:rsidRPr="00B517B5">
        <w:rPr>
          <w:rFonts w:ascii="Calibri" w:hAnsi="Calibri"/>
          <w:iCs/>
          <w:lang w:val="en-US"/>
        </w:rPr>
        <w:lastRenderedPageBreak/>
        <w:t xml:space="preserve">Flandreau (1996), the League of Nations (1925-1939), and Reinhart and Rogoff (2003, 2004, 2010). </w:t>
      </w:r>
    </w:p>
    <w:p w14:paraId="2F7F16E2" w14:textId="40AA121B" w:rsidR="00B517B5" w:rsidRDefault="00B517B5" w:rsidP="00431533">
      <w:pPr>
        <w:autoSpaceDE w:val="0"/>
        <w:autoSpaceDN w:val="0"/>
        <w:adjustRightInd w:val="0"/>
        <w:rPr>
          <w:rFonts w:ascii="Calibri" w:hAnsi="Calibri"/>
          <w:iCs/>
          <w:color w:val="000000" w:themeColor="text1"/>
          <w:lang w:val="en-US"/>
        </w:rPr>
      </w:pPr>
      <w:r w:rsidRPr="00B517B5">
        <w:rPr>
          <w:rFonts w:ascii="Calibri" w:hAnsi="Calibri"/>
          <w:iCs/>
          <w:color w:val="000000" w:themeColor="text1"/>
          <w:lang w:val="en-US"/>
        </w:rPr>
        <w:t xml:space="preserve">For the post-1950 period, Quinn and Todoya (2008) provide de jure measures of capital account and financial current account openness, and I have taken their average. As these estimates cover only 1950-2004, I have projected them forward using the Chinn and Ito (2021) KAOPEN index, a de jure measure of a country’s capital account openness. </w:t>
      </w:r>
    </w:p>
    <w:p w14:paraId="6F71F501" w14:textId="3DC0FB8D" w:rsidR="00E54EC0" w:rsidRDefault="00E54EC0" w:rsidP="00431533">
      <w:pPr>
        <w:autoSpaceDE w:val="0"/>
        <w:autoSpaceDN w:val="0"/>
        <w:adjustRightInd w:val="0"/>
        <w:rPr>
          <w:rFonts w:ascii="Calibri" w:hAnsi="Calibri"/>
          <w:bCs/>
          <w:i/>
          <w:color w:val="000000" w:themeColor="text1"/>
          <w:u w:val="single"/>
          <w:lang w:val="en-GB"/>
        </w:rPr>
      </w:pPr>
      <w:r w:rsidRPr="00E54EC0">
        <w:rPr>
          <w:rFonts w:ascii="Calibri" w:hAnsi="Calibri"/>
          <w:bCs/>
          <w:iCs/>
          <w:color w:val="000000" w:themeColor="text1"/>
          <w:lang w:val="en-US"/>
        </w:rPr>
        <w:t xml:space="preserve">- </w:t>
      </w:r>
      <w:r w:rsidRPr="00E54EC0">
        <w:rPr>
          <w:rFonts w:ascii="Calibri" w:hAnsi="Calibri"/>
          <w:bCs/>
          <w:i/>
          <w:color w:val="000000" w:themeColor="text1"/>
          <w:u w:val="single"/>
          <w:lang w:val="en-GB"/>
        </w:rPr>
        <w:t>L</w:t>
      </w:r>
      <w:r w:rsidR="00431533" w:rsidRPr="00E54EC0">
        <w:rPr>
          <w:rFonts w:ascii="Calibri" w:hAnsi="Calibri"/>
          <w:bCs/>
          <w:i/>
          <w:color w:val="000000" w:themeColor="text1"/>
          <w:u w:val="single"/>
          <w:lang w:val="en-GB"/>
        </w:rPr>
        <w:t>abour</w:t>
      </w:r>
    </w:p>
    <w:p w14:paraId="2D7FFF8D" w14:textId="4C1C29B2" w:rsidR="00431533" w:rsidRPr="00E54EC0" w:rsidRDefault="00431533" w:rsidP="00A1410F">
      <w:pPr>
        <w:autoSpaceDE w:val="0"/>
        <w:autoSpaceDN w:val="0"/>
        <w:adjustRightInd w:val="0"/>
        <w:rPr>
          <w:rFonts w:ascii="Calibri" w:hAnsi="Calibri"/>
          <w:bCs/>
          <w:i/>
          <w:color w:val="000000" w:themeColor="text1"/>
          <w:lang w:val="en-US"/>
        </w:rPr>
      </w:pPr>
      <w:r w:rsidRPr="00A1410F">
        <w:rPr>
          <w:rFonts w:ascii="Calibri" w:hAnsi="Calibri"/>
          <w:bCs/>
          <w:i/>
          <w:iCs/>
          <w:lang w:val="en-US"/>
        </w:rPr>
        <w:t>Freedom of Foreign Movement</w:t>
      </w:r>
      <w:r w:rsidR="00E54EC0">
        <w:rPr>
          <w:rFonts w:ascii="Calibri" w:hAnsi="Calibri"/>
          <w:bCs/>
          <w:lang w:val="en-US"/>
        </w:rPr>
        <w:t>, an</w:t>
      </w:r>
      <w:r w:rsidRPr="006C53D5">
        <w:rPr>
          <w:rFonts w:ascii="Calibri" w:hAnsi="Calibri"/>
          <w:bCs/>
          <w:lang w:val="en-US"/>
        </w:rPr>
        <w:t xml:space="preserve"> indicator </w:t>
      </w:r>
      <w:r w:rsidR="00A1410F">
        <w:rPr>
          <w:rFonts w:ascii="Calibri" w:hAnsi="Calibri"/>
          <w:bCs/>
          <w:lang w:val="en-US"/>
        </w:rPr>
        <w:t>drawn</w:t>
      </w:r>
      <w:r>
        <w:rPr>
          <w:rFonts w:ascii="Calibri" w:hAnsi="Calibri"/>
          <w:bCs/>
          <w:lang w:val="en-US"/>
        </w:rPr>
        <w:t xml:space="preserve"> from the </w:t>
      </w:r>
      <w:r w:rsidRPr="007C05E5">
        <w:rPr>
          <w:rFonts w:ascii="Calibri" w:hAnsi="Calibri"/>
          <w:lang w:val="en-US"/>
        </w:rPr>
        <w:t xml:space="preserve">V-Dem database </w:t>
      </w:r>
      <w:r w:rsidRPr="007C05E5">
        <w:rPr>
          <w:rFonts w:ascii="Calibri" w:hAnsi="Calibri"/>
          <w:bCs/>
          <w:lang w:val="en-US"/>
        </w:rPr>
        <w:t>(Coppedge et al., 2022)</w:t>
      </w:r>
      <w:r>
        <w:rPr>
          <w:rFonts w:ascii="Calibri" w:hAnsi="Calibri"/>
          <w:bCs/>
          <w:lang w:val="en-US"/>
        </w:rPr>
        <w:t xml:space="preserve"> </w:t>
      </w:r>
      <w:r w:rsidRPr="006C53D5">
        <w:rPr>
          <w:rFonts w:ascii="Calibri" w:hAnsi="Calibri"/>
          <w:bCs/>
          <w:lang w:val="en-US"/>
        </w:rPr>
        <w:t>(v2clfmove</w:t>
      </w:r>
      <w:r>
        <w:rPr>
          <w:rFonts w:ascii="Calibri" w:hAnsi="Calibri"/>
          <w:bCs/>
          <w:lang w:val="en-US"/>
        </w:rPr>
        <w:t xml:space="preserve">). </w:t>
      </w:r>
      <w:r w:rsidRPr="007C05E5">
        <w:rPr>
          <w:rFonts w:ascii="Calibri" w:hAnsi="Calibri"/>
          <w:iCs/>
          <w:lang w:val="en-US"/>
        </w:rPr>
        <w:t>As the value of the indicator is directly related to the value of economic freedom, it is the following expression the one used,</w:t>
      </w:r>
    </w:p>
    <w:p w14:paraId="78C53C01" w14:textId="74225970" w:rsidR="00431533" w:rsidRPr="007C05E5" w:rsidRDefault="00431533" w:rsidP="00E54EC0">
      <w:pPr>
        <w:autoSpaceDE w:val="0"/>
        <w:autoSpaceDN w:val="0"/>
        <w:adjustRightInd w:val="0"/>
        <w:rPr>
          <w:rFonts w:ascii="Calibri" w:hAnsi="Calibri"/>
          <w:iCs/>
          <w:lang w:val="en-US"/>
        </w:rPr>
      </w:pP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 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represents the value of country </w:t>
      </w:r>
      <w:r w:rsidR="00A1410F">
        <w:rPr>
          <w:rFonts w:ascii="Calibri" w:hAnsi="Calibri"/>
          <w:i/>
          <w:iCs/>
          <w:lang w:val="en-US"/>
        </w:rPr>
        <w:t>I</w:t>
      </w:r>
      <w:r w:rsidR="00A1410F">
        <w:rPr>
          <w:rFonts w:ascii="Calibri" w:hAnsi="Calibri"/>
          <w:lang w:val="en-US"/>
        </w:rPr>
        <w:t>’s</w:t>
      </w:r>
      <w:r w:rsidRPr="007C05E5">
        <w:rPr>
          <w:rFonts w:ascii="Calibri" w:hAnsi="Calibri"/>
          <w:iCs/>
          <w:lang w:val="en-US"/>
        </w:rPr>
        <w:t xml:space="preserve"> indicator </w:t>
      </w:r>
      <w:r w:rsidR="00A1410F">
        <w:rPr>
          <w:rFonts w:ascii="Calibri" w:hAnsi="Calibri"/>
          <w:iCs/>
          <w:lang w:val="en-US"/>
        </w:rPr>
        <w:t>in</w:t>
      </w:r>
      <w:r w:rsidRPr="007C05E5">
        <w:rPr>
          <w:rFonts w:ascii="Calibri" w:hAnsi="Calibri"/>
          <w:iCs/>
          <w:lang w:val="en-US"/>
        </w:rPr>
        <w:t xml:space="preserve"> year </w:t>
      </w:r>
      <w:r w:rsidRPr="007C05E5">
        <w:rPr>
          <w:rFonts w:ascii="Calibri" w:hAnsi="Calibri"/>
          <w:i/>
          <w:iCs/>
          <w:lang w:val="en-US"/>
        </w:rPr>
        <w:t>j</w:t>
      </w:r>
      <w:r w:rsidR="00A1410F">
        <w:rPr>
          <w:rFonts w:ascii="Calibri" w:hAnsi="Calibri"/>
          <w:lang w:val="en-US"/>
        </w:rPr>
        <w:t>,</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xml:space="preserve"> its maximum and minimum values. </w:t>
      </w:r>
    </w:p>
    <w:p w14:paraId="419BD93D" w14:textId="77777777" w:rsidR="00431533" w:rsidRPr="007C05E5" w:rsidRDefault="00431533" w:rsidP="00431533">
      <w:pPr>
        <w:autoSpaceDE w:val="0"/>
        <w:autoSpaceDN w:val="0"/>
        <w:adjustRightInd w:val="0"/>
        <w:rPr>
          <w:rFonts w:ascii="Calibri" w:hAnsi="Calibri"/>
          <w:b/>
          <w:u w:val="single"/>
          <w:lang w:val="en-US"/>
        </w:rPr>
      </w:pPr>
    </w:p>
    <w:p w14:paraId="12E9E223" w14:textId="77777777" w:rsidR="00431533" w:rsidRPr="007C05E5" w:rsidRDefault="00431533" w:rsidP="00431533">
      <w:pPr>
        <w:autoSpaceDE w:val="0"/>
        <w:autoSpaceDN w:val="0"/>
        <w:adjustRightInd w:val="0"/>
        <w:rPr>
          <w:rFonts w:ascii="Calibri" w:hAnsi="Calibri"/>
          <w:b/>
          <w:u w:val="single"/>
          <w:lang w:val="en-US"/>
        </w:rPr>
      </w:pPr>
      <w:r w:rsidRPr="007C05E5">
        <w:rPr>
          <w:rFonts w:ascii="Calibri" w:hAnsi="Calibri"/>
          <w:b/>
          <w:u w:val="single"/>
          <w:lang w:val="en-US"/>
        </w:rPr>
        <w:t>Area 5 Regulation</w:t>
      </w:r>
    </w:p>
    <w:p w14:paraId="31951E8D" w14:textId="77777777" w:rsidR="00431533" w:rsidRPr="007C05E5" w:rsidRDefault="00431533" w:rsidP="00431533">
      <w:pPr>
        <w:autoSpaceDE w:val="0"/>
        <w:autoSpaceDN w:val="0"/>
        <w:adjustRightInd w:val="0"/>
        <w:rPr>
          <w:rFonts w:ascii="Calibri" w:hAnsi="Calibri"/>
          <w:b/>
          <w:i/>
          <w:lang w:val="en-US"/>
        </w:rPr>
      </w:pPr>
      <w:r w:rsidRPr="007C05E5">
        <w:rPr>
          <w:rFonts w:ascii="Calibri" w:hAnsi="Calibri"/>
          <w:b/>
          <w:i/>
          <w:lang w:val="en-US"/>
        </w:rPr>
        <w:t>A) Credit Market Regulation</w:t>
      </w:r>
    </w:p>
    <w:p w14:paraId="40C1C5CA" w14:textId="77777777" w:rsidR="00431533" w:rsidRPr="007C05E5" w:rsidRDefault="00431533" w:rsidP="00431533">
      <w:pPr>
        <w:autoSpaceDE w:val="0"/>
        <w:autoSpaceDN w:val="0"/>
        <w:adjustRightInd w:val="0"/>
        <w:rPr>
          <w:rFonts w:ascii="Calibri" w:hAnsi="Calibri"/>
          <w:bCs/>
          <w:i/>
          <w:lang w:val="en-US"/>
        </w:rPr>
      </w:pPr>
      <w:r w:rsidRPr="007C05E5">
        <w:rPr>
          <w:rFonts w:ascii="Calibri" w:hAnsi="Calibri"/>
          <w:bCs/>
          <w:i/>
          <w:lang w:val="en-US"/>
        </w:rPr>
        <w:t xml:space="preserve">- Private Sector Credit </w:t>
      </w:r>
      <w:r w:rsidRPr="007C05E5">
        <w:rPr>
          <w:rFonts w:ascii="Calibri" w:hAnsi="Calibri"/>
          <w:bCs/>
          <w:iCs/>
          <w:lang w:val="en-US"/>
        </w:rPr>
        <w:t xml:space="preserve">proxied by the government fiscal deficit as a proportion of GDP. </w:t>
      </w:r>
    </w:p>
    <w:p w14:paraId="64CDA38F" w14:textId="77777777" w:rsidR="00431533" w:rsidRPr="007C05E5" w:rsidRDefault="00431533" w:rsidP="00367141">
      <w:pPr>
        <w:rPr>
          <w:rFonts w:ascii="Calibri" w:hAnsi="Calibri"/>
          <w:lang w:val="en-US"/>
        </w:rPr>
      </w:pPr>
      <w:r w:rsidRPr="007C05E5">
        <w:rPr>
          <w:rFonts w:ascii="Calibri" w:hAnsi="Calibri"/>
          <w:iCs/>
          <w:lang w:val="en-US"/>
        </w:rPr>
        <w:t xml:space="preserve">Original values have been transformed into index form using the expression </w:t>
      </w:r>
    </w:p>
    <w:p w14:paraId="2179171C" w14:textId="127E5BB3" w:rsidR="00431533" w:rsidRPr="00E54EC0" w:rsidRDefault="00431533" w:rsidP="00E54EC0">
      <w:pPr>
        <w:autoSpaceDE w:val="0"/>
        <w:autoSpaceDN w:val="0"/>
        <w:adjustRightInd w:val="0"/>
        <w:rPr>
          <w:rFonts w:ascii="Calibri" w:hAnsi="Calibri"/>
          <w:iCs/>
          <w:lang w:val="en-US"/>
        </w:rPr>
      </w:pP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w:t>
      </w:r>
      <w:r w:rsidRPr="007C05E5">
        <w:rPr>
          <w:rFonts w:ascii="Calibri" w:hAnsi="Calibri"/>
          <w:iCs/>
          <w:lang w:val="en-US"/>
        </w:rPr>
        <w:t xml:space="preserve"> </w:t>
      </w:r>
      <w:r w:rsidR="00E54EC0">
        <w:rPr>
          <w:rFonts w:ascii="Calibri" w:hAnsi="Calibri"/>
          <w:iCs/>
          <w:lang w:val="en-US"/>
        </w:rPr>
        <w:t>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represents the value of country </w:t>
      </w:r>
      <w:r w:rsidR="00A1410F">
        <w:rPr>
          <w:rFonts w:ascii="Calibri" w:hAnsi="Calibri"/>
          <w:i/>
          <w:iCs/>
          <w:lang w:val="en-US"/>
        </w:rPr>
        <w:t>I</w:t>
      </w:r>
      <w:r w:rsidR="00A1410F">
        <w:rPr>
          <w:rFonts w:ascii="Calibri" w:hAnsi="Calibri"/>
          <w:lang w:val="en-US"/>
        </w:rPr>
        <w:t>’s</w:t>
      </w:r>
      <w:r w:rsidRPr="007C05E5">
        <w:rPr>
          <w:rFonts w:ascii="Calibri" w:hAnsi="Calibri"/>
          <w:iCs/>
          <w:lang w:val="en-US"/>
        </w:rPr>
        <w:t xml:space="preserve"> indicator </w:t>
      </w:r>
      <w:r w:rsidR="00A1410F">
        <w:rPr>
          <w:rFonts w:ascii="Calibri" w:hAnsi="Calibri"/>
          <w:iCs/>
          <w:lang w:val="en-US"/>
        </w:rPr>
        <w:t>in</w:t>
      </w:r>
      <w:r w:rsidRPr="007C05E5">
        <w:rPr>
          <w:rFonts w:ascii="Calibri" w:hAnsi="Calibri"/>
          <w:iCs/>
          <w:lang w:val="en-US"/>
        </w:rPr>
        <w:t xml:space="preserve"> year </w:t>
      </w:r>
      <w:r w:rsidRPr="007C05E5">
        <w:rPr>
          <w:rFonts w:ascii="Calibri" w:hAnsi="Calibri"/>
          <w:i/>
          <w:iCs/>
          <w:lang w:val="en-US"/>
        </w:rPr>
        <w:t>j</w:t>
      </w:r>
      <w:r w:rsidR="00A1410F">
        <w:rPr>
          <w:rFonts w:ascii="Calibri" w:hAnsi="Calibri"/>
          <w:iCs/>
          <w:lang w:val="en-US"/>
        </w:rPr>
        <w:t xml:space="preserve">, </w:t>
      </w:r>
      <w:r w:rsidRPr="007C05E5">
        <w:rPr>
          <w:rFonts w:ascii="Calibri" w:hAnsi="Calibri"/>
          <w:iCs/>
          <w:lang w:val="en-US"/>
        </w:rPr>
        <w:t xml:space="preserve">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xml:space="preserve"> its </w:t>
      </w:r>
      <w:r w:rsidRPr="007C05E5">
        <w:rPr>
          <w:rFonts w:ascii="Calibri" w:hAnsi="Calibri"/>
          <w:iCs/>
          <w:color w:val="000000" w:themeColor="text1"/>
          <w:lang w:val="en-US"/>
        </w:rPr>
        <w:t xml:space="preserve">maximum and minimum values, </w:t>
      </w:r>
      <w:r w:rsidRPr="007C05E5">
        <w:rPr>
          <w:rFonts w:ascii="Calibri" w:hAnsi="Calibri"/>
          <w:color w:val="000000" w:themeColor="text1"/>
          <w:lang w:val="en-US"/>
        </w:rPr>
        <w:t>20 and -50 per cent</w:t>
      </w:r>
      <w:r w:rsidRPr="007C05E5">
        <w:rPr>
          <w:rFonts w:ascii="Calibri" w:hAnsi="Calibri"/>
          <w:iCs/>
          <w:color w:val="000000" w:themeColor="text1"/>
          <w:lang w:val="en-US"/>
        </w:rPr>
        <w:t>.</w:t>
      </w:r>
    </w:p>
    <w:p w14:paraId="3D784272" w14:textId="77777777" w:rsidR="00431533" w:rsidRPr="007C05E5" w:rsidRDefault="00431533" w:rsidP="00431533">
      <w:pPr>
        <w:ind w:firstLine="709"/>
        <w:rPr>
          <w:rFonts w:ascii="Calibri" w:hAnsi="Calibri"/>
          <w:color w:val="000000" w:themeColor="text1"/>
          <w:lang w:val="en-US"/>
        </w:rPr>
      </w:pPr>
      <w:r w:rsidRPr="007C05E5">
        <w:rPr>
          <w:rFonts w:ascii="Calibri" w:hAnsi="Calibri"/>
          <w:color w:val="000000" w:themeColor="text1"/>
          <w:lang w:val="en-US"/>
        </w:rPr>
        <w:t xml:space="preserve">The data come from Mauro et al. (2013), completed with JST and OECD. National sources have been used for Austria (Austria-Hungary), 1850-1913, Jobst and Scheiber (2014); Greece, 1850-1939, Lazaretou (2014); Portugal,  Marinheiro (2006), and Spain, Comín (2005 and private communication). </w:t>
      </w:r>
    </w:p>
    <w:p w14:paraId="5C01B3B5" w14:textId="1B56FB03" w:rsidR="00431533" w:rsidRPr="00E54EC0" w:rsidRDefault="00431533" w:rsidP="00E54EC0">
      <w:pPr>
        <w:autoSpaceDE w:val="0"/>
        <w:autoSpaceDN w:val="0"/>
        <w:adjustRightInd w:val="0"/>
        <w:rPr>
          <w:rFonts w:ascii="Calibri" w:hAnsi="Calibri"/>
          <w:bCs/>
          <w:iCs/>
          <w:lang w:val="en-US"/>
        </w:rPr>
      </w:pPr>
      <w:r w:rsidRPr="007C05E5">
        <w:rPr>
          <w:rFonts w:ascii="Calibri" w:hAnsi="Calibri"/>
          <w:bCs/>
          <w:i/>
          <w:lang w:val="en-US"/>
        </w:rPr>
        <w:t xml:space="preserve">- Interest Rate Control </w:t>
      </w:r>
      <w:r w:rsidRPr="007C05E5">
        <w:rPr>
          <w:rFonts w:ascii="Calibri" w:hAnsi="Calibri"/>
          <w:bCs/>
          <w:iCs/>
          <w:lang w:val="en-US"/>
        </w:rPr>
        <w:t>proxied by the</w:t>
      </w:r>
      <w:r w:rsidRPr="007C05E5">
        <w:rPr>
          <w:rFonts w:ascii="Calibri" w:hAnsi="Calibri"/>
          <w:lang w:val="en-US"/>
        </w:rPr>
        <w:t xml:space="preserve"> real short-term interest rate, that is, the nominal short-term interest rate less inflation.</w:t>
      </w:r>
      <w:r w:rsidRPr="007C05E5">
        <w:rPr>
          <w:rFonts w:ascii="Calibri" w:hAnsi="Calibri"/>
          <w:bCs/>
          <w:iCs/>
          <w:lang w:val="en-US"/>
        </w:rPr>
        <w:t xml:space="preserve"> </w:t>
      </w:r>
      <w:r w:rsidRPr="007C05E5">
        <w:rPr>
          <w:rFonts w:ascii="Calibri" w:hAnsi="Calibri"/>
          <w:iCs/>
          <w:lang w:val="en-US"/>
        </w:rPr>
        <w:t xml:space="preserve">Real interest rates have been transformed into index form using the expression </w:t>
      </w: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w:t>
      </w:r>
      <w:r w:rsidRPr="007C05E5">
        <w:rPr>
          <w:rFonts w:ascii="Calibri" w:hAnsi="Calibri"/>
          <w:iCs/>
          <w:lang w:val="en-US"/>
        </w:rPr>
        <w:t xml:space="preserve"> </w:t>
      </w:r>
      <w:r w:rsidR="00E54EC0">
        <w:rPr>
          <w:rFonts w:ascii="Calibri" w:hAnsi="Calibri"/>
          <w:iCs/>
          <w:lang w:val="en-US"/>
        </w:rPr>
        <w:t>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represents the value of country </w:t>
      </w:r>
      <w:r w:rsidR="00A1410F">
        <w:rPr>
          <w:rFonts w:ascii="Calibri" w:hAnsi="Calibri"/>
          <w:i/>
          <w:iCs/>
          <w:lang w:val="en-US"/>
        </w:rPr>
        <w:t>I</w:t>
      </w:r>
      <w:r w:rsidR="00A1410F">
        <w:rPr>
          <w:rFonts w:ascii="Calibri" w:hAnsi="Calibri"/>
          <w:lang w:val="en-US"/>
        </w:rPr>
        <w:t>’s</w:t>
      </w:r>
      <w:r w:rsidRPr="007C05E5">
        <w:rPr>
          <w:rFonts w:ascii="Calibri" w:hAnsi="Calibri"/>
          <w:iCs/>
          <w:lang w:val="en-US"/>
        </w:rPr>
        <w:t xml:space="preserve"> indicator </w:t>
      </w:r>
      <w:r w:rsidR="00A1410F">
        <w:rPr>
          <w:rFonts w:ascii="Calibri" w:hAnsi="Calibri"/>
          <w:iCs/>
          <w:lang w:val="en-US"/>
        </w:rPr>
        <w:t>in</w:t>
      </w:r>
      <w:r w:rsidRPr="007C05E5">
        <w:rPr>
          <w:rFonts w:ascii="Calibri" w:hAnsi="Calibri"/>
          <w:iCs/>
          <w:lang w:val="en-US"/>
        </w:rPr>
        <w:t xml:space="preserve"> year </w:t>
      </w:r>
      <w:r w:rsidRPr="007C05E5">
        <w:rPr>
          <w:rFonts w:ascii="Calibri" w:hAnsi="Calibri"/>
          <w:i/>
          <w:iCs/>
          <w:lang w:val="en-US"/>
        </w:rPr>
        <w:t>j</w:t>
      </w:r>
      <w:r w:rsidR="00A1410F">
        <w:rPr>
          <w:rFonts w:ascii="Calibri" w:hAnsi="Calibri"/>
          <w:iCs/>
          <w:lang w:val="en-US"/>
        </w:rPr>
        <w:t xml:space="preserve">, </w:t>
      </w:r>
      <w:r w:rsidRPr="007C05E5">
        <w:rPr>
          <w:rFonts w:ascii="Calibri" w:hAnsi="Calibri"/>
          <w:iCs/>
          <w:lang w:val="en-US"/>
        </w:rPr>
        <w:t xml:space="preserve">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xml:space="preserve"> its </w:t>
      </w:r>
      <w:r w:rsidRPr="007C05E5">
        <w:rPr>
          <w:rFonts w:ascii="Calibri" w:hAnsi="Calibri"/>
          <w:iCs/>
          <w:color w:val="000000" w:themeColor="text1"/>
          <w:lang w:val="en-US"/>
        </w:rPr>
        <w:t>maximum and minimum values, 20 and -20, respectively.</w:t>
      </w:r>
    </w:p>
    <w:p w14:paraId="48581114" w14:textId="77777777" w:rsidR="00431533" w:rsidRPr="007C05E5" w:rsidRDefault="00431533" w:rsidP="00431533">
      <w:pPr>
        <w:autoSpaceDE w:val="0"/>
        <w:autoSpaceDN w:val="0"/>
        <w:adjustRightInd w:val="0"/>
        <w:ind w:firstLine="709"/>
        <w:rPr>
          <w:rFonts w:ascii="Calibri" w:hAnsi="Calibri"/>
          <w:lang w:val="en-US"/>
        </w:rPr>
      </w:pPr>
      <w:r w:rsidRPr="007C05E5">
        <w:rPr>
          <w:rFonts w:ascii="Calibri" w:hAnsi="Calibri"/>
          <w:color w:val="000000" w:themeColor="text1"/>
          <w:lang w:val="en-US"/>
        </w:rPr>
        <w:t>Data on short-run interest rates come from Homer and Sylla (2005) and JST, IMF and OECD, from 1950 onwards</w:t>
      </w:r>
      <w:r w:rsidRPr="007C05E5">
        <w:rPr>
          <w:rFonts w:ascii="Calibri" w:hAnsi="Calibri"/>
          <w:bCs/>
          <w:iCs/>
          <w:color w:val="000000" w:themeColor="text1"/>
          <w:lang w:val="en-US"/>
        </w:rPr>
        <w:t>,</w:t>
      </w:r>
      <w:r w:rsidRPr="007C05E5">
        <w:rPr>
          <w:rFonts w:ascii="Calibri" w:hAnsi="Calibri"/>
          <w:color w:val="000000" w:themeColor="text1"/>
          <w:lang w:val="en-US"/>
        </w:rPr>
        <w:t xml:space="preserve"> unless expressed explicitly in country sources. </w:t>
      </w:r>
      <w:r w:rsidRPr="007C05E5">
        <w:rPr>
          <w:rFonts w:ascii="Calibri" w:hAnsi="Calibri"/>
          <w:lang w:val="en-US"/>
        </w:rPr>
        <w:t xml:space="preserve">Inflation rates come from the sources used for Area 2. </w:t>
      </w:r>
    </w:p>
    <w:p w14:paraId="7593FC70" w14:textId="77777777" w:rsidR="00431533" w:rsidRPr="007C05E5" w:rsidRDefault="00431533" w:rsidP="00431533">
      <w:pPr>
        <w:autoSpaceDE w:val="0"/>
        <w:autoSpaceDN w:val="0"/>
        <w:adjustRightInd w:val="0"/>
        <w:rPr>
          <w:rFonts w:ascii="Calibri" w:hAnsi="Calibri"/>
          <w:lang w:val="en-US"/>
        </w:rPr>
      </w:pPr>
      <w:r w:rsidRPr="007C05E5">
        <w:rPr>
          <w:rFonts w:ascii="Calibri" w:hAnsi="Calibri"/>
          <w:lang w:val="en-US"/>
        </w:rPr>
        <w:t>The national sources used are,</w:t>
      </w:r>
    </w:p>
    <w:p w14:paraId="49483C2A" w14:textId="77777777" w:rsidR="00431533" w:rsidRPr="007C05E5" w:rsidRDefault="00431533" w:rsidP="00431533">
      <w:pPr>
        <w:autoSpaceDE w:val="0"/>
        <w:autoSpaceDN w:val="0"/>
        <w:adjustRightInd w:val="0"/>
        <w:rPr>
          <w:rFonts w:ascii="Calibri" w:hAnsi="Calibri"/>
          <w:b/>
          <w:lang w:val="en-US"/>
        </w:rPr>
      </w:pPr>
      <w:r w:rsidRPr="007C05E5">
        <w:rPr>
          <w:rFonts w:ascii="Calibri" w:hAnsi="Calibri"/>
          <w:b/>
          <w:lang w:val="en-US"/>
        </w:rPr>
        <w:t>Australia</w:t>
      </w:r>
      <w:r w:rsidRPr="007C05E5">
        <w:rPr>
          <w:rFonts w:ascii="Calibri" w:hAnsi="Calibri"/>
          <w:bCs/>
          <w:lang w:val="en-US"/>
        </w:rPr>
        <w:t xml:space="preserve">, </w:t>
      </w:r>
      <w:r w:rsidRPr="007C05E5">
        <w:rPr>
          <w:rFonts w:ascii="Calibri" w:hAnsi="Calibri"/>
          <w:bCs/>
          <w:color w:val="000000" w:themeColor="text1"/>
          <w:lang w:val="en-US"/>
        </w:rPr>
        <w:t>Vamplew</w:t>
      </w:r>
      <w:r w:rsidRPr="007C05E5">
        <w:rPr>
          <w:rFonts w:ascii="Calibri" w:hAnsi="Calibri"/>
          <w:color w:val="000000" w:themeColor="text1"/>
          <w:lang w:val="en-US"/>
        </w:rPr>
        <w:t xml:space="preserve"> (1987), 1850-1936; Homer and Sylla (2005), 1937-67; OECD, 1968-2020.</w:t>
      </w:r>
    </w:p>
    <w:p w14:paraId="7338EB40"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lang w:val="en-US"/>
        </w:rPr>
        <w:t>Austria</w:t>
      </w:r>
      <w:r w:rsidRPr="007C05E5">
        <w:rPr>
          <w:rFonts w:ascii="Calibri" w:hAnsi="Calibri"/>
          <w:bCs/>
          <w:lang w:val="en-US"/>
        </w:rPr>
        <w:t xml:space="preserve">, </w:t>
      </w:r>
      <w:r w:rsidRPr="007C05E5">
        <w:rPr>
          <w:rFonts w:ascii="Calibri" w:hAnsi="Calibri"/>
          <w:color w:val="000000" w:themeColor="text1"/>
          <w:lang w:val="en-US"/>
        </w:rPr>
        <w:t>Jobst and Scheiber (2014), 1863-1913; Morys (private communication), 1925-39; IMF, since 1950. Homer and Sylla (2005), 1945-1966; OECD, 1967 onwards.</w:t>
      </w:r>
    </w:p>
    <w:p w14:paraId="69A5E7D7"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Belgium</w:t>
      </w:r>
      <w:r w:rsidRPr="007C05E5">
        <w:rPr>
          <w:rFonts w:ascii="Calibri" w:hAnsi="Calibri"/>
          <w:bCs/>
          <w:color w:val="000000" w:themeColor="text1"/>
          <w:lang w:val="en-US"/>
        </w:rPr>
        <w:t xml:space="preserve">, </w:t>
      </w:r>
      <w:r w:rsidRPr="007C05E5">
        <w:rPr>
          <w:rFonts w:ascii="Calibri" w:hAnsi="Calibri"/>
          <w:color w:val="000000" w:themeColor="text1"/>
          <w:lang w:val="en-US"/>
        </w:rPr>
        <w:t>Homer and Sylla (2005), 1850-1959; OECD, 1960-2020</w:t>
      </w:r>
    </w:p>
    <w:p w14:paraId="1CBC0B09"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Canada</w:t>
      </w:r>
      <w:r w:rsidRPr="007C05E5">
        <w:rPr>
          <w:rFonts w:ascii="Calibri" w:hAnsi="Calibri"/>
          <w:bCs/>
          <w:color w:val="000000" w:themeColor="text1"/>
          <w:lang w:val="en-US"/>
        </w:rPr>
        <w:t xml:space="preserve">, </w:t>
      </w:r>
      <w:r w:rsidRPr="007C05E5">
        <w:rPr>
          <w:rFonts w:ascii="Calibri" w:hAnsi="Calibri"/>
          <w:color w:val="000000" w:themeColor="text1"/>
          <w:lang w:val="en-US"/>
        </w:rPr>
        <w:t>McInnis (2001), 1871-1939; Homer and Sylla (2005), 1935-60 1950-89; IMF, 1990 OECD, 1960-2020.</w:t>
      </w:r>
    </w:p>
    <w:p w14:paraId="75000945"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Denmark</w:t>
      </w:r>
      <w:r w:rsidRPr="007C05E5">
        <w:rPr>
          <w:rFonts w:ascii="Calibri" w:hAnsi="Calibri"/>
          <w:bCs/>
          <w:color w:val="000000" w:themeColor="text1"/>
          <w:lang w:val="en-US"/>
        </w:rPr>
        <w:t xml:space="preserve">, </w:t>
      </w:r>
      <w:r w:rsidRPr="007C05E5">
        <w:rPr>
          <w:rFonts w:ascii="Calibri" w:hAnsi="Calibri"/>
          <w:color w:val="000000" w:themeColor="text1"/>
          <w:lang w:val="en-US"/>
        </w:rPr>
        <w:t>Abildgren (2005), 1875-2003; OECD, 2004-20.</w:t>
      </w:r>
    </w:p>
    <w:p w14:paraId="1D709454"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Finland</w:t>
      </w:r>
      <w:r w:rsidRPr="007C05E5">
        <w:rPr>
          <w:rFonts w:ascii="Calibri" w:hAnsi="Calibri"/>
          <w:bCs/>
          <w:color w:val="000000" w:themeColor="text1"/>
          <w:lang w:val="en-US"/>
        </w:rPr>
        <w:t>, Bank of Finland. 1867-69; JST6, 1870-1969</w:t>
      </w:r>
      <w:r w:rsidRPr="007C05E5">
        <w:rPr>
          <w:rFonts w:ascii="Calibri" w:hAnsi="Calibri"/>
          <w:color w:val="000000" w:themeColor="text1"/>
          <w:lang w:val="en-US"/>
        </w:rPr>
        <w:t>; OECD, 1970-2020.</w:t>
      </w:r>
    </w:p>
    <w:p w14:paraId="02F72287"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lang w:val="en-US"/>
        </w:rPr>
        <w:t>France</w:t>
      </w:r>
      <w:r w:rsidRPr="007C05E5">
        <w:rPr>
          <w:rFonts w:ascii="Calibri" w:hAnsi="Calibri"/>
          <w:bCs/>
          <w:lang w:val="en-US"/>
        </w:rPr>
        <w:t xml:space="preserve">,  </w:t>
      </w:r>
      <w:r w:rsidRPr="007C05E5">
        <w:rPr>
          <w:rFonts w:ascii="Calibri" w:hAnsi="Calibri"/>
          <w:color w:val="000000" w:themeColor="text1"/>
          <w:lang w:val="en-US"/>
        </w:rPr>
        <w:t>Lévy-Leboyer and Bourguignon (1985), 1850-1913; Homer and Sylla (2005), 1914-1969; OECD, 1970-2020..</w:t>
      </w:r>
    </w:p>
    <w:p w14:paraId="5DF43782" w14:textId="77777777" w:rsidR="00431533" w:rsidRPr="007C05E5" w:rsidRDefault="00431533" w:rsidP="00431533">
      <w:pPr>
        <w:autoSpaceDE w:val="0"/>
        <w:autoSpaceDN w:val="0"/>
        <w:adjustRightInd w:val="0"/>
        <w:rPr>
          <w:rFonts w:ascii="Calibri" w:hAnsi="Calibri"/>
          <w:b/>
          <w:lang w:val="en-US"/>
        </w:rPr>
      </w:pPr>
      <w:r w:rsidRPr="007C05E5">
        <w:rPr>
          <w:rFonts w:ascii="Calibri" w:hAnsi="Calibri"/>
          <w:b/>
          <w:lang w:val="en-US"/>
        </w:rPr>
        <w:t>Germany</w:t>
      </w:r>
      <w:r w:rsidRPr="007C05E5">
        <w:rPr>
          <w:rFonts w:ascii="Calibri" w:hAnsi="Calibri"/>
          <w:bCs/>
          <w:lang w:val="en-US"/>
        </w:rPr>
        <w:t>,</w:t>
      </w:r>
      <w:r w:rsidRPr="007C05E5">
        <w:rPr>
          <w:rFonts w:ascii="Calibri" w:hAnsi="Calibri"/>
          <w:color w:val="000000" w:themeColor="text1"/>
          <w:lang w:val="en-US"/>
        </w:rPr>
        <w:t xml:space="preserve"> Homer and Sylla (2005), 1850-1913, 1925-1939; IMF, since 1950-2011; OECD, 2012-2020. </w:t>
      </w:r>
    </w:p>
    <w:p w14:paraId="7D026558"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Greece</w:t>
      </w:r>
      <w:r w:rsidRPr="007C05E5">
        <w:rPr>
          <w:rFonts w:ascii="Calibri" w:hAnsi="Calibri"/>
          <w:bCs/>
          <w:color w:val="000000" w:themeColor="text1"/>
          <w:lang w:val="en-US"/>
        </w:rPr>
        <w:t xml:space="preserve">, </w:t>
      </w:r>
      <w:r w:rsidRPr="007C05E5">
        <w:rPr>
          <w:rFonts w:ascii="Calibri" w:hAnsi="Calibri"/>
          <w:color w:val="000000" w:themeColor="text1"/>
          <w:lang w:val="en-US"/>
        </w:rPr>
        <w:t>Lazaretou (2014), 1850-1939; IMF, 1950-1994; OECD, 1995-2020.</w:t>
      </w:r>
    </w:p>
    <w:p w14:paraId="5FF6E01F"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lastRenderedPageBreak/>
        <w:t>Ireland</w:t>
      </w:r>
      <w:r w:rsidRPr="007C05E5">
        <w:rPr>
          <w:rFonts w:ascii="Calibri" w:hAnsi="Calibri"/>
          <w:bCs/>
          <w:color w:val="000000" w:themeColor="text1"/>
          <w:lang w:val="en-US"/>
        </w:rPr>
        <w:t xml:space="preserve">, JST6, </w:t>
      </w:r>
      <w:r w:rsidRPr="007C05E5">
        <w:rPr>
          <w:rFonts w:ascii="Calibri" w:hAnsi="Calibri"/>
          <w:color w:val="000000" w:themeColor="text1"/>
          <w:lang w:val="en-US"/>
        </w:rPr>
        <w:t>1923-1932; Gerlach and Stuart (2014), 1933-2012; OECD, 2013-2020.</w:t>
      </w:r>
    </w:p>
    <w:p w14:paraId="1D00E88B" w14:textId="77777777" w:rsidR="00431533" w:rsidRPr="00C06ABF" w:rsidRDefault="00431533" w:rsidP="00431533">
      <w:pPr>
        <w:autoSpaceDE w:val="0"/>
        <w:autoSpaceDN w:val="0"/>
        <w:adjustRightInd w:val="0"/>
        <w:rPr>
          <w:rFonts w:ascii="Calibri" w:hAnsi="Calibri"/>
          <w:bCs/>
          <w:color w:val="000000" w:themeColor="text1"/>
        </w:rPr>
      </w:pPr>
      <w:r w:rsidRPr="00C06ABF">
        <w:rPr>
          <w:rFonts w:ascii="Calibri" w:hAnsi="Calibri"/>
          <w:b/>
          <w:color w:val="000000" w:themeColor="text1"/>
        </w:rPr>
        <w:t>Italy</w:t>
      </w:r>
      <w:r w:rsidRPr="00C06ABF">
        <w:rPr>
          <w:rFonts w:ascii="Calibri" w:hAnsi="Calibri"/>
          <w:bCs/>
          <w:color w:val="000000" w:themeColor="text1"/>
        </w:rPr>
        <w:t xml:space="preserve">, </w:t>
      </w:r>
      <w:r w:rsidRPr="00C06ABF">
        <w:rPr>
          <w:rFonts w:ascii="Calibri" w:hAnsi="Calibri"/>
          <w:color w:val="000000" w:themeColor="text1"/>
        </w:rPr>
        <w:t xml:space="preserve">de Bonis et al. </w:t>
      </w:r>
      <w:r w:rsidRPr="00A274B4">
        <w:rPr>
          <w:rFonts w:ascii="Calibri" w:hAnsi="Calibri"/>
          <w:color w:val="000000" w:themeColor="text1"/>
        </w:rPr>
        <w:t>(2012), 1862-1884; JST6, 1885-1914, 1922-70;  Cotula et al. (1996), 1915-21; OECD, 1971-2020.</w:t>
      </w:r>
    </w:p>
    <w:p w14:paraId="46E5E9D2" w14:textId="77777777" w:rsidR="00431533" w:rsidRPr="00FC1DAB" w:rsidRDefault="00431533" w:rsidP="00431533">
      <w:pPr>
        <w:autoSpaceDE w:val="0"/>
        <w:autoSpaceDN w:val="0"/>
        <w:adjustRightInd w:val="0"/>
        <w:rPr>
          <w:rFonts w:ascii="Calibri" w:hAnsi="Calibri"/>
          <w:bCs/>
          <w:lang w:val="en-US"/>
        </w:rPr>
      </w:pPr>
      <w:r w:rsidRPr="00D5624A">
        <w:rPr>
          <w:rFonts w:ascii="Calibri" w:hAnsi="Calibri"/>
          <w:b/>
          <w:lang w:val="en-US"/>
        </w:rPr>
        <w:t>Japan</w:t>
      </w:r>
      <w:r>
        <w:rPr>
          <w:rFonts w:ascii="Calibri" w:hAnsi="Calibri"/>
          <w:bCs/>
          <w:lang w:val="en-US"/>
        </w:rPr>
        <w:t xml:space="preserve">, </w:t>
      </w:r>
      <w:r w:rsidRPr="007C05E5">
        <w:rPr>
          <w:rFonts w:ascii="Calibri" w:hAnsi="Calibri"/>
          <w:lang w:val="en-US"/>
        </w:rPr>
        <w:t xml:space="preserve">Homer and Sylla (2005), 1883-1939; Historical Statistics Japan, 1950-2000; IMF, 2001-20. </w:t>
      </w:r>
    </w:p>
    <w:p w14:paraId="7D480882"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Netherlands</w:t>
      </w:r>
      <w:r w:rsidRPr="007C05E5">
        <w:rPr>
          <w:rFonts w:ascii="Calibri" w:hAnsi="Calibri"/>
          <w:bCs/>
          <w:color w:val="000000" w:themeColor="text1"/>
          <w:lang w:val="en-US"/>
        </w:rPr>
        <w:t xml:space="preserve">, </w:t>
      </w:r>
      <w:r w:rsidRPr="007C05E5">
        <w:rPr>
          <w:rFonts w:ascii="Calibri" w:hAnsi="Calibri"/>
          <w:color w:val="000000" w:themeColor="text1"/>
          <w:lang w:val="en-US"/>
        </w:rPr>
        <w:t>Homer and Sylla (2005), 1850-69, 1900-59; JST6, 1870-99, 1913-14, 1942-45; OECD, 1960-2020.</w:t>
      </w:r>
    </w:p>
    <w:p w14:paraId="4F7B60A8"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color w:val="000000" w:themeColor="text1"/>
          <w:lang w:val="en-US"/>
        </w:rPr>
        <w:t>New Zealand</w:t>
      </w:r>
      <w:r w:rsidRPr="007C05E5">
        <w:rPr>
          <w:rFonts w:ascii="Calibri" w:hAnsi="Calibri"/>
          <w:bCs/>
          <w:color w:val="000000" w:themeColor="text1"/>
          <w:lang w:val="en-US"/>
        </w:rPr>
        <w:t xml:space="preserve">, </w:t>
      </w:r>
      <w:r w:rsidRPr="007C05E5">
        <w:rPr>
          <w:rFonts w:ascii="Calibri" w:hAnsi="Calibri"/>
          <w:color w:val="000000" w:themeColor="text1"/>
          <w:lang w:val="en-US"/>
        </w:rPr>
        <w:t>Homer and Sylla (2005), 1934-47; Statistics New Zealand, 1948-1973; OECD, 1974-2020. The 1934 level was backwards projected to 1912 with the Nominal Mortgage Interest Rate and, then, to 1859, with Australia’s interest rate series.</w:t>
      </w:r>
    </w:p>
    <w:p w14:paraId="4B37E991" w14:textId="77777777" w:rsidR="00431533" w:rsidRPr="00FC1DAB" w:rsidRDefault="00431533" w:rsidP="00431533">
      <w:pPr>
        <w:autoSpaceDE w:val="0"/>
        <w:autoSpaceDN w:val="0"/>
        <w:adjustRightInd w:val="0"/>
        <w:rPr>
          <w:rFonts w:ascii="Calibri" w:hAnsi="Calibri"/>
          <w:bCs/>
        </w:rPr>
      </w:pPr>
      <w:r w:rsidRPr="00440133">
        <w:rPr>
          <w:rFonts w:ascii="Calibri" w:hAnsi="Calibri"/>
          <w:b/>
        </w:rPr>
        <w:t>Norway</w:t>
      </w:r>
      <w:r>
        <w:rPr>
          <w:rFonts w:ascii="Calibri" w:hAnsi="Calibri"/>
          <w:bCs/>
        </w:rPr>
        <w:t xml:space="preserve">, </w:t>
      </w:r>
      <w:r w:rsidRPr="00921A1B">
        <w:rPr>
          <w:rFonts w:ascii="Calibri" w:hAnsi="Calibri"/>
          <w:color w:val="000000" w:themeColor="text1"/>
        </w:rPr>
        <w:t xml:space="preserve">Eitrheim et al. </w:t>
      </w:r>
      <w:r>
        <w:rPr>
          <w:rFonts w:ascii="Calibri" w:hAnsi="Calibri"/>
          <w:color w:val="000000" w:themeColor="text1"/>
        </w:rPr>
        <w:t xml:space="preserve">(2022). </w:t>
      </w:r>
    </w:p>
    <w:p w14:paraId="3B084607" w14:textId="77777777" w:rsidR="00431533" w:rsidRPr="00A274B4" w:rsidRDefault="00431533" w:rsidP="00431533">
      <w:pPr>
        <w:autoSpaceDE w:val="0"/>
        <w:autoSpaceDN w:val="0"/>
        <w:adjustRightInd w:val="0"/>
        <w:rPr>
          <w:rFonts w:ascii="Calibri" w:hAnsi="Calibri"/>
          <w:bCs/>
          <w:color w:val="000000" w:themeColor="text1"/>
        </w:rPr>
      </w:pPr>
      <w:r w:rsidRPr="00A274B4">
        <w:rPr>
          <w:rFonts w:ascii="Calibri" w:hAnsi="Calibri"/>
          <w:b/>
          <w:color w:val="000000" w:themeColor="text1"/>
        </w:rPr>
        <w:t>Portugal</w:t>
      </w:r>
      <w:r w:rsidRPr="00A274B4">
        <w:rPr>
          <w:rFonts w:ascii="Calibri" w:hAnsi="Calibri"/>
          <w:bCs/>
          <w:color w:val="000000" w:themeColor="text1"/>
        </w:rPr>
        <w:t xml:space="preserve">, </w:t>
      </w:r>
      <w:r w:rsidRPr="00A274B4">
        <w:rPr>
          <w:rFonts w:ascii="Calibri" w:hAnsi="Calibri"/>
          <w:color w:val="000000" w:themeColor="text1"/>
        </w:rPr>
        <w:t>Reis (2007), 1863-87; Flandreau and Zumer (2004), 1888-90; Valério (2001) and Pinheiro (1997), 1891-69; OECD, 1970-2020.</w:t>
      </w:r>
    </w:p>
    <w:p w14:paraId="47735907" w14:textId="77777777" w:rsidR="00431533" w:rsidRPr="00FC1DAB" w:rsidRDefault="00431533" w:rsidP="00431533">
      <w:pPr>
        <w:autoSpaceDE w:val="0"/>
        <w:autoSpaceDN w:val="0"/>
        <w:adjustRightInd w:val="0"/>
        <w:rPr>
          <w:rFonts w:ascii="Calibri" w:hAnsi="Calibri"/>
          <w:bCs/>
          <w:color w:val="000000" w:themeColor="text1"/>
        </w:rPr>
      </w:pPr>
      <w:r w:rsidRPr="00FC1DAB">
        <w:rPr>
          <w:rFonts w:ascii="Calibri" w:hAnsi="Calibri"/>
          <w:b/>
          <w:color w:val="000000" w:themeColor="text1"/>
        </w:rPr>
        <w:t>Spain</w:t>
      </w:r>
      <w:r w:rsidRPr="00FC1DAB">
        <w:rPr>
          <w:rFonts w:ascii="Calibri" w:hAnsi="Calibri"/>
          <w:bCs/>
          <w:color w:val="000000" w:themeColor="text1"/>
        </w:rPr>
        <w:t xml:space="preserve">, </w:t>
      </w:r>
      <w:r w:rsidRPr="00921A1B">
        <w:rPr>
          <w:rFonts w:ascii="Calibri" w:hAnsi="Calibri"/>
          <w:color w:val="000000" w:themeColor="text1"/>
        </w:rPr>
        <w:t>Tortella (1973), Banco de Barcelona, 1850-1873; Martín-Aceña and Pons (2005), 1874-1976; OECD, 1977-2020</w:t>
      </w:r>
    </w:p>
    <w:p w14:paraId="2F2B3D42"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Sweden</w:t>
      </w:r>
      <w:r w:rsidRPr="007C05E5">
        <w:rPr>
          <w:rFonts w:ascii="Calibri" w:hAnsi="Calibri"/>
          <w:bCs/>
          <w:color w:val="000000" w:themeColor="text1"/>
          <w:lang w:val="en-US"/>
        </w:rPr>
        <w:t xml:space="preserve">, </w:t>
      </w:r>
      <w:r w:rsidRPr="007C05E5">
        <w:rPr>
          <w:rFonts w:ascii="Calibri" w:hAnsi="Calibri"/>
          <w:color w:val="000000" w:themeColor="text1"/>
          <w:lang w:val="en-US"/>
        </w:rPr>
        <w:t>Homer and Sylla (2005), 1850-55; Waldeström (2007), 1856-2000; OECD, 2000-2020.</w:t>
      </w:r>
    </w:p>
    <w:p w14:paraId="28D9CD0B" w14:textId="77777777" w:rsidR="00431533" w:rsidRPr="007C05E5" w:rsidRDefault="00431533" w:rsidP="00431533">
      <w:pPr>
        <w:autoSpaceDE w:val="0"/>
        <w:autoSpaceDN w:val="0"/>
        <w:adjustRightInd w:val="0"/>
        <w:rPr>
          <w:rFonts w:ascii="Calibri" w:hAnsi="Calibri"/>
          <w:bCs/>
          <w:color w:val="000000" w:themeColor="text1"/>
          <w:lang w:val="en-US"/>
        </w:rPr>
      </w:pPr>
      <w:r w:rsidRPr="007C05E5">
        <w:rPr>
          <w:rFonts w:ascii="Calibri" w:hAnsi="Calibri"/>
          <w:b/>
          <w:color w:val="000000" w:themeColor="text1"/>
          <w:lang w:val="en-US"/>
        </w:rPr>
        <w:t>Switzerland</w:t>
      </w:r>
      <w:r w:rsidRPr="007C05E5">
        <w:rPr>
          <w:rFonts w:ascii="Calibri" w:hAnsi="Calibri"/>
          <w:bCs/>
          <w:color w:val="000000" w:themeColor="text1"/>
          <w:lang w:val="en-US"/>
        </w:rPr>
        <w:t xml:space="preserve">, </w:t>
      </w:r>
      <w:r w:rsidRPr="007C05E5">
        <w:rPr>
          <w:rFonts w:ascii="Calibri" w:hAnsi="Calibri"/>
          <w:lang w:val="en-US"/>
        </w:rPr>
        <w:t>Swiss National Bank</w:t>
      </w:r>
      <w:r w:rsidRPr="007C05E5">
        <w:rPr>
          <w:rFonts w:ascii="Calibri" w:hAnsi="Calibri"/>
          <w:color w:val="1623FF"/>
          <w:lang w:val="en-US"/>
        </w:rPr>
        <w:t xml:space="preserve">, </w:t>
      </w:r>
      <w:r w:rsidRPr="007C05E5">
        <w:rPr>
          <w:rFonts w:ascii="Calibri" w:hAnsi="Calibri"/>
          <w:color w:val="000000" w:themeColor="text1"/>
          <w:lang w:val="en-US"/>
        </w:rPr>
        <w:t>1837-2004</w:t>
      </w:r>
      <w:r w:rsidRPr="007C05E5">
        <w:rPr>
          <w:rFonts w:ascii="Calibri" w:hAnsi="Calibri"/>
          <w:color w:val="1623FF"/>
          <w:lang w:val="en-US"/>
        </w:rPr>
        <w:t xml:space="preserve">; </w:t>
      </w:r>
      <w:r w:rsidRPr="007C05E5">
        <w:rPr>
          <w:rFonts w:ascii="Calibri" w:hAnsi="Calibri"/>
          <w:color w:val="000000" w:themeColor="text1"/>
          <w:lang w:val="en-US"/>
        </w:rPr>
        <w:t>OECD, 2005-2020.</w:t>
      </w:r>
    </w:p>
    <w:p w14:paraId="469BDE16" w14:textId="77777777" w:rsidR="00431533" w:rsidRPr="007C05E5" w:rsidRDefault="00431533" w:rsidP="00431533">
      <w:pPr>
        <w:autoSpaceDE w:val="0"/>
        <w:autoSpaceDN w:val="0"/>
        <w:adjustRightInd w:val="0"/>
        <w:rPr>
          <w:rFonts w:ascii="Calibri" w:hAnsi="Calibri"/>
          <w:bCs/>
          <w:lang w:val="en-US"/>
        </w:rPr>
      </w:pPr>
      <w:r w:rsidRPr="007C05E5">
        <w:rPr>
          <w:rFonts w:ascii="Calibri" w:hAnsi="Calibri"/>
          <w:b/>
          <w:color w:val="000000" w:themeColor="text1"/>
          <w:lang w:val="en-US"/>
        </w:rPr>
        <w:t>United Kingdom</w:t>
      </w:r>
      <w:r w:rsidRPr="007C05E5">
        <w:rPr>
          <w:rFonts w:ascii="Calibri" w:hAnsi="Calibri"/>
          <w:bCs/>
          <w:color w:val="000000" w:themeColor="text1"/>
          <w:lang w:val="en-US"/>
        </w:rPr>
        <w:t xml:space="preserve">, </w:t>
      </w:r>
      <w:r w:rsidRPr="007C05E5">
        <w:rPr>
          <w:rFonts w:ascii="Calibri" w:hAnsi="Calibri"/>
          <w:color w:val="000000" w:themeColor="text1"/>
          <w:lang w:val="en-US"/>
        </w:rPr>
        <w:t>1815-2020, Officer (2022).</w:t>
      </w:r>
    </w:p>
    <w:p w14:paraId="64A3C995" w14:textId="77777777" w:rsidR="00431533" w:rsidRPr="007C05E5" w:rsidRDefault="00431533" w:rsidP="00431533">
      <w:pPr>
        <w:autoSpaceDE w:val="0"/>
        <w:autoSpaceDN w:val="0"/>
        <w:adjustRightInd w:val="0"/>
        <w:rPr>
          <w:rFonts w:ascii="Calibri" w:hAnsi="Calibri"/>
          <w:lang w:val="en-US"/>
        </w:rPr>
      </w:pPr>
      <w:r w:rsidRPr="007C05E5">
        <w:rPr>
          <w:rFonts w:ascii="Calibri" w:hAnsi="Calibri"/>
          <w:b/>
          <w:lang w:val="en-US"/>
        </w:rPr>
        <w:t>United States</w:t>
      </w:r>
      <w:r w:rsidRPr="007C05E5">
        <w:rPr>
          <w:rFonts w:ascii="Calibri" w:hAnsi="Calibri"/>
          <w:bCs/>
          <w:lang w:val="en-US"/>
        </w:rPr>
        <w:t xml:space="preserve">, </w:t>
      </w:r>
      <w:r w:rsidRPr="007C05E5">
        <w:rPr>
          <w:rFonts w:ascii="Calibri" w:hAnsi="Calibri"/>
          <w:lang w:val="en-US"/>
        </w:rPr>
        <w:t>Officer (2022).</w:t>
      </w:r>
    </w:p>
    <w:p w14:paraId="7A793FED" w14:textId="77777777" w:rsidR="00431533" w:rsidRPr="007C05E5" w:rsidRDefault="00431533" w:rsidP="00431533">
      <w:pPr>
        <w:autoSpaceDE w:val="0"/>
        <w:autoSpaceDN w:val="0"/>
        <w:adjustRightInd w:val="0"/>
        <w:rPr>
          <w:rFonts w:ascii="Calibri" w:hAnsi="Calibri"/>
          <w:bCs/>
          <w:lang w:val="en-US"/>
        </w:rPr>
      </w:pPr>
    </w:p>
    <w:p w14:paraId="18966F65" w14:textId="77777777" w:rsidR="00431533" w:rsidRPr="007C05E5" w:rsidRDefault="00431533" w:rsidP="00431533">
      <w:pPr>
        <w:autoSpaceDE w:val="0"/>
        <w:autoSpaceDN w:val="0"/>
        <w:adjustRightInd w:val="0"/>
        <w:rPr>
          <w:rFonts w:ascii="Calibri" w:hAnsi="Calibri"/>
          <w:b/>
          <w:i/>
          <w:color w:val="0000FF"/>
          <w:lang w:val="en-US"/>
        </w:rPr>
      </w:pPr>
      <w:r w:rsidRPr="007C05E5">
        <w:rPr>
          <w:rFonts w:ascii="Calibri" w:hAnsi="Calibri"/>
          <w:b/>
          <w:i/>
          <w:lang w:val="en-US"/>
        </w:rPr>
        <w:t>B) Labour Market Regulation</w:t>
      </w:r>
    </w:p>
    <w:p w14:paraId="04BB8624" w14:textId="77777777" w:rsidR="00A1410F" w:rsidRDefault="00431533" w:rsidP="00431533">
      <w:pPr>
        <w:autoSpaceDE w:val="0"/>
        <w:autoSpaceDN w:val="0"/>
        <w:adjustRightInd w:val="0"/>
        <w:rPr>
          <w:rFonts w:ascii="Calibri" w:hAnsi="Calibri"/>
          <w:lang w:val="en-US"/>
        </w:rPr>
      </w:pPr>
      <w:r w:rsidRPr="007C05E5">
        <w:rPr>
          <w:rFonts w:ascii="Calibri" w:hAnsi="Calibri"/>
          <w:b/>
          <w:bCs/>
          <w:lang w:val="en-US"/>
        </w:rPr>
        <w:t xml:space="preserve">- </w:t>
      </w:r>
      <w:r w:rsidRPr="007C05E5">
        <w:rPr>
          <w:rFonts w:ascii="Calibri" w:hAnsi="Calibri"/>
          <w:i/>
          <w:iCs/>
          <w:lang w:val="en-US"/>
        </w:rPr>
        <w:t>Freedom of Domestic Movement</w:t>
      </w:r>
      <w:r w:rsidRPr="007C05E5">
        <w:rPr>
          <w:rFonts w:ascii="Calibri" w:hAnsi="Calibri"/>
          <w:lang w:val="en-US"/>
        </w:rPr>
        <w:t xml:space="preserve"> (v2xcl_dmove). </w:t>
      </w:r>
      <w:r w:rsidR="00A1410F" w:rsidRPr="00A1410F">
        <w:rPr>
          <w:rFonts w:ascii="Calibri" w:hAnsi="Calibri"/>
          <w:lang w:val="en-US"/>
        </w:rPr>
        <w:t xml:space="preserve">This indicator measures citizens' ability to move freely across regions within a country and to establish permanent residency where they wish. </w:t>
      </w:r>
    </w:p>
    <w:p w14:paraId="27D5410E" w14:textId="77777777" w:rsidR="00A1410F" w:rsidRDefault="00431533" w:rsidP="00A1410F">
      <w:pPr>
        <w:autoSpaceDE w:val="0"/>
        <w:autoSpaceDN w:val="0"/>
        <w:adjustRightInd w:val="0"/>
        <w:rPr>
          <w:rFonts w:ascii="Calibri" w:hAnsi="Calibri"/>
          <w:lang w:val="en-US"/>
        </w:rPr>
      </w:pPr>
      <w:r w:rsidRPr="007C05E5">
        <w:rPr>
          <w:rFonts w:ascii="Calibri" w:hAnsi="Calibri"/>
          <w:b/>
          <w:bCs/>
          <w:lang w:val="en-US"/>
        </w:rPr>
        <w:t xml:space="preserve">- </w:t>
      </w:r>
      <w:r w:rsidRPr="007C05E5">
        <w:rPr>
          <w:rFonts w:ascii="Calibri" w:hAnsi="Calibri"/>
          <w:i/>
          <w:iCs/>
          <w:lang w:val="en-US"/>
        </w:rPr>
        <w:t>Freedom from Forced Labour</w:t>
      </w:r>
      <w:r w:rsidRPr="007C05E5">
        <w:rPr>
          <w:rFonts w:ascii="Calibri" w:hAnsi="Calibri"/>
          <w:lang w:val="en-US"/>
        </w:rPr>
        <w:t xml:space="preserve"> (v2xcl_slave). </w:t>
      </w:r>
      <w:r w:rsidR="00A1410F" w:rsidRPr="00A1410F">
        <w:rPr>
          <w:rFonts w:ascii="Calibri" w:hAnsi="Calibri"/>
          <w:lang w:val="en-US"/>
        </w:rPr>
        <w:t xml:space="preserve">This indicator measures whether adult citizens are free from servitude and other forms of forced labour. </w:t>
      </w:r>
    </w:p>
    <w:p w14:paraId="6991348D" w14:textId="6B42BBFC" w:rsidR="00431533" w:rsidRPr="00E54EC0" w:rsidRDefault="00431533" w:rsidP="00A1410F">
      <w:pPr>
        <w:autoSpaceDE w:val="0"/>
        <w:autoSpaceDN w:val="0"/>
        <w:adjustRightInd w:val="0"/>
        <w:rPr>
          <w:rFonts w:ascii="Calibri" w:hAnsi="Calibri"/>
          <w:bCs/>
          <w:lang w:val="en-US"/>
        </w:rPr>
      </w:pPr>
      <w:r w:rsidRPr="007C05E5">
        <w:rPr>
          <w:rFonts w:ascii="Calibri" w:hAnsi="Calibri"/>
          <w:lang w:val="en-US"/>
        </w:rPr>
        <w:t xml:space="preserve">Both indicators </w:t>
      </w:r>
      <w:r w:rsidRPr="007C05E5">
        <w:rPr>
          <w:rFonts w:ascii="Calibri" w:hAnsi="Calibri"/>
          <w:iCs/>
          <w:lang w:val="en-US"/>
        </w:rPr>
        <w:t>come</w:t>
      </w:r>
      <w:r>
        <w:rPr>
          <w:rFonts w:ascii="Calibri" w:hAnsi="Calibri"/>
          <w:bCs/>
          <w:lang w:val="en-US"/>
        </w:rPr>
        <w:t xml:space="preserve"> from the </w:t>
      </w:r>
      <w:r w:rsidRPr="007C05E5">
        <w:rPr>
          <w:rFonts w:ascii="Calibri" w:hAnsi="Calibri"/>
          <w:lang w:val="en-US"/>
        </w:rPr>
        <w:t xml:space="preserve">V-Dem database </w:t>
      </w:r>
      <w:r w:rsidRPr="007C05E5">
        <w:rPr>
          <w:rFonts w:ascii="Calibri" w:hAnsi="Calibri"/>
          <w:bCs/>
          <w:lang w:val="en-US"/>
        </w:rPr>
        <w:t>(Coppedge et al., 2022). Their o</w:t>
      </w:r>
      <w:r w:rsidRPr="007C05E5">
        <w:rPr>
          <w:rFonts w:ascii="Calibri" w:hAnsi="Calibri"/>
          <w:iCs/>
          <w:lang w:val="en-US"/>
        </w:rPr>
        <w:t xml:space="preserve">riginal values have been transformed into index form using the expression </w:t>
      </w:r>
      <w:r w:rsidR="00E54EC0">
        <w:rPr>
          <w:rFonts w:ascii="Calibri" w:hAnsi="Calibri"/>
          <w:bCs/>
          <w:lang w:val="en-US"/>
        </w:rPr>
        <w:br/>
      </w: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 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represents the value of country </w:t>
      </w:r>
      <w:r w:rsidR="00A1410F">
        <w:rPr>
          <w:rFonts w:ascii="Calibri" w:hAnsi="Calibri"/>
          <w:i/>
          <w:iCs/>
          <w:lang w:val="en-US"/>
        </w:rPr>
        <w:t>I</w:t>
      </w:r>
      <w:r w:rsidR="00A1410F">
        <w:rPr>
          <w:rFonts w:ascii="Calibri" w:hAnsi="Calibri"/>
          <w:lang w:val="en-US"/>
        </w:rPr>
        <w:t>’s</w:t>
      </w:r>
      <w:r w:rsidRPr="007C05E5">
        <w:rPr>
          <w:rFonts w:ascii="Calibri" w:hAnsi="Calibri"/>
          <w:iCs/>
          <w:lang w:val="en-US"/>
        </w:rPr>
        <w:t xml:space="preserve"> indicator </w:t>
      </w:r>
      <w:r w:rsidR="00A1410F">
        <w:rPr>
          <w:rFonts w:ascii="Calibri" w:hAnsi="Calibri"/>
          <w:iCs/>
          <w:lang w:val="en-US"/>
        </w:rPr>
        <w:t xml:space="preserve">in </w:t>
      </w:r>
      <w:r w:rsidRPr="007C05E5">
        <w:rPr>
          <w:rFonts w:ascii="Calibri" w:hAnsi="Calibri"/>
          <w:iCs/>
          <w:lang w:val="en-US"/>
        </w:rPr>
        <w:t xml:space="preserve"> year </w:t>
      </w:r>
      <w:r w:rsidRPr="007C05E5">
        <w:rPr>
          <w:rFonts w:ascii="Calibri" w:hAnsi="Calibri"/>
          <w:i/>
          <w:iCs/>
          <w:lang w:val="en-US"/>
        </w:rPr>
        <w:t>j</w:t>
      </w:r>
      <w:r w:rsidR="00A1410F">
        <w:rPr>
          <w:rFonts w:ascii="Calibri" w:hAnsi="Calibri"/>
          <w:iCs/>
          <w:lang w:val="en-US"/>
        </w:rPr>
        <w:t xml:space="preserve">, </w:t>
      </w:r>
      <w:r w:rsidRPr="007C05E5">
        <w:rPr>
          <w:rFonts w:ascii="Calibri" w:hAnsi="Calibri"/>
          <w:iCs/>
          <w:lang w:val="en-US"/>
        </w:rPr>
        <w:t xml:space="preserve">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 xml:space="preserve"> its maximum and minimum values.</w:t>
      </w:r>
    </w:p>
    <w:p w14:paraId="450ABD6B" w14:textId="066BBCCF" w:rsidR="00431533" w:rsidRPr="00E54EC0" w:rsidRDefault="00431533" w:rsidP="00E54EC0">
      <w:pPr>
        <w:autoSpaceDE w:val="0"/>
        <w:autoSpaceDN w:val="0"/>
        <w:adjustRightInd w:val="0"/>
        <w:rPr>
          <w:rFonts w:ascii="Calibri" w:hAnsi="Calibri"/>
          <w:lang w:val="en-US"/>
        </w:rPr>
      </w:pPr>
      <w:r w:rsidRPr="007C05E5">
        <w:rPr>
          <w:rFonts w:ascii="Calibri" w:hAnsi="Calibri"/>
          <w:color w:val="000000" w:themeColor="text1"/>
          <w:lang w:val="en-US"/>
        </w:rPr>
        <w:t>-</w:t>
      </w:r>
      <w:r w:rsidRPr="007C05E5">
        <w:rPr>
          <w:rFonts w:ascii="Calibri" w:hAnsi="Calibri"/>
          <w:b/>
          <w:bCs/>
          <w:color w:val="000000" w:themeColor="text1"/>
          <w:lang w:val="en-US"/>
        </w:rPr>
        <w:t xml:space="preserve"> </w:t>
      </w:r>
      <w:r w:rsidRPr="007C05E5">
        <w:rPr>
          <w:rFonts w:ascii="Calibri" w:hAnsi="Calibri"/>
          <w:i/>
          <w:iCs/>
          <w:color w:val="000000" w:themeColor="text1"/>
          <w:lang w:val="en-US"/>
        </w:rPr>
        <w:t>Employment Protection Legislation</w:t>
      </w:r>
      <w:r w:rsidRPr="007C05E5">
        <w:rPr>
          <w:rFonts w:ascii="Calibri" w:hAnsi="Calibri"/>
          <w:color w:val="000000" w:themeColor="text1"/>
          <w:lang w:val="en-US"/>
        </w:rPr>
        <w:t xml:space="preserve">. </w:t>
      </w:r>
      <w:r w:rsidR="00A1410F">
        <w:rPr>
          <w:rFonts w:ascii="Calibri" w:hAnsi="Calibri"/>
          <w:color w:val="000000" w:themeColor="text1"/>
          <w:lang w:val="en-US"/>
        </w:rPr>
        <w:t xml:space="preserve">The OECD (2020) aggregate index of employment protection legislation for 1985-2019 has been extended back to 1950, with estimates from Crafts (2006) and Allard (2005). Since Crafts’ indices are provided as period averages (1960-64, 1965-72, 1973-79, 1980-87), these average values have been assigned to each year within each period. Levels for 1960 have been projected backwards to 1950 using Allard’s index. It has been transformed into index form using the expression </w:t>
      </w:r>
      <w:r w:rsidR="00E54EC0">
        <w:rPr>
          <w:rFonts w:ascii="Calibri" w:hAnsi="Calibri"/>
          <w:lang w:val="en-US"/>
        </w:rPr>
        <w:br/>
      </w:r>
      <w:r w:rsidRPr="007C05E5">
        <w:rPr>
          <w:rFonts w:ascii="Calibri" w:hAnsi="Calibri"/>
          <w:i/>
          <w:iCs/>
          <w:lang w:val="en-US"/>
        </w:rPr>
        <w:t>I</w:t>
      </w:r>
      <w:r w:rsidRPr="007C05E5">
        <w:rPr>
          <w:rFonts w:ascii="Calibri" w:hAnsi="Calibri"/>
          <w:bCs/>
          <w:i/>
          <w:vertAlign w:val="subscript"/>
          <w:lang w:val="en-US"/>
        </w:rPr>
        <w:t>ij</w:t>
      </w:r>
      <w:r w:rsidRPr="007C05E5">
        <w:rPr>
          <w:rFonts w:ascii="Calibri" w:hAnsi="Calibri"/>
          <w:iCs/>
          <w:lang w:val="en-US"/>
        </w:rPr>
        <w:t xml:space="preserve"> = 10*(</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w:t>
      </w:r>
      <w:r w:rsidRPr="007C05E5">
        <w:rPr>
          <w:rFonts w:ascii="Calibri" w:hAnsi="Calibri"/>
          <w:i/>
          <w:iCs/>
          <w:lang w:val="en-US"/>
        </w:rPr>
        <w:t>V</w:t>
      </w:r>
      <w:r w:rsidRPr="007C05E5">
        <w:rPr>
          <w:rFonts w:ascii="Calibri" w:hAnsi="Calibri"/>
          <w:bCs/>
          <w:i/>
          <w:vertAlign w:val="subscript"/>
          <w:lang w:val="en-US"/>
        </w:rPr>
        <w:t>MIN</w:t>
      </w:r>
      <w:r w:rsidRPr="007C05E5">
        <w:rPr>
          <w:rFonts w:ascii="Calibri" w:hAnsi="Calibri"/>
          <w:iCs/>
          <w:lang w:val="en-US"/>
        </w:rPr>
        <w:t>)</w:t>
      </w:r>
      <w:r w:rsidR="00E54EC0">
        <w:rPr>
          <w:rFonts w:ascii="Calibri" w:hAnsi="Calibri"/>
          <w:iCs/>
          <w:lang w:val="en-US"/>
        </w:rPr>
        <w:t>, w</w:t>
      </w:r>
      <w:r w:rsidRPr="007C05E5">
        <w:rPr>
          <w:rFonts w:ascii="Calibri" w:hAnsi="Calibri"/>
          <w:iCs/>
          <w:lang w:val="en-US"/>
        </w:rPr>
        <w:t xml:space="preserve">here </w:t>
      </w:r>
      <w:r w:rsidRPr="007C05E5">
        <w:rPr>
          <w:rFonts w:ascii="Calibri" w:hAnsi="Calibri"/>
          <w:i/>
          <w:iCs/>
          <w:lang w:val="en-US"/>
        </w:rPr>
        <w:t>V</w:t>
      </w:r>
      <w:r w:rsidRPr="007C05E5">
        <w:rPr>
          <w:rFonts w:ascii="Calibri" w:hAnsi="Calibri"/>
          <w:bCs/>
          <w:i/>
          <w:vertAlign w:val="subscript"/>
          <w:lang w:val="en-US"/>
        </w:rPr>
        <w:t>ij</w:t>
      </w:r>
      <w:r w:rsidRPr="007C05E5">
        <w:rPr>
          <w:rFonts w:ascii="Calibri" w:hAnsi="Calibri"/>
          <w:iCs/>
          <w:lang w:val="en-US"/>
        </w:rPr>
        <w:t xml:space="preserve"> </w:t>
      </w:r>
      <w:r w:rsidR="00A1410F">
        <w:rPr>
          <w:rFonts w:ascii="Calibri" w:hAnsi="Calibri"/>
          <w:iCs/>
          <w:lang w:val="en-US"/>
        </w:rPr>
        <w:t>denote</w:t>
      </w:r>
      <w:r w:rsidRPr="007C05E5">
        <w:rPr>
          <w:rFonts w:ascii="Calibri" w:hAnsi="Calibri"/>
          <w:iCs/>
          <w:lang w:val="en-US"/>
        </w:rPr>
        <w:t xml:space="preserve">s the value of country </w:t>
      </w:r>
      <w:r w:rsidR="00A1410F">
        <w:rPr>
          <w:rFonts w:ascii="Calibri" w:hAnsi="Calibri"/>
          <w:i/>
          <w:iCs/>
          <w:lang w:val="en-US"/>
        </w:rPr>
        <w:t>I</w:t>
      </w:r>
      <w:r w:rsidR="00A1410F">
        <w:rPr>
          <w:rFonts w:ascii="Calibri" w:hAnsi="Calibri"/>
          <w:lang w:val="en-US"/>
        </w:rPr>
        <w:t>’s</w:t>
      </w:r>
      <w:r w:rsidRPr="007C05E5">
        <w:rPr>
          <w:rFonts w:ascii="Calibri" w:hAnsi="Calibri"/>
          <w:iCs/>
          <w:lang w:val="en-US"/>
        </w:rPr>
        <w:t xml:space="preserve"> indicator </w:t>
      </w:r>
      <w:r w:rsidR="00A1410F">
        <w:rPr>
          <w:rFonts w:ascii="Calibri" w:hAnsi="Calibri"/>
          <w:iCs/>
          <w:lang w:val="en-US"/>
        </w:rPr>
        <w:t xml:space="preserve">in </w:t>
      </w:r>
      <w:r w:rsidRPr="007C05E5">
        <w:rPr>
          <w:rFonts w:ascii="Calibri" w:hAnsi="Calibri"/>
          <w:iCs/>
          <w:lang w:val="en-US"/>
        </w:rPr>
        <w:t xml:space="preserve">year </w:t>
      </w:r>
      <w:r w:rsidRPr="007C05E5">
        <w:rPr>
          <w:rFonts w:ascii="Calibri" w:hAnsi="Calibri"/>
          <w:i/>
          <w:iCs/>
          <w:lang w:val="en-US"/>
        </w:rPr>
        <w:t>j</w:t>
      </w:r>
      <w:r w:rsidR="00A1410F">
        <w:rPr>
          <w:rFonts w:ascii="Calibri" w:hAnsi="Calibri"/>
          <w:iCs/>
          <w:lang w:val="en-US"/>
        </w:rPr>
        <w:t xml:space="preserve">, </w:t>
      </w:r>
      <w:r w:rsidRPr="007C05E5">
        <w:rPr>
          <w:rFonts w:ascii="Calibri" w:hAnsi="Calibri"/>
          <w:iCs/>
          <w:lang w:val="en-US"/>
        </w:rPr>
        <w:t xml:space="preserve">and </w:t>
      </w:r>
      <w:r w:rsidRPr="007C05E5">
        <w:rPr>
          <w:rFonts w:ascii="Calibri" w:hAnsi="Calibri"/>
          <w:i/>
          <w:iCs/>
          <w:lang w:val="en-US"/>
        </w:rPr>
        <w:t>V</w:t>
      </w:r>
      <w:r w:rsidRPr="007C05E5">
        <w:rPr>
          <w:rFonts w:ascii="Calibri" w:hAnsi="Calibri"/>
          <w:bCs/>
          <w:i/>
          <w:vertAlign w:val="subscript"/>
          <w:lang w:val="en-US"/>
        </w:rPr>
        <w:t>MAX</w:t>
      </w:r>
      <w:r w:rsidRPr="007C05E5">
        <w:rPr>
          <w:rFonts w:ascii="Calibri" w:hAnsi="Calibri"/>
          <w:iCs/>
          <w:lang w:val="en-US"/>
        </w:rPr>
        <w:t xml:space="preserve"> and </w:t>
      </w:r>
      <w:r w:rsidRPr="007C05E5">
        <w:rPr>
          <w:rFonts w:ascii="Calibri" w:hAnsi="Calibri"/>
          <w:i/>
          <w:iCs/>
          <w:color w:val="000000" w:themeColor="text1"/>
          <w:lang w:val="en-US"/>
        </w:rPr>
        <w:t>V</w:t>
      </w:r>
      <w:r w:rsidRPr="007C05E5">
        <w:rPr>
          <w:rFonts w:ascii="Calibri" w:hAnsi="Calibri"/>
          <w:bCs/>
          <w:i/>
          <w:color w:val="000000" w:themeColor="text1"/>
          <w:vertAlign w:val="subscript"/>
          <w:lang w:val="en-US"/>
        </w:rPr>
        <w:t>MIN</w:t>
      </w:r>
      <w:r w:rsidRPr="007C05E5">
        <w:rPr>
          <w:rFonts w:ascii="Calibri" w:hAnsi="Calibri"/>
          <w:iCs/>
          <w:color w:val="000000" w:themeColor="text1"/>
          <w:lang w:val="en-US"/>
        </w:rPr>
        <w:t xml:space="preserve"> its maximum and minimum values, 5 and 0.</w:t>
      </w:r>
    </w:p>
    <w:p w14:paraId="68CFD597" w14:textId="77777777" w:rsidR="00E54EC0" w:rsidRDefault="00E54EC0" w:rsidP="00431533">
      <w:pPr>
        <w:autoSpaceDE w:val="0"/>
        <w:autoSpaceDN w:val="0"/>
        <w:adjustRightInd w:val="0"/>
        <w:rPr>
          <w:rFonts w:ascii="Calibri" w:hAnsi="Calibri"/>
          <w:b/>
          <w:i/>
          <w:color w:val="000000" w:themeColor="text1"/>
          <w:lang w:val="en-US"/>
        </w:rPr>
      </w:pPr>
    </w:p>
    <w:p w14:paraId="481191DB" w14:textId="48045223" w:rsidR="00431533" w:rsidRPr="007C05E5" w:rsidRDefault="00431533" w:rsidP="00431533">
      <w:pPr>
        <w:autoSpaceDE w:val="0"/>
        <w:autoSpaceDN w:val="0"/>
        <w:adjustRightInd w:val="0"/>
        <w:rPr>
          <w:rFonts w:ascii="Calibri" w:hAnsi="Calibri"/>
          <w:b/>
          <w:i/>
          <w:color w:val="000000" w:themeColor="text1"/>
          <w:lang w:val="en-US"/>
        </w:rPr>
      </w:pPr>
      <w:r w:rsidRPr="007C05E5">
        <w:rPr>
          <w:rFonts w:ascii="Calibri" w:hAnsi="Calibri"/>
          <w:b/>
          <w:i/>
          <w:color w:val="000000" w:themeColor="text1"/>
          <w:lang w:val="en-US"/>
        </w:rPr>
        <w:t>C) Business Regulation</w:t>
      </w:r>
    </w:p>
    <w:p w14:paraId="65154C2F" w14:textId="7CD75D26" w:rsidR="00431533" w:rsidRPr="007C05E5" w:rsidRDefault="00431533" w:rsidP="00431533">
      <w:pPr>
        <w:autoSpaceDE w:val="0"/>
        <w:autoSpaceDN w:val="0"/>
        <w:adjustRightInd w:val="0"/>
        <w:rPr>
          <w:rFonts w:ascii="Calibri" w:hAnsi="Calibri"/>
          <w:bCs/>
          <w:iCs/>
          <w:color w:val="000000" w:themeColor="text1"/>
          <w:lang w:val="en-US"/>
        </w:rPr>
      </w:pPr>
      <w:r w:rsidRPr="007C05E5">
        <w:rPr>
          <w:rFonts w:ascii="Calibri" w:hAnsi="Calibri"/>
          <w:bCs/>
          <w:iCs/>
          <w:color w:val="000000" w:themeColor="text1"/>
          <w:lang w:val="en-US"/>
        </w:rPr>
        <w:t xml:space="preserve">- </w:t>
      </w:r>
      <w:r w:rsidRPr="007C05E5">
        <w:rPr>
          <w:rFonts w:ascii="Calibri" w:hAnsi="Calibri"/>
          <w:bCs/>
          <w:i/>
          <w:color w:val="000000" w:themeColor="text1"/>
          <w:lang w:val="en-US"/>
        </w:rPr>
        <w:t>Impartial Public Administration</w:t>
      </w:r>
      <w:r w:rsidRPr="00D92B98">
        <w:rPr>
          <w:rFonts w:ascii="Calibri" w:hAnsi="Calibri"/>
          <w:bCs/>
          <w:color w:val="000000" w:themeColor="text1"/>
          <w:lang w:val="en-US"/>
        </w:rPr>
        <w:t xml:space="preserve">. This indicator </w:t>
      </w:r>
      <w:r w:rsidR="00A1410F">
        <w:rPr>
          <w:rFonts w:ascii="Calibri" w:hAnsi="Calibri"/>
          <w:bCs/>
          <w:color w:val="000000" w:themeColor="text1"/>
          <w:lang w:val="en-US"/>
        </w:rPr>
        <w:t>is drawn</w:t>
      </w:r>
      <w:r w:rsidRPr="00D92B98">
        <w:rPr>
          <w:rFonts w:ascii="Calibri" w:hAnsi="Calibri"/>
          <w:bCs/>
          <w:color w:val="000000" w:themeColor="text1"/>
          <w:lang w:val="en-US"/>
        </w:rPr>
        <w:t xml:space="preserve"> from the </w:t>
      </w:r>
      <w:r w:rsidRPr="007C05E5">
        <w:rPr>
          <w:rFonts w:ascii="Calibri" w:hAnsi="Calibri"/>
          <w:color w:val="000000" w:themeColor="text1"/>
          <w:lang w:val="en-US"/>
        </w:rPr>
        <w:t xml:space="preserve">V-Dem database </w:t>
      </w:r>
      <w:r w:rsidRPr="007C05E5">
        <w:rPr>
          <w:rFonts w:ascii="Calibri" w:hAnsi="Calibri"/>
          <w:bCs/>
          <w:color w:val="000000" w:themeColor="text1"/>
          <w:lang w:val="en-US"/>
        </w:rPr>
        <w:t>(Coppedge et al., 2022)</w:t>
      </w:r>
      <w:r w:rsidRPr="00D92B98">
        <w:rPr>
          <w:rFonts w:ascii="Calibri" w:hAnsi="Calibri"/>
          <w:bCs/>
          <w:color w:val="000000" w:themeColor="text1"/>
          <w:lang w:val="en-US"/>
        </w:rPr>
        <w:t xml:space="preserve"> </w:t>
      </w:r>
      <w:r w:rsidRPr="007C05E5">
        <w:rPr>
          <w:rFonts w:ascii="Calibri" w:hAnsi="Calibri"/>
          <w:bCs/>
          <w:iCs/>
          <w:color w:val="000000" w:themeColor="text1"/>
          <w:lang w:val="en-US"/>
        </w:rPr>
        <w:t>(v2clrspct).</w:t>
      </w:r>
    </w:p>
    <w:p w14:paraId="7D1887CE" w14:textId="77777777" w:rsidR="00431533" w:rsidRPr="007C05E5" w:rsidRDefault="00431533" w:rsidP="00431533">
      <w:pPr>
        <w:autoSpaceDE w:val="0"/>
        <w:autoSpaceDN w:val="0"/>
        <w:adjustRightInd w:val="0"/>
        <w:ind w:firstLine="709"/>
        <w:rPr>
          <w:rFonts w:ascii="Calibri" w:hAnsi="Calibri"/>
          <w:iCs/>
          <w:lang w:val="en-US"/>
        </w:rPr>
      </w:pPr>
    </w:p>
    <w:p w14:paraId="5B3CA2EC" w14:textId="77777777" w:rsidR="00E54EC0" w:rsidRDefault="00E54EC0">
      <w:pPr>
        <w:rPr>
          <w:rFonts w:ascii="Calibri" w:hAnsi="Calibri"/>
          <w:b/>
          <w:lang w:val="en-US"/>
        </w:rPr>
      </w:pPr>
      <w:r>
        <w:rPr>
          <w:rFonts w:ascii="Calibri" w:hAnsi="Calibri"/>
          <w:b/>
          <w:lang w:val="en-US"/>
        </w:rPr>
        <w:br w:type="page"/>
      </w:r>
    </w:p>
    <w:p w14:paraId="072294B2" w14:textId="0881162E" w:rsidR="00431533" w:rsidRPr="007C05E5" w:rsidRDefault="00431533" w:rsidP="00431533">
      <w:pPr>
        <w:autoSpaceDE w:val="0"/>
        <w:autoSpaceDN w:val="0"/>
        <w:adjustRightInd w:val="0"/>
        <w:rPr>
          <w:rFonts w:ascii="Calibri" w:hAnsi="Calibri"/>
          <w:b/>
          <w:lang w:val="en-US"/>
        </w:rPr>
      </w:pPr>
      <w:r w:rsidRPr="007C05E5">
        <w:rPr>
          <w:rFonts w:ascii="Calibri" w:hAnsi="Calibri"/>
          <w:b/>
          <w:lang w:val="en-US"/>
        </w:rPr>
        <w:lastRenderedPageBreak/>
        <w:t>References</w:t>
      </w:r>
    </w:p>
    <w:p w14:paraId="54AF2291" w14:textId="77777777" w:rsidR="00431533" w:rsidRPr="007C05E5" w:rsidRDefault="00431533" w:rsidP="00431533">
      <w:pPr>
        <w:ind w:hanging="709"/>
        <w:rPr>
          <w:rFonts w:ascii="Calibri" w:hAnsi="Calibri"/>
          <w:lang w:val="en-US"/>
        </w:rPr>
      </w:pPr>
      <w:r w:rsidRPr="007C05E5">
        <w:rPr>
          <w:rFonts w:ascii="Calibri" w:hAnsi="Calibri"/>
          <w:lang w:val="en-US"/>
        </w:rPr>
        <w:t xml:space="preserve">Abildgren, K. (2005), A historical perspective on interest rates in Denmark 1875-2003, Danmarks Nationalbank Workings Papers 24 </w:t>
      </w:r>
      <w:hyperlink r:id="rId12" w:history="1">
        <w:r w:rsidRPr="007C05E5">
          <w:rPr>
            <w:rStyle w:val="Hipervnculo"/>
            <w:rFonts w:ascii="Calibri" w:hAnsi="Calibri"/>
            <w:lang w:val="en-US"/>
          </w:rPr>
          <w:t>http://www.nationalbanken.dk/C1256BE9004F6416/side/WP_242005_A_historical_perspective_on_interestrates_in_Denmark_1875-2003/$file/WP_24.pdf</w:t>
        </w:r>
      </w:hyperlink>
    </w:p>
    <w:p w14:paraId="5DCDED77" w14:textId="77777777" w:rsidR="00431533" w:rsidRPr="007C05E5" w:rsidRDefault="00431533" w:rsidP="00431533">
      <w:pPr>
        <w:ind w:hanging="709"/>
        <w:rPr>
          <w:rFonts w:ascii="Calibri" w:hAnsi="Calibri"/>
          <w:color w:val="000000" w:themeColor="text1"/>
          <w:lang w:val="en-US"/>
        </w:rPr>
      </w:pPr>
      <w:r w:rsidRPr="007C05E5">
        <w:rPr>
          <w:rFonts w:ascii="Calibri" w:hAnsi="Calibri"/>
          <w:color w:val="000000" w:themeColor="text1"/>
          <w:lang w:val="en-US"/>
        </w:rPr>
        <w:t>Allard, G. (2005), Measuring Job Security over Time: In Search of a Historical Indicator for EPL (Employment Protection Legislation), IE Working Paper EC8-200-I</w:t>
      </w:r>
    </w:p>
    <w:p w14:paraId="401BD170" w14:textId="77777777" w:rsidR="00431533" w:rsidRPr="007C05E5" w:rsidRDefault="00431533" w:rsidP="00431533">
      <w:pPr>
        <w:ind w:hanging="709"/>
        <w:rPr>
          <w:rFonts w:ascii="Calibri" w:hAnsi="Calibri"/>
          <w:lang w:val="en-US"/>
        </w:rPr>
      </w:pPr>
      <w:r w:rsidRPr="007C05E5">
        <w:rPr>
          <w:rFonts w:ascii="Calibri" w:hAnsi="Calibri"/>
          <w:lang w:val="en-US"/>
        </w:rPr>
        <w:t>Anderson, R. (2003), Some Tables of Historical U.S. Currency and Monetary Aggregates Data, Federal Reserve Bank of St. Louis Working Paper 2003-006A</w:t>
      </w:r>
    </w:p>
    <w:p w14:paraId="063E7C0D" w14:textId="77777777" w:rsidR="00431533" w:rsidRPr="007C05E5" w:rsidRDefault="00431533" w:rsidP="00431533">
      <w:pPr>
        <w:ind w:hanging="709"/>
        <w:rPr>
          <w:rFonts w:ascii="Calibri" w:hAnsi="Calibri"/>
          <w:lang w:val="en-US"/>
        </w:rPr>
      </w:pPr>
      <w:hyperlink r:id="rId13" w:history="1">
        <w:r w:rsidRPr="007C05E5">
          <w:rPr>
            <w:rStyle w:val="Hipervnculo"/>
            <w:rFonts w:ascii="Calibri" w:hAnsi="Calibri"/>
            <w:lang w:val="en-US"/>
          </w:rPr>
          <w:t>http://research.stlouisfed.org/wp/2003/2003-006.pdf</w:t>
        </w:r>
      </w:hyperlink>
    </w:p>
    <w:p w14:paraId="2629A157" w14:textId="77777777" w:rsidR="00431533" w:rsidRPr="007C05E5" w:rsidRDefault="00431533" w:rsidP="00431533">
      <w:pPr>
        <w:ind w:hanging="709"/>
        <w:rPr>
          <w:rFonts w:ascii="Calibri" w:hAnsi="Calibri"/>
          <w:color w:val="FF0000"/>
          <w:lang w:val="en-US"/>
        </w:rPr>
      </w:pPr>
      <w:r w:rsidRPr="007C05E5">
        <w:rPr>
          <w:rFonts w:ascii="Calibri" w:hAnsi="Calibri"/>
          <w:lang w:val="en-US"/>
        </w:rPr>
        <w:t>Armingeon, K., D. Weisstanner, S. Engler, P. Potolidis and M. Gerber (2012), Comparative Political Data Set 1960-2010, Bern: Institute of Political Science, University of Bern,</w:t>
      </w:r>
      <w:r w:rsidRPr="007C05E5">
        <w:rPr>
          <w:rFonts w:ascii="Calibri" w:hAnsi="Calibri"/>
          <w:color w:val="FF0000"/>
          <w:lang w:val="en-US"/>
        </w:rPr>
        <w:t xml:space="preserve"> </w:t>
      </w:r>
      <w:hyperlink r:id="rId14" w:history="1">
        <w:r w:rsidRPr="007C05E5">
          <w:rPr>
            <w:rStyle w:val="Hipervnculo"/>
            <w:rFonts w:ascii="Calibri" w:hAnsi="Calibri"/>
            <w:lang w:val="en-US"/>
          </w:rPr>
          <w:t>http://www.ipw.unibe.ch/content/team/klaus_armingeon/comparative_political_data_sets/index_eng.html</w:t>
        </w:r>
      </w:hyperlink>
    </w:p>
    <w:p w14:paraId="261F5D4D" w14:textId="77777777" w:rsidR="00431533" w:rsidRPr="007C05E5" w:rsidRDefault="00431533" w:rsidP="00431533">
      <w:pPr>
        <w:ind w:hanging="709"/>
        <w:rPr>
          <w:rFonts w:ascii="Calibri" w:hAnsi="Calibri"/>
          <w:color w:val="FF0000"/>
          <w:lang w:val="en-US"/>
        </w:rPr>
      </w:pPr>
      <w:r w:rsidRPr="007C05E5">
        <w:rPr>
          <w:rFonts w:ascii="Calibri" w:hAnsi="Calibri"/>
          <w:lang w:val="en-US"/>
        </w:rPr>
        <w:t>Australian Bureau of Statistics, Australian System of National Accounts,</w:t>
      </w:r>
      <w:r w:rsidRPr="007C05E5">
        <w:rPr>
          <w:rFonts w:ascii="Calibri" w:hAnsi="Calibri"/>
          <w:color w:val="FF0000"/>
          <w:lang w:val="en-US"/>
        </w:rPr>
        <w:t xml:space="preserve"> </w:t>
      </w:r>
      <w:hyperlink r:id="rId15" w:anchor="Time" w:history="1">
        <w:r w:rsidRPr="007C05E5">
          <w:rPr>
            <w:rStyle w:val="Hipervnculo"/>
            <w:rFonts w:ascii="Calibri" w:hAnsi="Calibri"/>
            <w:lang w:val="en-US"/>
          </w:rPr>
          <w:t>http://www.abs.gov.au/AUSSTATS/abs@.nsf/DetailsPage/5204.02012-13?OpenDocument#Time</w:t>
        </w:r>
      </w:hyperlink>
    </w:p>
    <w:p w14:paraId="1C4B0C85" w14:textId="77777777" w:rsidR="00431533" w:rsidRPr="007C05E5" w:rsidRDefault="00431533" w:rsidP="00431533">
      <w:pPr>
        <w:ind w:hanging="709"/>
        <w:rPr>
          <w:rFonts w:ascii="Calibri" w:hAnsi="Calibri"/>
          <w:lang w:val="en-US"/>
        </w:rPr>
      </w:pPr>
      <w:r w:rsidRPr="00CF11F4">
        <w:rPr>
          <w:rFonts w:ascii="Calibri" w:hAnsi="Calibri"/>
          <w:lang w:val="en-US"/>
        </w:rPr>
        <w:t xml:space="preserve">Baffigi, A. (2013), </w:t>
      </w:r>
      <w:r w:rsidRPr="007C05E5">
        <w:rPr>
          <w:rFonts w:ascii="Calibri" w:hAnsi="Calibri"/>
          <w:lang w:val="en-US"/>
        </w:rPr>
        <w:t xml:space="preserve">“National Accounts, 1861-2011”, in G. Toniolo (ed.), </w:t>
      </w:r>
      <w:r w:rsidRPr="007C05E5">
        <w:rPr>
          <w:rFonts w:ascii="Calibri" w:hAnsi="Calibri"/>
          <w:i/>
          <w:lang w:val="en-US"/>
        </w:rPr>
        <w:t>The Oxford Handbook of the Italian Economy since Unification</w:t>
      </w:r>
      <w:r w:rsidRPr="007C05E5">
        <w:rPr>
          <w:rFonts w:ascii="Calibri" w:hAnsi="Calibri"/>
          <w:lang w:val="en-US"/>
        </w:rPr>
        <w:t>, Oxford: Oxford University Press, pp. 157-186.</w:t>
      </w:r>
    </w:p>
    <w:p w14:paraId="062C10FA" w14:textId="77777777" w:rsidR="00431533" w:rsidRPr="007C05E5" w:rsidRDefault="00431533" w:rsidP="00431533">
      <w:pPr>
        <w:ind w:hanging="709"/>
        <w:rPr>
          <w:rFonts w:ascii="Calibri" w:hAnsi="Calibri"/>
          <w:lang w:val="en-US"/>
        </w:rPr>
      </w:pPr>
      <w:r w:rsidRPr="007C05E5">
        <w:rPr>
          <w:rFonts w:ascii="Calibri" w:hAnsi="Calibri"/>
          <w:lang w:val="en-US"/>
        </w:rPr>
        <w:t xml:space="preserve">Bakker, G. P. den, Huitker, T. A., and van Bochove, C. A. (1990), ‘‘The Dutch Economy 1921–1938:Revised Macroeconomic Data for the Interwar Period’’, </w:t>
      </w:r>
      <w:r w:rsidRPr="007C05E5">
        <w:rPr>
          <w:rFonts w:ascii="Calibri" w:hAnsi="Calibri"/>
          <w:i/>
          <w:lang w:val="en-US"/>
        </w:rPr>
        <w:t>Review of Income and Wealth</w:t>
      </w:r>
      <w:r w:rsidRPr="007C05E5">
        <w:rPr>
          <w:rFonts w:ascii="Calibri" w:hAnsi="Calibri"/>
          <w:lang w:val="en-US"/>
        </w:rPr>
        <w:t xml:space="preserve"> 36: 187–206.</w:t>
      </w:r>
    </w:p>
    <w:p w14:paraId="6394054F" w14:textId="77777777" w:rsidR="00431533" w:rsidRPr="007C05E5" w:rsidRDefault="00431533" w:rsidP="00431533">
      <w:pPr>
        <w:ind w:hanging="709"/>
        <w:rPr>
          <w:rFonts w:ascii="Calibri" w:hAnsi="Calibri"/>
          <w:color w:val="000000" w:themeColor="text1"/>
          <w:lang w:val="en-US"/>
        </w:rPr>
      </w:pPr>
      <w:r w:rsidRPr="007C05E5">
        <w:rPr>
          <w:rFonts w:ascii="Calibri" w:hAnsi="Calibri"/>
          <w:color w:val="000000" w:themeColor="text1"/>
          <w:lang w:val="en-US"/>
        </w:rPr>
        <w:t xml:space="preserve">Bank of England (2018), A Millennium of Macroeconomic Data for the UK. The Bank of England's collection of historical macroeconomic and financial statistics, Version 3.1 (August 2018) </w:t>
      </w:r>
      <w:hyperlink r:id="rId16" w:history="1">
        <w:r w:rsidRPr="007C05E5">
          <w:rPr>
            <w:rStyle w:val="Hipervnculo"/>
            <w:rFonts w:ascii="Calibri" w:hAnsi="Calibri"/>
            <w:lang w:val="en-US"/>
          </w:rPr>
          <w:t>https://www.bankofengland.co.uk/statistics/research-datasets</w:t>
        </w:r>
      </w:hyperlink>
    </w:p>
    <w:p w14:paraId="409C9445" w14:textId="77777777" w:rsidR="00431533" w:rsidRPr="007C05E5" w:rsidRDefault="00431533" w:rsidP="00431533">
      <w:pPr>
        <w:autoSpaceDE w:val="0"/>
        <w:autoSpaceDN w:val="0"/>
        <w:adjustRightInd w:val="0"/>
        <w:ind w:hanging="709"/>
        <w:rPr>
          <w:rFonts w:ascii="Calibri" w:hAnsi="Calibri"/>
          <w:color w:val="FF0000"/>
          <w:lang w:val="en-US"/>
        </w:rPr>
      </w:pPr>
      <w:r w:rsidRPr="007C05E5">
        <w:rPr>
          <w:rFonts w:ascii="Calibri" w:hAnsi="Calibri"/>
          <w:lang w:val="en-US"/>
        </w:rPr>
        <w:t>Bank of Finland, Changes in the base rate from 1867,</w:t>
      </w:r>
      <w:r w:rsidRPr="007C05E5">
        <w:rPr>
          <w:rFonts w:ascii="Calibri" w:hAnsi="Calibri"/>
          <w:color w:val="FF0000"/>
          <w:lang w:val="en-US"/>
        </w:rPr>
        <w:t xml:space="preserve"> </w:t>
      </w:r>
      <w:hyperlink r:id="rId17" w:history="1">
        <w:r w:rsidRPr="007C05E5">
          <w:rPr>
            <w:rStyle w:val="Hipervnculo"/>
            <w:rFonts w:ascii="Calibri" w:hAnsi="Calibri"/>
            <w:lang w:val="en-US"/>
          </w:rPr>
          <w:t>http://www.suomenpankki.fi/en/tilastot/tase_ja_korko/pages/tilastot_markkina-_ja_hallinnolliset_korot_peruskoron_muutokset_en.aspx</w:t>
        </w:r>
      </w:hyperlink>
    </w:p>
    <w:p w14:paraId="51F0FC79"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Banks, A. S. (2010), </w:t>
      </w:r>
      <w:r w:rsidRPr="007C05E5">
        <w:rPr>
          <w:rFonts w:ascii="Calibri" w:hAnsi="Calibri"/>
          <w:i/>
          <w:lang w:val="en-US"/>
        </w:rPr>
        <w:t>Cross-National Time-Series Data Archive</w:t>
      </w:r>
      <w:r w:rsidRPr="007C05E5">
        <w:rPr>
          <w:rFonts w:ascii="Calibri" w:hAnsi="Calibri"/>
          <w:lang w:val="en-US"/>
        </w:rPr>
        <w:t xml:space="preserve">, </w:t>
      </w:r>
      <w:hyperlink r:id="rId18" w:history="1">
        <w:r w:rsidRPr="007C05E5">
          <w:rPr>
            <w:rStyle w:val="Hipervnculo"/>
            <w:rFonts w:ascii="Calibri" w:hAnsi="Calibri"/>
            <w:lang w:val="en-US"/>
          </w:rPr>
          <w:t>http://www.databanksinternational.com/</w:t>
        </w:r>
      </w:hyperlink>
    </w:p>
    <w:p w14:paraId="25128CE5"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Batista, D., C. Martins, M. Pinheiro and J. Reis (1997), New Estimates of Portugal’s GDP</w:t>
      </w:r>
    </w:p>
    <w:p w14:paraId="53B3E5FC" w14:textId="77777777" w:rsidR="00431533" w:rsidRPr="00CF11F4" w:rsidRDefault="00431533" w:rsidP="00431533">
      <w:pPr>
        <w:autoSpaceDE w:val="0"/>
        <w:autoSpaceDN w:val="0"/>
        <w:adjustRightInd w:val="0"/>
        <w:ind w:hanging="709"/>
        <w:rPr>
          <w:rFonts w:ascii="Calibri" w:hAnsi="Calibri"/>
        </w:rPr>
      </w:pPr>
      <w:r w:rsidRPr="00CF11F4">
        <w:rPr>
          <w:rFonts w:ascii="Calibri" w:hAnsi="Calibri"/>
        </w:rPr>
        <w:t>1910-1958, Lisbon: Banco de Portugal.</w:t>
      </w:r>
    </w:p>
    <w:p w14:paraId="378AE89D" w14:textId="77777777" w:rsidR="00431533" w:rsidRPr="007C05E5" w:rsidRDefault="00431533" w:rsidP="00431533">
      <w:pPr>
        <w:autoSpaceDE w:val="0"/>
        <w:autoSpaceDN w:val="0"/>
        <w:adjustRightInd w:val="0"/>
        <w:ind w:hanging="709"/>
        <w:rPr>
          <w:rFonts w:ascii="Calibri" w:hAnsi="Calibri"/>
          <w:color w:val="FF0000"/>
          <w:lang w:val="en-US"/>
        </w:rPr>
      </w:pPr>
      <w:r w:rsidRPr="00D61E26">
        <w:rPr>
          <w:rFonts w:ascii="Calibri" w:hAnsi="Calibri"/>
          <w:lang w:val="it-IT"/>
        </w:rPr>
        <w:t>Bonis,</w:t>
      </w:r>
      <w:r>
        <w:rPr>
          <w:rFonts w:ascii="Calibri" w:hAnsi="Calibri"/>
          <w:lang w:val="it-IT"/>
        </w:rPr>
        <w:t xml:space="preserve"> R. de,</w:t>
      </w:r>
      <w:r w:rsidRPr="00D61E26">
        <w:rPr>
          <w:rFonts w:ascii="Calibri" w:hAnsi="Calibri"/>
          <w:lang w:val="it-IT"/>
        </w:rPr>
        <w:t xml:space="preserve"> F. Farabullini, M. Rocchelli, </w:t>
      </w:r>
      <w:r>
        <w:rPr>
          <w:rFonts w:ascii="Calibri" w:hAnsi="Calibri"/>
          <w:lang w:val="it-IT"/>
        </w:rPr>
        <w:t xml:space="preserve">and </w:t>
      </w:r>
      <w:r w:rsidRPr="00D61E26">
        <w:rPr>
          <w:rFonts w:ascii="Calibri" w:hAnsi="Calibri"/>
          <w:lang w:val="it-IT"/>
        </w:rPr>
        <w:t>A. Salvio (2012), “Nuove serie storiche sull'attività di banche e altre istituzioni finanziarie dal 1861 al 2011: che cosa ci dicono?” QSE 26,</w:t>
      </w:r>
      <w:r w:rsidRPr="007C05E5">
        <w:rPr>
          <w:rFonts w:ascii="Calibri" w:hAnsi="Calibri"/>
          <w:color w:val="FF0000"/>
          <w:lang w:val="en-US"/>
        </w:rPr>
        <w:t xml:space="preserve"> </w:t>
      </w:r>
      <w:hyperlink r:id="rId19" w:history="1">
        <w:r w:rsidRPr="007C05E5">
          <w:rPr>
            <w:rStyle w:val="Hipervnculo"/>
            <w:rFonts w:ascii="Calibri" w:hAnsi="Calibri"/>
            <w:lang w:val="en-US"/>
          </w:rPr>
          <w:t>http://www.bancaditalia.it/statistiche/storiche</w:t>
        </w:r>
      </w:hyperlink>
    </w:p>
    <w:p w14:paraId="670A905F" w14:textId="77777777" w:rsidR="00431533" w:rsidRPr="007C05E5" w:rsidRDefault="00431533" w:rsidP="00431533">
      <w:pPr>
        <w:ind w:hanging="709"/>
        <w:rPr>
          <w:rFonts w:ascii="Calibri" w:hAnsi="Calibri"/>
          <w:lang w:val="en-US"/>
        </w:rPr>
      </w:pPr>
      <w:r w:rsidRPr="007C05E5">
        <w:rPr>
          <w:rFonts w:ascii="Calibri" w:hAnsi="Calibri"/>
          <w:lang w:val="en-US"/>
        </w:rPr>
        <w:t xml:space="preserve">Bordo, M.D. and A.J. Schwartz (1996), “The Operation of the Specie Standard. Evidence for Core and Periphery Countries, 1880-1990”, in J. Braga de Macedo, B. Eichengreen, and J. Reis (eds.), </w:t>
      </w:r>
      <w:r w:rsidRPr="007C05E5">
        <w:rPr>
          <w:rFonts w:ascii="Calibri" w:hAnsi="Calibri"/>
          <w:i/>
          <w:lang w:val="en-US"/>
        </w:rPr>
        <w:t xml:space="preserve">Currency Convertibility: The Gold Standard and Beyond. </w:t>
      </w:r>
      <w:r w:rsidRPr="007C05E5">
        <w:rPr>
          <w:rFonts w:ascii="Calibri" w:hAnsi="Calibri"/>
          <w:lang w:val="en-US"/>
        </w:rPr>
        <w:t>London: Routledge, pp.</w:t>
      </w:r>
      <w:r w:rsidRPr="007C05E5">
        <w:rPr>
          <w:rFonts w:ascii="Calibri" w:hAnsi="Calibri"/>
          <w:i/>
          <w:lang w:val="en-US"/>
        </w:rPr>
        <w:t xml:space="preserve"> </w:t>
      </w:r>
      <w:r w:rsidRPr="007C05E5">
        <w:rPr>
          <w:rFonts w:ascii="Calibri" w:hAnsi="Calibri"/>
          <w:lang w:val="en-US"/>
        </w:rPr>
        <w:t>11-83.</w:t>
      </w:r>
    </w:p>
    <w:p w14:paraId="1B517557" w14:textId="77777777" w:rsidR="00431533" w:rsidRPr="007C05E5" w:rsidRDefault="00431533" w:rsidP="00431533">
      <w:pPr>
        <w:ind w:hanging="709"/>
        <w:rPr>
          <w:rFonts w:ascii="Calibri" w:hAnsi="Calibri"/>
          <w:lang w:val="en-US"/>
        </w:rPr>
      </w:pPr>
      <w:r w:rsidRPr="007C05E5">
        <w:rPr>
          <w:rFonts w:ascii="Calibri" w:hAnsi="Calibri"/>
          <w:lang w:val="en-US"/>
        </w:rPr>
        <w:t xml:space="preserve">Burhop, C. and G. B. Wolff (2005), “A Compromise Estimate of German Net National Product, 1851-1913, and its Implications for Growth and the Business Cycle”, </w:t>
      </w:r>
      <w:r w:rsidRPr="007C05E5">
        <w:rPr>
          <w:rFonts w:ascii="Calibri" w:hAnsi="Calibri"/>
          <w:i/>
          <w:lang w:val="en-US"/>
        </w:rPr>
        <w:t xml:space="preserve">Journal of Economic History </w:t>
      </w:r>
      <w:r w:rsidRPr="007C05E5">
        <w:rPr>
          <w:rFonts w:ascii="Calibri" w:hAnsi="Calibri"/>
          <w:lang w:val="en-US"/>
        </w:rPr>
        <w:t>65 (3): 613-657</w:t>
      </w:r>
    </w:p>
    <w:p w14:paraId="1F0F4281" w14:textId="77777777" w:rsidR="00431533" w:rsidRPr="007C05E5" w:rsidRDefault="00431533" w:rsidP="00431533">
      <w:pPr>
        <w:ind w:hanging="709"/>
        <w:rPr>
          <w:rFonts w:ascii="Calibri" w:hAnsi="Calibri"/>
          <w:lang w:val="en-US"/>
        </w:rPr>
      </w:pPr>
      <w:r w:rsidRPr="007C05E5">
        <w:rPr>
          <w:rFonts w:ascii="Calibri" w:hAnsi="Calibri"/>
          <w:lang w:val="en-US"/>
        </w:rPr>
        <w:t>Buyst, E. (1997), New GNP estimates for the Belgian economy during the Interwar period, Review of Income and Wealth 43: 357-375.</w:t>
      </w:r>
    </w:p>
    <w:p w14:paraId="277715AC" w14:textId="77777777" w:rsidR="00431533" w:rsidRPr="007C05E5" w:rsidRDefault="00431533" w:rsidP="00431533">
      <w:pPr>
        <w:ind w:hanging="709"/>
        <w:rPr>
          <w:rFonts w:ascii="Calibri" w:hAnsi="Calibri"/>
          <w:lang w:val="en-US"/>
        </w:rPr>
      </w:pPr>
      <w:r w:rsidRPr="007C05E5">
        <w:rPr>
          <w:rFonts w:ascii="Calibri" w:hAnsi="Calibri"/>
          <w:lang w:val="en-US"/>
        </w:rPr>
        <w:t xml:space="preserve">Capie, F.H. and A. Webber (1985), </w:t>
      </w:r>
      <w:r w:rsidRPr="007C05E5">
        <w:rPr>
          <w:rFonts w:ascii="Calibri" w:hAnsi="Calibri"/>
          <w:i/>
          <w:lang w:val="en-US"/>
        </w:rPr>
        <w:t>A Monetary History of themUnited Kingdom, 1870–1982,</w:t>
      </w:r>
      <w:r w:rsidRPr="007C05E5">
        <w:rPr>
          <w:rFonts w:ascii="Calibri" w:hAnsi="Calibri"/>
          <w:lang w:val="en-US"/>
        </w:rPr>
        <w:t xml:space="preserve"> Volume 1, London: Routledge</w:t>
      </w:r>
    </w:p>
    <w:p w14:paraId="1E8733EA" w14:textId="77777777" w:rsidR="00431533" w:rsidRPr="007C05E5" w:rsidRDefault="00431533" w:rsidP="00431533">
      <w:pPr>
        <w:ind w:hanging="709"/>
        <w:rPr>
          <w:rFonts w:ascii="Calibri" w:hAnsi="Calibri"/>
          <w:color w:val="FF0000"/>
          <w:lang w:val="en-US"/>
        </w:rPr>
      </w:pPr>
      <w:r w:rsidRPr="007C05E5">
        <w:rPr>
          <w:rFonts w:ascii="Calibri" w:hAnsi="Calibri"/>
          <w:color w:val="000000" w:themeColor="text1"/>
          <w:lang w:val="en-US"/>
        </w:rPr>
        <w:lastRenderedPageBreak/>
        <w:t xml:space="preserve">Chinn, M.D. and H. Ito (2021), The Chinn-Ito Financial Openness Index 2019 Update </w:t>
      </w:r>
      <w:hyperlink r:id="rId20" w:history="1">
        <w:r w:rsidRPr="007C05E5">
          <w:rPr>
            <w:rStyle w:val="Hipervnculo"/>
            <w:rFonts w:ascii="Calibri" w:hAnsi="Calibri"/>
            <w:lang w:val="en-US"/>
          </w:rPr>
          <w:t>http://web.pdx.edu/~ito/Chinn-Ito_website.htm</w:t>
        </w:r>
      </w:hyperlink>
    </w:p>
    <w:p w14:paraId="43DF55F9" w14:textId="77777777" w:rsidR="00431533" w:rsidRPr="007C05E5" w:rsidRDefault="00431533" w:rsidP="00431533">
      <w:pPr>
        <w:ind w:hanging="709"/>
        <w:rPr>
          <w:rFonts w:ascii="Calibri" w:hAnsi="Calibri"/>
          <w:color w:val="000000" w:themeColor="text1"/>
          <w:lang w:val="en-US"/>
        </w:rPr>
      </w:pPr>
      <w:r w:rsidRPr="007C05E5">
        <w:rPr>
          <w:rFonts w:ascii="Calibri" w:hAnsi="Calibri"/>
          <w:color w:val="000000" w:themeColor="text1"/>
          <w:lang w:val="en-US"/>
        </w:rPr>
        <w:t xml:space="preserve">Chinn, M. D. and H. Ito (2006), “What Matters for Financial Development? Capital Controls, Institutions, and Interactions”, </w:t>
      </w:r>
      <w:r w:rsidRPr="007C05E5">
        <w:rPr>
          <w:rFonts w:ascii="Calibri" w:hAnsi="Calibri"/>
          <w:i/>
          <w:iCs/>
          <w:color w:val="000000" w:themeColor="text1"/>
          <w:lang w:val="en-US"/>
        </w:rPr>
        <w:t>Journal of Development Economics</w:t>
      </w:r>
      <w:r w:rsidRPr="007C05E5">
        <w:rPr>
          <w:rFonts w:ascii="Calibri" w:hAnsi="Calibri"/>
          <w:color w:val="000000" w:themeColor="text1"/>
          <w:lang w:val="en-US"/>
        </w:rPr>
        <w:t xml:space="preserve"> 81(1): 163-192.</w:t>
      </w:r>
    </w:p>
    <w:p w14:paraId="69F2139C" w14:textId="77777777" w:rsidR="00431533" w:rsidRPr="007C05E5" w:rsidRDefault="00431533" w:rsidP="00431533">
      <w:pPr>
        <w:ind w:hanging="709"/>
        <w:rPr>
          <w:rFonts w:ascii="Calibri" w:hAnsi="Calibri"/>
          <w:lang w:val="en-US"/>
        </w:rPr>
      </w:pPr>
      <w:r w:rsidRPr="007C05E5">
        <w:rPr>
          <w:rFonts w:ascii="Calibri" w:hAnsi="Calibri"/>
          <w:lang w:val="en-US"/>
        </w:rPr>
        <w:t xml:space="preserve">Clague C., P. Keefer, S. Knack, and M. Olson (1999), “Contract-intensive Money: Contract Enforcement, Property Rights, and Economic Performance”, </w:t>
      </w:r>
      <w:r w:rsidRPr="007C05E5">
        <w:rPr>
          <w:rFonts w:ascii="Calibri" w:hAnsi="Calibri"/>
          <w:i/>
          <w:lang w:val="en-US"/>
        </w:rPr>
        <w:t>Journal of Economic Growth</w:t>
      </w:r>
      <w:r w:rsidRPr="007C05E5">
        <w:rPr>
          <w:rFonts w:ascii="Calibri" w:hAnsi="Calibri"/>
          <w:lang w:val="en-US"/>
        </w:rPr>
        <w:t xml:space="preserve"> 4: 181–211</w:t>
      </w:r>
    </w:p>
    <w:p w14:paraId="06E745EE" w14:textId="77777777" w:rsidR="00431533" w:rsidRPr="007C05E5" w:rsidRDefault="00431533" w:rsidP="00431533">
      <w:pPr>
        <w:ind w:hanging="709"/>
        <w:rPr>
          <w:rFonts w:ascii="Calibri" w:hAnsi="Calibri"/>
          <w:color w:val="000000" w:themeColor="text1"/>
          <w:lang w:val="en-US"/>
        </w:rPr>
      </w:pPr>
      <w:r w:rsidRPr="007C05E5">
        <w:rPr>
          <w:rFonts w:ascii="Calibri" w:hAnsi="Calibri"/>
          <w:color w:val="000000" w:themeColor="text1"/>
          <w:lang w:val="en-US"/>
        </w:rPr>
        <w:t xml:space="preserve">Collins (1983), “Long-Term Growth of the English Banking Sector and Money Stock, 1844-80”, </w:t>
      </w:r>
      <w:r w:rsidRPr="007C05E5">
        <w:rPr>
          <w:rFonts w:ascii="Calibri" w:hAnsi="Calibri"/>
          <w:i/>
          <w:iCs/>
          <w:color w:val="000000" w:themeColor="text1"/>
          <w:lang w:val="en-US"/>
        </w:rPr>
        <w:t xml:space="preserve">Economic History Review </w:t>
      </w:r>
      <w:r w:rsidRPr="007C05E5">
        <w:rPr>
          <w:rFonts w:ascii="Calibri" w:hAnsi="Calibri"/>
          <w:color w:val="000000" w:themeColor="text1"/>
          <w:lang w:val="en-US"/>
        </w:rPr>
        <w:t>36(3): 374-394.</w:t>
      </w:r>
    </w:p>
    <w:p w14:paraId="71727168" w14:textId="77777777" w:rsidR="00431533" w:rsidRPr="007C05E5" w:rsidRDefault="00431533" w:rsidP="00431533">
      <w:pPr>
        <w:ind w:hanging="709"/>
        <w:rPr>
          <w:rFonts w:ascii="Calibri" w:hAnsi="Calibri"/>
          <w:color w:val="FF0000"/>
          <w:lang w:val="en-US"/>
        </w:rPr>
      </w:pPr>
      <w:r w:rsidRPr="007C05E5">
        <w:rPr>
          <w:rFonts w:ascii="Calibri" w:hAnsi="Calibri"/>
          <w:color w:val="000000" w:themeColor="text1"/>
          <w:lang w:val="en-US"/>
        </w:rPr>
        <w:t xml:space="preserve">Conference Board (2022),  Total Economy Database </w:t>
      </w:r>
      <w:hyperlink r:id="rId21" w:history="1">
        <w:r w:rsidRPr="007C05E5">
          <w:rPr>
            <w:rStyle w:val="Hipervnculo"/>
            <w:rFonts w:ascii="Calibri" w:hAnsi="Calibri"/>
            <w:lang w:val="en-US"/>
          </w:rPr>
          <w:t>https://www.conference-board.org/data/economydatabase/total-economy-database-productivity</w:t>
        </w:r>
      </w:hyperlink>
    </w:p>
    <w:p w14:paraId="4E759A97" w14:textId="77777777" w:rsidR="00431533" w:rsidRPr="007C05E5" w:rsidRDefault="00431533" w:rsidP="00431533">
      <w:pPr>
        <w:ind w:hanging="709"/>
        <w:rPr>
          <w:rFonts w:ascii="Calibri" w:hAnsi="Calibri"/>
          <w:color w:val="000000" w:themeColor="text1"/>
          <w:lang w:val="en-US"/>
        </w:rPr>
      </w:pPr>
      <w:r w:rsidRPr="007C05E5">
        <w:rPr>
          <w:rFonts w:ascii="Calibri" w:hAnsi="Calibri"/>
          <w:color w:val="000000" w:themeColor="text1"/>
          <w:lang w:val="en-US"/>
        </w:rPr>
        <w:t xml:space="preserve">Coppedge, M. et al. (2022), ”V-Dem [Country–Year/Country–Date] Dataset v12”, </w:t>
      </w:r>
      <w:r w:rsidRPr="007C05E5">
        <w:rPr>
          <w:rFonts w:ascii="Calibri" w:hAnsi="Calibri"/>
          <w:i/>
          <w:iCs/>
          <w:color w:val="000000" w:themeColor="text1"/>
          <w:lang w:val="en-US"/>
        </w:rPr>
        <w:t>Varieties of Democracy (V-Dem) Project</w:t>
      </w:r>
      <w:r w:rsidRPr="007C05E5">
        <w:rPr>
          <w:rFonts w:ascii="Calibri" w:hAnsi="Calibri"/>
          <w:color w:val="000000" w:themeColor="text1"/>
          <w:lang w:val="en-US"/>
        </w:rPr>
        <w:t xml:space="preserve">. </w:t>
      </w:r>
      <w:hyperlink r:id="rId22" w:history="1">
        <w:r w:rsidRPr="007C05E5">
          <w:rPr>
            <w:rStyle w:val="Hipervnculo"/>
            <w:rFonts w:ascii="Calibri" w:hAnsi="Calibri"/>
            <w:lang w:val="en-US"/>
          </w:rPr>
          <w:t>https://doi.org/10.23696/vdemds22</w:t>
        </w:r>
      </w:hyperlink>
    </w:p>
    <w:p w14:paraId="10B87DC8" w14:textId="77777777" w:rsidR="00431533" w:rsidRPr="007C05E5" w:rsidRDefault="00431533" w:rsidP="00431533">
      <w:pPr>
        <w:ind w:hanging="709"/>
        <w:rPr>
          <w:rFonts w:ascii="Calibri" w:hAnsi="Calibri"/>
          <w:color w:val="FF0000"/>
          <w:lang w:val="en-US"/>
        </w:rPr>
      </w:pPr>
      <w:r w:rsidRPr="007C05E5">
        <w:rPr>
          <w:rFonts w:ascii="Calibri" w:hAnsi="Calibri"/>
          <w:lang w:val="en-US"/>
        </w:rPr>
        <w:t xml:space="preserve">Crafts, N. (2006), “Regulation and Productivity Performance” </w:t>
      </w:r>
      <w:r w:rsidRPr="007C05E5">
        <w:rPr>
          <w:rFonts w:ascii="Calibri" w:hAnsi="Calibri"/>
          <w:i/>
          <w:lang w:val="en-US"/>
        </w:rPr>
        <w:t>Oxford Review of Economic Policy</w:t>
      </w:r>
      <w:r w:rsidRPr="007C05E5">
        <w:rPr>
          <w:rFonts w:ascii="Calibri" w:hAnsi="Calibri"/>
          <w:i/>
          <w:color w:val="FF0000"/>
          <w:lang w:val="en-US"/>
        </w:rPr>
        <w:t xml:space="preserve"> </w:t>
      </w:r>
      <w:r w:rsidRPr="007C05E5">
        <w:rPr>
          <w:rFonts w:ascii="Calibri" w:hAnsi="Calibri"/>
          <w:lang w:val="en-US"/>
        </w:rPr>
        <w:t>22: 186-202.</w:t>
      </w:r>
    </w:p>
    <w:p w14:paraId="10BE1CDA" w14:textId="77777777" w:rsidR="00431533" w:rsidRPr="007C05E5" w:rsidRDefault="00431533" w:rsidP="00431533">
      <w:pPr>
        <w:ind w:hanging="709"/>
        <w:rPr>
          <w:rFonts w:ascii="Calibri" w:hAnsi="Calibri"/>
          <w:lang w:val="en-US"/>
        </w:rPr>
      </w:pPr>
      <w:r w:rsidRPr="007C05E5">
        <w:rPr>
          <w:rFonts w:ascii="Calibri" w:hAnsi="Calibri"/>
          <w:lang w:val="en-US"/>
        </w:rPr>
        <w:t xml:space="preserve">DeStatis Germany Statistiches Bundesamt </w:t>
      </w:r>
      <w:hyperlink r:id="rId23" w:history="1">
        <w:r w:rsidRPr="007C05E5">
          <w:rPr>
            <w:rStyle w:val="Hipervnculo"/>
            <w:rFonts w:ascii="Calibri" w:hAnsi="Calibri"/>
            <w:lang w:val="en-US"/>
          </w:rPr>
          <w:t>www.destatis.de</w:t>
        </w:r>
      </w:hyperlink>
    </w:p>
    <w:p w14:paraId="68659DB3" w14:textId="77777777" w:rsidR="00431533" w:rsidRPr="007C05E5" w:rsidRDefault="00431533" w:rsidP="00431533">
      <w:pPr>
        <w:ind w:hanging="709"/>
        <w:rPr>
          <w:rFonts w:ascii="Calibri" w:hAnsi="Calibri"/>
          <w:lang w:val="en-US"/>
        </w:rPr>
      </w:pPr>
      <w:r w:rsidRPr="007C05E5">
        <w:rPr>
          <w:rFonts w:ascii="Calibri" w:hAnsi="Calibri"/>
          <w:lang w:val="en-US"/>
        </w:rPr>
        <w:t xml:space="preserve">Eddie, S. M. (1980), ‘‘Austria in the Dual Monarchy: Her Trade within and without the Customs Union’’, </w:t>
      </w:r>
      <w:r w:rsidRPr="007C05E5">
        <w:rPr>
          <w:rFonts w:ascii="Calibri" w:hAnsi="Calibri"/>
          <w:i/>
          <w:lang w:val="en-US"/>
        </w:rPr>
        <w:t>East Central Europe</w:t>
      </w:r>
      <w:r w:rsidRPr="007C05E5">
        <w:rPr>
          <w:rFonts w:ascii="Calibri" w:hAnsi="Calibri"/>
          <w:lang w:val="en-US"/>
        </w:rPr>
        <w:t xml:space="preserve"> 7: 225–247.</w:t>
      </w:r>
    </w:p>
    <w:p w14:paraId="1D5FD94F"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Edvinsson, R. and A. Ögren (2014), “Swedish Money Supply, 1620–2012”, in R. Edvinsson, T. Jacobson and D.l Waldenström (eds.), </w:t>
      </w:r>
      <w:r w:rsidRPr="007C05E5">
        <w:rPr>
          <w:rFonts w:ascii="Calibri" w:hAnsi="Calibri"/>
          <w:i/>
          <w:iCs/>
          <w:lang w:val="en-US"/>
        </w:rPr>
        <w:t>Historical Monetary and Financial Statistics for Sweden</w:t>
      </w:r>
      <w:r w:rsidRPr="007C05E5">
        <w:rPr>
          <w:rFonts w:ascii="Calibri" w:hAnsi="Calibri"/>
          <w:lang w:val="en-US"/>
        </w:rPr>
        <w:t xml:space="preserve">, Vol. II </w:t>
      </w:r>
      <w:r w:rsidRPr="007C05E5">
        <w:rPr>
          <w:rFonts w:ascii="Calibri" w:hAnsi="Calibri"/>
          <w:i/>
          <w:iCs/>
          <w:lang w:val="en-US"/>
        </w:rPr>
        <w:t>House Prices, Stock Returns, National Accounts, and the Riksbank Balance Sheet, 1620–2012</w:t>
      </w:r>
      <w:r w:rsidRPr="007C05E5">
        <w:rPr>
          <w:rFonts w:ascii="Calibri" w:hAnsi="Calibri"/>
          <w:lang w:val="en-US"/>
        </w:rPr>
        <w:t xml:space="preserve"> Stockholm: Sveriges Riksbank and Ekerlids.</w:t>
      </w:r>
    </w:p>
    <w:p w14:paraId="01207A27"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Edvinsson, R. and J. Söderberg (2007), “The evolution of Swedish consumer prices 1290–2008”, </w:t>
      </w:r>
      <w:r w:rsidRPr="007C05E5">
        <w:rPr>
          <w:rFonts w:ascii="Calibri" w:hAnsi="Calibri"/>
          <w:i/>
          <w:lang w:val="en-US"/>
        </w:rPr>
        <w:t>Review of Income and Wealth</w:t>
      </w:r>
      <w:r w:rsidRPr="007C05E5">
        <w:rPr>
          <w:rFonts w:ascii="Calibri" w:hAnsi="Calibri"/>
          <w:lang w:val="en-US"/>
        </w:rPr>
        <w:t xml:space="preserve"> 57 (2): 270-292.</w:t>
      </w:r>
    </w:p>
    <w:p w14:paraId="55FAE476"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Edvinsson, R. and J. Söderberg (2007), “The evolution of Swedish consumer prices 1290–2008”, in R. Edvinsson, T. Jacobson, and D. Waldenström (eds.), </w:t>
      </w:r>
      <w:r w:rsidRPr="007C05E5">
        <w:rPr>
          <w:rFonts w:ascii="Calibri" w:hAnsi="Calibri"/>
          <w:i/>
          <w:lang w:val="en-US"/>
        </w:rPr>
        <w:t>Exchange Rates, Prices, and Wages, 1277–2008</w:t>
      </w:r>
      <w:r w:rsidRPr="007C05E5">
        <w:rPr>
          <w:rFonts w:ascii="Calibri" w:hAnsi="Calibri"/>
          <w:lang w:val="en-US"/>
        </w:rPr>
        <w:t xml:space="preserve">, Stockholm: Ekerlids Förlag, pp. 412-452, </w:t>
      </w:r>
      <w:hyperlink r:id="rId24" w:history="1">
        <w:r w:rsidRPr="007C05E5">
          <w:rPr>
            <w:rStyle w:val="Hipervnculo"/>
            <w:rFonts w:ascii="Calibri" w:hAnsi="Calibri"/>
            <w:lang w:val="en-US"/>
          </w:rPr>
          <w:t>http://www.riksbank.se/en/The-Riksbank/Research/Historical-Monetary-Statistics-/Prices/</w:t>
        </w:r>
      </w:hyperlink>
    </w:p>
    <w:p w14:paraId="151B68D9"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Edvinsson, R. (2011), “Money Supply, 1871-2006”, In Sveriges Riksbank, </w:t>
      </w:r>
      <w:r w:rsidRPr="007C05E5">
        <w:rPr>
          <w:rFonts w:ascii="Calibri" w:hAnsi="Calibri"/>
          <w:i/>
          <w:lang w:val="en-US"/>
        </w:rPr>
        <w:t>Historical Monetary Statistics of Sweden 1668-2008</w:t>
      </w:r>
      <w:r w:rsidRPr="007C05E5">
        <w:rPr>
          <w:rFonts w:ascii="Calibri" w:hAnsi="Calibri"/>
          <w:lang w:val="en-US"/>
        </w:rPr>
        <w:t>,</w:t>
      </w:r>
      <w:r w:rsidRPr="007C05E5">
        <w:rPr>
          <w:lang w:val="en-US"/>
        </w:rPr>
        <w:t xml:space="preserve"> </w:t>
      </w:r>
      <w:hyperlink r:id="rId25" w:history="1">
        <w:r w:rsidRPr="007C05E5">
          <w:rPr>
            <w:rStyle w:val="Hipervnculo"/>
            <w:rFonts w:ascii="Calibri" w:hAnsi="Calibri"/>
            <w:lang w:val="en-US"/>
          </w:rPr>
          <w:t>http://www.riksbank.se/en/The-Riksbank/Research/Historical-Monetary-Statistics-/Money-supply/</w:t>
        </w:r>
      </w:hyperlink>
    </w:p>
    <w:p w14:paraId="579213F0" w14:textId="77777777" w:rsidR="00431533" w:rsidRPr="007C05E5" w:rsidRDefault="00431533" w:rsidP="00431533">
      <w:pPr>
        <w:ind w:hanging="709"/>
        <w:rPr>
          <w:rFonts w:ascii="Calibri" w:hAnsi="Calibri"/>
          <w:lang w:val="en-US"/>
        </w:rPr>
      </w:pPr>
      <w:r w:rsidRPr="007C05E5">
        <w:rPr>
          <w:rFonts w:ascii="Calibri" w:hAnsi="Calibri"/>
          <w:lang w:val="en-US"/>
        </w:rPr>
        <w:t xml:space="preserve">Eichengreen, B. 1992, </w:t>
      </w:r>
      <w:r w:rsidRPr="007C05E5">
        <w:rPr>
          <w:rFonts w:ascii="Calibri" w:hAnsi="Calibri"/>
          <w:i/>
          <w:lang w:val="en-US"/>
        </w:rPr>
        <w:t>Golden Fetters. The Gold Standard and the Great Depression, 1919-1939</w:t>
      </w:r>
      <w:r w:rsidRPr="007C05E5">
        <w:rPr>
          <w:rFonts w:ascii="Calibri" w:hAnsi="Calibri"/>
          <w:lang w:val="en-US"/>
        </w:rPr>
        <w:t>. Oxford: Oxford University Press.</w:t>
      </w:r>
    </w:p>
    <w:p w14:paraId="1A13C67E" w14:textId="77777777" w:rsidR="00431533" w:rsidRPr="007C05E5" w:rsidRDefault="00431533" w:rsidP="00431533">
      <w:pPr>
        <w:ind w:hanging="709"/>
        <w:rPr>
          <w:rFonts w:ascii="Calibri" w:hAnsi="Calibri"/>
          <w:lang w:val="en-US"/>
        </w:rPr>
      </w:pPr>
      <w:r w:rsidRPr="007C05E5">
        <w:rPr>
          <w:rFonts w:ascii="Calibri" w:hAnsi="Calibri"/>
          <w:lang w:val="en-US"/>
        </w:rPr>
        <w:t xml:space="preserve">Eichengreen, B. and M. Flandreau (1996), “The Geography of the Gold Standard”, in J. Braga de Macedo, B. Eichengreen, and J. Reis (eds.), </w:t>
      </w:r>
      <w:r w:rsidRPr="007C05E5">
        <w:rPr>
          <w:rFonts w:ascii="Calibri" w:hAnsi="Calibri"/>
          <w:i/>
          <w:lang w:val="en-US"/>
        </w:rPr>
        <w:t xml:space="preserve">Currency Convertibility: The Gold Standard and Beyond. </w:t>
      </w:r>
      <w:r w:rsidRPr="007C05E5">
        <w:rPr>
          <w:rFonts w:ascii="Calibri" w:hAnsi="Calibri"/>
          <w:lang w:val="en-US"/>
        </w:rPr>
        <w:t>London: Rutledge, pp.</w:t>
      </w:r>
      <w:r w:rsidRPr="007C05E5">
        <w:rPr>
          <w:rFonts w:ascii="Calibri" w:hAnsi="Calibri"/>
          <w:i/>
          <w:lang w:val="en-US"/>
        </w:rPr>
        <w:t xml:space="preserve"> </w:t>
      </w:r>
      <w:r w:rsidRPr="007C05E5">
        <w:rPr>
          <w:rFonts w:ascii="Calibri" w:hAnsi="Calibri"/>
          <w:lang w:val="en-US"/>
        </w:rPr>
        <w:t>113-143.</w:t>
      </w:r>
    </w:p>
    <w:p w14:paraId="03B27D42" w14:textId="77777777" w:rsidR="00431533" w:rsidRPr="007C05E5" w:rsidRDefault="00431533" w:rsidP="00431533">
      <w:pPr>
        <w:ind w:hanging="709"/>
        <w:rPr>
          <w:rFonts w:ascii="Calibri" w:hAnsi="Calibri"/>
          <w:lang w:val="en-US"/>
        </w:rPr>
      </w:pPr>
      <w:r w:rsidRPr="007C05E5">
        <w:rPr>
          <w:rFonts w:ascii="Calibri" w:hAnsi="Calibri"/>
          <w:lang w:val="en-US"/>
        </w:rPr>
        <w:t xml:space="preserve">Eitrheim, Ø., J.T. Klovland and J.F. Qvigstad (eds.) (2022), </w:t>
      </w:r>
      <w:r w:rsidRPr="007C05E5">
        <w:rPr>
          <w:rFonts w:ascii="Calibri" w:hAnsi="Calibri"/>
          <w:i/>
          <w:lang w:val="en-US"/>
        </w:rPr>
        <w:t>Historical Monetary and Financial Statistics for Norway</w:t>
      </w:r>
      <w:r w:rsidRPr="007C05E5">
        <w:rPr>
          <w:rFonts w:ascii="Calibri" w:hAnsi="Calibri"/>
          <w:lang w:val="en-US"/>
        </w:rPr>
        <w:t xml:space="preserve">, Norges Banks Skriftserie Occasional Papers No. 57 </w:t>
      </w:r>
      <w:hyperlink r:id="rId26" w:history="1">
        <w:r w:rsidRPr="007C05E5">
          <w:rPr>
            <w:rStyle w:val="Hipervnculo"/>
            <w:rFonts w:ascii="Calibri" w:hAnsi="Calibri"/>
            <w:lang w:val="en-US"/>
          </w:rPr>
          <w:t>https://www.norges-bank.no/contentassets/040cc5261ff74feca3af4b7b0ea46dc4/occ-papers-57-2022-hmfs.pdf?v=04/28/2023154520</w:t>
        </w:r>
      </w:hyperlink>
    </w:p>
    <w:p w14:paraId="717C0A44" w14:textId="77777777" w:rsidR="00431533" w:rsidRPr="007C05E5" w:rsidRDefault="00431533" w:rsidP="00431533">
      <w:pPr>
        <w:ind w:hanging="709"/>
        <w:rPr>
          <w:rFonts w:ascii="Calibri" w:hAnsi="Calibri"/>
          <w:lang w:val="en-US"/>
        </w:rPr>
      </w:pPr>
      <w:r w:rsidRPr="007C05E5">
        <w:rPr>
          <w:rFonts w:ascii="Calibri" w:hAnsi="Calibri"/>
          <w:lang w:val="en-US"/>
        </w:rPr>
        <w:t xml:space="preserve">Federal Deposit Insurance Corporation, Deposits FDIC Insured Commercial Banks US and Other Areas Balances at Year End, 1934-2011, </w:t>
      </w:r>
      <w:hyperlink r:id="rId27" w:history="1">
        <w:r w:rsidRPr="007C05E5">
          <w:rPr>
            <w:rStyle w:val="Hipervnculo"/>
            <w:rFonts w:ascii="Calibri" w:hAnsi="Calibri"/>
            <w:lang w:val="en-US"/>
          </w:rPr>
          <w:t>http://www2.fdic.gov/hsob/index.asp</w:t>
        </w:r>
      </w:hyperlink>
    </w:p>
    <w:p w14:paraId="3EA2C2DF" w14:textId="77777777" w:rsidR="00431533" w:rsidRPr="007C05E5" w:rsidRDefault="00431533" w:rsidP="00431533">
      <w:pPr>
        <w:ind w:hanging="709"/>
        <w:rPr>
          <w:rFonts w:ascii="Calibri" w:hAnsi="Calibri"/>
          <w:lang w:val="en-US"/>
        </w:rPr>
      </w:pPr>
      <w:r w:rsidRPr="007C05E5">
        <w:rPr>
          <w:rFonts w:ascii="Calibri" w:hAnsi="Calibri"/>
          <w:lang w:val="en-US"/>
        </w:rPr>
        <w:t xml:space="preserve">Federal Reserve Bank St. Louis (FRED) Monetary Aggregates </w:t>
      </w:r>
      <w:hyperlink r:id="rId28" w:history="1">
        <w:r w:rsidRPr="007C05E5">
          <w:rPr>
            <w:rStyle w:val="Hipervnculo"/>
            <w:rFonts w:ascii="Calibri" w:hAnsi="Calibri"/>
            <w:lang w:val="en-US"/>
          </w:rPr>
          <w:t>https://fred.stlouisfed.org/searchresults?st=Monetary+aggregates</w:t>
        </w:r>
      </w:hyperlink>
    </w:p>
    <w:p w14:paraId="051ABBB5" w14:textId="77777777" w:rsidR="00431533" w:rsidRPr="007C05E5" w:rsidRDefault="00431533" w:rsidP="00431533">
      <w:pPr>
        <w:ind w:hanging="709"/>
        <w:rPr>
          <w:rFonts w:ascii="Calibri" w:hAnsi="Calibri"/>
          <w:lang w:val="en-US"/>
        </w:rPr>
      </w:pPr>
      <w:r w:rsidRPr="007C05E5">
        <w:rPr>
          <w:rFonts w:ascii="Calibri" w:hAnsi="Calibri"/>
          <w:lang w:val="en-US"/>
        </w:rPr>
        <w:lastRenderedPageBreak/>
        <w:t xml:space="preserve">Flandreau, M. and F. Zumer (2004) </w:t>
      </w:r>
      <w:r w:rsidRPr="007C05E5">
        <w:rPr>
          <w:rFonts w:ascii="Calibri" w:hAnsi="Calibri"/>
          <w:i/>
          <w:lang w:val="en-US"/>
        </w:rPr>
        <w:t>The Making of Global Economic Data   Finance 1880-1913,</w:t>
      </w:r>
      <w:r w:rsidRPr="007C05E5">
        <w:rPr>
          <w:rFonts w:ascii="Calibri" w:hAnsi="Calibri"/>
          <w:lang w:val="en-US"/>
        </w:rPr>
        <w:t xml:space="preserve"> Paris: OECD. </w:t>
      </w:r>
    </w:p>
    <w:p w14:paraId="6D9FC84C" w14:textId="77777777" w:rsidR="00431533" w:rsidRPr="007C05E5" w:rsidRDefault="00431533" w:rsidP="00431533">
      <w:pPr>
        <w:ind w:hanging="709"/>
        <w:rPr>
          <w:rFonts w:ascii="Calibri" w:hAnsi="Calibri"/>
          <w:lang w:val="en-US"/>
        </w:rPr>
      </w:pPr>
      <w:r w:rsidRPr="007C05E5">
        <w:rPr>
          <w:rFonts w:ascii="Calibri" w:hAnsi="Calibri"/>
          <w:lang w:val="en-US"/>
        </w:rPr>
        <w:t xml:space="preserve">Geloso, V. (2019), “A Price Index for Canada, 168860 1950”, </w:t>
      </w:r>
      <w:r w:rsidRPr="007C05E5">
        <w:rPr>
          <w:rFonts w:ascii="Calibri" w:hAnsi="Calibri"/>
          <w:i/>
          <w:iCs/>
          <w:lang w:val="en-US"/>
        </w:rPr>
        <w:t>Canadian Journal of Economics</w:t>
      </w:r>
      <w:r w:rsidRPr="007C05E5">
        <w:rPr>
          <w:rFonts w:ascii="Calibri" w:hAnsi="Calibri"/>
          <w:lang w:val="en-US"/>
        </w:rPr>
        <w:t xml:space="preserve"> 52(2): 526-560.</w:t>
      </w:r>
    </w:p>
    <w:p w14:paraId="25D3F8A2" w14:textId="77777777" w:rsidR="00431533" w:rsidRPr="007C05E5" w:rsidRDefault="00431533" w:rsidP="00431533">
      <w:pPr>
        <w:ind w:hanging="709"/>
        <w:rPr>
          <w:rFonts w:ascii="Calibri" w:hAnsi="Calibri"/>
          <w:lang w:val="en-US"/>
        </w:rPr>
      </w:pPr>
      <w:r w:rsidRPr="007C05E5">
        <w:rPr>
          <w:rFonts w:ascii="Calibri" w:hAnsi="Calibri"/>
          <w:lang w:val="en-US"/>
        </w:rPr>
        <w:t>Gerlach, S. and R. Stuart (2014), Money demand in Ireland, 1933-2012, Central Bank of Ireland Research Technical Paper 08/RT/14</w:t>
      </w:r>
    </w:p>
    <w:p w14:paraId="4FF61D6B" w14:textId="77777777" w:rsidR="00431533" w:rsidRPr="007C05E5" w:rsidRDefault="00431533" w:rsidP="00431533">
      <w:pPr>
        <w:ind w:hanging="709"/>
        <w:rPr>
          <w:rFonts w:ascii="Calibri" w:hAnsi="Calibri"/>
          <w:lang w:val="en-US"/>
        </w:rPr>
      </w:pPr>
      <w:r w:rsidRPr="007C05E5">
        <w:rPr>
          <w:rFonts w:ascii="Calibri" w:hAnsi="Calibri"/>
          <w:color w:val="000000" w:themeColor="text1"/>
          <w:lang w:val="en-US"/>
        </w:rPr>
        <w:t xml:space="preserve">Grytten, O.H.(2022a), “Annual Cost of Living/Consumer Price Indices, 1492-2021”, in Eitrheim, </w:t>
      </w:r>
      <w:r w:rsidRPr="007C05E5">
        <w:rPr>
          <w:rFonts w:ascii="Calibri" w:hAnsi="Calibri"/>
          <w:lang w:val="en-US"/>
        </w:rPr>
        <w:t xml:space="preserve">Klovland and Qvigstad (eds.) (2022), pp. 527-566. </w:t>
      </w:r>
    </w:p>
    <w:p w14:paraId="2FD35F0C" w14:textId="77777777" w:rsidR="00431533" w:rsidRPr="007C05E5" w:rsidRDefault="00431533" w:rsidP="00431533">
      <w:pPr>
        <w:ind w:hanging="709"/>
        <w:rPr>
          <w:rFonts w:ascii="Calibri" w:hAnsi="Calibri"/>
          <w:lang w:val="en-US"/>
        </w:rPr>
      </w:pPr>
      <w:r w:rsidRPr="007C05E5">
        <w:rPr>
          <w:rFonts w:ascii="Calibri" w:hAnsi="Calibri"/>
          <w:lang w:val="en-US"/>
        </w:rPr>
        <w:t>Grytten, O.H. (2022b),  “Norwegian GDP, 1816-2021” in Eitrheim, Klovland and Qvigstad (eds.) (2022), pp. 429-470.</w:t>
      </w:r>
    </w:p>
    <w:p w14:paraId="5AF22CA5" w14:textId="77777777" w:rsidR="00431533" w:rsidRDefault="00431533" w:rsidP="00431533">
      <w:pPr>
        <w:ind w:hanging="709"/>
        <w:rPr>
          <w:rFonts w:ascii="Calibri" w:hAnsi="Calibri"/>
          <w:lang w:val="en-US"/>
        </w:rPr>
      </w:pPr>
      <w:r w:rsidRPr="007C05E5">
        <w:rPr>
          <w:rFonts w:ascii="Calibri" w:hAnsi="Calibri"/>
          <w:color w:val="000000" w:themeColor="text1"/>
          <w:lang w:val="en-US"/>
        </w:rPr>
        <w:t xml:space="preserve">Gwartney, J., R. Lawson, J. Hall, and R. Murphy (2022), </w:t>
      </w:r>
      <w:r w:rsidRPr="007C05E5">
        <w:rPr>
          <w:rFonts w:ascii="Calibri" w:hAnsi="Calibri"/>
          <w:i/>
          <w:color w:val="000000" w:themeColor="text1"/>
          <w:lang w:val="en-US"/>
        </w:rPr>
        <w:t>Economic Freedom of the World: 2022 Annual Report</w:t>
      </w:r>
      <w:r w:rsidRPr="007C05E5">
        <w:rPr>
          <w:rFonts w:ascii="Calibri" w:hAnsi="Calibri"/>
          <w:color w:val="000000" w:themeColor="text1"/>
          <w:lang w:val="en-US"/>
        </w:rPr>
        <w:t>, Vancouver: Fraser Institute.</w:t>
      </w:r>
      <w:r w:rsidRPr="00CF11F4">
        <w:rPr>
          <w:rFonts w:ascii="Calibri" w:hAnsi="Calibri"/>
          <w:lang w:val="en-US"/>
        </w:rPr>
        <w:t xml:space="preserve"> </w:t>
      </w:r>
    </w:p>
    <w:p w14:paraId="17A79541" w14:textId="77777777" w:rsidR="00431533" w:rsidRPr="007C05E5" w:rsidRDefault="00431533" w:rsidP="00431533">
      <w:pPr>
        <w:ind w:hanging="709"/>
        <w:rPr>
          <w:rFonts w:ascii="Calibri" w:hAnsi="Calibri"/>
          <w:lang w:val="en-US"/>
        </w:rPr>
      </w:pPr>
      <w:r w:rsidRPr="00CF11F4">
        <w:rPr>
          <w:rFonts w:ascii="Calibri" w:hAnsi="Calibri"/>
          <w:lang w:val="en-US"/>
        </w:rPr>
        <w:t xml:space="preserve">Hansen, S.A. (1974), </w:t>
      </w:r>
      <w:r w:rsidRPr="00A6248C">
        <w:rPr>
          <w:rFonts w:ascii="Calibri" w:hAnsi="Calibri"/>
          <w:i/>
          <w:lang w:val="da-DK"/>
        </w:rPr>
        <w:t>Økonomisk vækst i Danmark</w:t>
      </w:r>
      <w:r w:rsidRPr="00CF11F4">
        <w:rPr>
          <w:rFonts w:ascii="Calibri" w:hAnsi="Calibri"/>
          <w:lang w:val="en-US"/>
        </w:rPr>
        <w:t xml:space="preserve">, </w:t>
      </w:r>
      <w:r w:rsidRPr="00A6248C">
        <w:rPr>
          <w:rFonts w:ascii="Calibri" w:hAnsi="Calibri"/>
          <w:lang w:val="da-DK"/>
        </w:rPr>
        <w:t>Copenhagen:</w:t>
      </w:r>
      <w:r w:rsidRPr="00CF11F4">
        <w:rPr>
          <w:rFonts w:ascii="Calibri" w:hAnsi="Calibri"/>
          <w:lang w:val="en-US"/>
        </w:rPr>
        <w:t xml:space="preserve"> </w:t>
      </w:r>
      <w:r w:rsidRPr="00A6248C">
        <w:rPr>
          <w:rFonts w:ascii="Calibri" w:hAnsi="Calibri"/>
          <w:lang w:val="da-DK"/>
        </w:rPr>
        <w:t>Akademisk Forlag</w:t>
      </w:r>
    </w:p>
    <w:p w14:paraId="131593E4" w14:textId="77777777" w:rsidR="00431533" w:rsidRPr="007C05E5" w:rsidRDefault="00431533" w:rsidP="00431533">
      <w:pPr>
        <w:ind w:hanging="709"/>
        <w:rPr>
          <w:rFonts w:ascii="Calibri" w:hAnsi="Calibri"/>
          <w:lang w:val="en-US"/>
        </w:rPr>
      </w:pPr>
      <w:r w:rsidRPr="007C05E5">
        <w:rPr>
          <w:rFonts w:ascii="Calibri" w:hAnsi="Calibri"/>
          <w:lang w:val="en-US"/>
        </w:rPr>
        <w:t xml:space="preserve">Hayek, F.A. (1960, 2006), </w:t>
      </w:r>
      <w:r w:rsidRPr="007C05E5">
        <w:rPr>
          <w:rFonts w:ascii="Calibri" w:hAnsi="Calibri"/>
          <w:i/>
          <w:lang w:val="en-US"/>
        </w:rPr>
        <w:t>The Constitution of Liberty</w:t>
      </w:r>
      <w:r w:rsidRPr="007C05E5">
        <w:rPr>
          <w:rFonts w:ascii="Calibri" w:hAnsi="Calibri"/>
          <w:lang w:val="en-US"/>
        </w:rPr>
        <w:t>, Abingdon: Routledge.</w:t>
      </w:r>
    </w:p>
    <w:p w14:paraId="3DD74AED" w14:textId="77777777" w:rsidR="00431533" w:rsidRPr="007C05E5" w:rsidRDefault="00431533" w:rsidP="00431533">
      <w:pPr>
        <w:ind w:hanging="709"/>
        <w:rPr>
          <w:rFonts w:ascii="Calibri" w:hAnsi="Calibri"/>
          <w:lang w:val="en-US"/>
        </w:rPr>
      </w:pPr>
      <w:r w:rsidRPr="007C05E5">
        <w:rPr>
          <w:rFonts w:ascii="Calibri" w:hAnsi="Calibri"/>
          <w:lang w:val="en-US"/>
        </w:rPr>
        <w:t xml:space="preserve">Heikkinen, S. (1997), </w:t>
      </w:r>
      <w:r w:rsidRPr="007C05E5">
        <w:rPr>
          <w:rFonts w:ascii="Calibri" w:hAnsi="Calibri"/>
          <w:i/>
          <w:lang w:val="en-US"/>
        </w:rPr>
        <w:t>Labour and the Market: Workers, Wages and Living Standards in Finland, 1850-1913</w:t>
      </w:r>
      <w:r w:rsidRPr="007C05E5">
        <w:rPr>
          <w:rFonts w:ascii="Calibri" w:hAnsi="Calibri"/>
          <w:lang w:val="en-US"/>
        </w:rPr>
        <w:t>, Helsinki: Finish Society of Sciences and Letters.</w:t>
      </w:r>
    </w:p>
    <w:p w14:paraId="07622950" w14:textId="77777777" w:rsidR="00431533" w:rsidRPr="007C05E5" w:rsidRDefault="00431533" w:rsidP="00431533">
      <w:pPr>
        <w:ind w:hanging="709"/>
        <w:rPr>
          <w:rFonts w:ascii="Calibri" w:hAnsi="Calibri"/>
          <w:color w:val="FF0000"/>
          <w:lang w:val="en-US"/>
        </w:rPr>
      </w:pPr>
      <w:r w:rsidRPr="007C05E5">
        <w:rPr>
          <w:rFonts w:ascii="Calibri" w:hAnsi="Calibri"/>
          <w:lang w:val="en-US"/>
        </w:rPr>
        <w:t xml:space="preserve">Hills, S., R. Thomas and N. Dimsdale (2010), “The UK Recession in Context — What Do Three Centuries of Data Tell Us?, Bank of England </w:t>
      </w:r>
      <w:r w:rsidRPr="007C05E5">
        <w:rPr>
          <w:rFonts w:ascii="Calibri" w:hAnsi="Calibri"/>
          <w:i/>
          <w:lang w:val="en-US"/>
        </w:rPr>
        <w:t xml:space="preserve">Quarterly Bulletin </w:t>
      </w:r>
      <w:r w:rsidRPr="007C05E5">
        <w:rPr>
          <w:rFonts w:ascii="Calibri" w:hAnsi="Calibri"/>
          <w:lang w:val="en-US"/>
        </w:rPr>
        <w:t>50 (4): 277-291. Statistical Annex</w:t>
      </w:r>
      <w:r w:rsidRPr="007C05E5">
        <w:rPr>
          <w:rFonts w:ascii="Calibri" w:hAnsi="Calibri"/>
          <w:color w:val="FF0000"/>
          <w:lang w:val="en-US"/>
        </w:rPr>
        <w:t xml:space="preserve"> </w:t>
      </w:r>
      <w:hyperlink r:id="rId29" w:history="1">
        <w:r w:rsidRPr="007C05E5">
          <w:rPr>
            <w:rStyle w:val="Hipervnculo"/>
            <w:rFonts w:ascii="Calibri" w:hAnsi="Calibri"/>
            <w:lang w:val="en-US"/>
          </w:rPr>
          <w:t>www.bankofengland.co.uk/publications/.../threecenturiesofdata.xls</w:t>
        </w:r>
      </w:hyperlink>
    </w:p>
    <w:p w14:paraId="5BD792EA" w14:textId="77777777" w:rsidR="00431533" w:rsidRPr="007C05E5" w:rsidRDefault="00431533" w:rsidP="00431533">
      <w:pPr>
        <w:ind w:hanging="709"/>
        <w:rPr>
          <w:rFonts w:ascii="Calibri" w:hAnsi="Calibri"/>
          <w:color w:val="FF0000"/>
          <w:lang w:val="en-US"/>
        </w:rPr>
      </w:pPr>
      <w:r w:rsidRPr="007C05E5">
        <w:rPr>
          <w:rFonts w:ascii="Calibri" w:hAnsi="Calibri"/>
          <w:color w:val="000000" w:themeColor="text1"/>
          <w:lang w:val="en-US"/>
        </w:rPr>
        <w:t xml:space="preserve">Historical Statistics of Canada </w:t>
      </w:r>
      <w:hyperlink r:id="rId30" w:anchor="wb-auto-2" w:history="1">
        <w:r w:rsidRPr="007C05E5">
          <w:rPr>
            <w:rStyle w:val="Hipervnculo"/>
            <w:rFonts w:ascii="Calibri" w:hAnsi="Calibri"/>
            <w:lang w:val="en-US"/>
          </w:rPr>
          <w:t>https://www150.statcan.gc.ca/n1/en/catalogue/11-516-X#wb-auto-2</w:t>
        </w:r>
      </w:hyperlink>
    </w:p>
    <w:p w14:paraId="782C0554" w14:textId="77777777" w:rsidR="00431533" w:rsidRPr="007C05E5" w:rsidRDefault="00431533" w:rsidP="00431533">
      <w:pPr>
        <w:ind w:hanging="709"/>
        <w:rPr>
          <w:rFonts w:ascii="Calibri" w:hAnsi="Calibri"/>
          <w:color w:val="0000FF"/>
          <w:lang w:val="en-US"/>
        </w:rPr>
      </w:pPr>
      <w:r w:rsidRPr="007C05E5">
        <w:rPr>
          <w:rFonts w:ascii="Calibri" w:hAnsi="Calibri"/>
          <w:lang w:val="en-US"/>
        </w:rPr>
        <w:t>Historical Statistics of Japan, Statistics Bureau,</w:t>
      </w:r>
      <w:r w:rsidRPr="007C05E5">
        <w:rPr>
          <w:rFonts w:ascii="Calibri" w:hAnsi="Calibri"/>
          <w:color w:val="0000FF"/>
          <w:lang w:val="en-US"/>
        </w:rPr>
        <w:t xml:space="preserve"> </w:t>
      </w:r>
      <w:hyperlink r:id="rId31" w:history="1">
        <w:r w:rsidRPr="007C05E5">
          <w:rPr>
            <w:rStyle w:val="Hipervnculo"/>
            <w:rFonts w:ascii="Calibri" w:hAnsi="Calibri"/>
            <w:lang w:val="en-US"/>
          </w:rPr>
          <w:t>https://www.stat.go.jp/english/data/index.html</w:t>
        </w:r>
      </w:hyperlink>
      <w:r w:rsidRPr="007C05E5">
        <w:rPr>
          <w:rFonts w:ascii="Calibri" w:hAnsi="Calibri"/>
          <w:color w:val="0000FF"/>
          <w:lang w:val="en-US"/>
        </w:rPr>
        <w:t xml:space="preserve"> </w:t>
      </w:r>
    </w:p>
    <w:p w14:paraId="4BD55E0D" w14:textId="77777777" w:rsidR="00431533" w:rsidRPr="007C05E5" w:rsidRDefault="00431533" w:rsidP="00431533">
      <w:pPr>
        <w:ind w:hanging="709"/>
        <w:rPr>
          <w:rFonts w:ascii="Calibri" w:hAnsi="Calibri"/>
          <w:lang w:val="en-US"/>
        </w:rPr>
      </w:pPr>
      <w:r w:rsidRPr="007C05E5">
        <w:rPr>
          <w:rFonts w:ascii="Calibri" w:hAnsi="Calibri"/>
          <w:lang w:val="en-US"/>
        </w:rPr>
        <w:t>Historical Statistics of Switzerland online,</w:t>
      </w:r>
      <w:r w:rsidRPr="007C05E5">
        <w:rPr>
          <w:rFonts w:ascii="Calibri" w:hAnsi="Calibri"/>
          <w:color w:val="0000FF"/>
          <w:lang w:val="en-US"/>
        </w:rPr>
        <w:t xml:space="preserve"> http://www.fsw.uzh.ch/histstat/main.php</w:t>
      </w:r>
      <w:r w:rsidRPr="007C05E5">
        <w:rPr>
          <w:rFonts w:ascii="Calibri" w:hAnsi="Calibri"/>
          <w:lang w:val="en-US"/>
        </w:rPr>
        <w:t>, accessed on 8 February 2013</w:t>
      </w:r>
    </w:p>
    <w:p w14:paraId="53860059" w14:textId="77777777" w:rsidR="00431533" w:rsidRPr="007C05E5" w:rsidRDefault="00431533" w:rsidP="00431533">
      <w:pPr>
        <w:ind w:hanging="709"/>
        <w:rPr>
          <w:rFonts w:ascii="Calibri" w:hAnsi="Calibri"/>
          <w:i/>
          <w:lang w:val="en-US"/>
        </w:rPr>
      </w:pPr>
      <w:r w:rsidRPr="007C05E5">
        <w:rPr>
          <w:rFonts w:ascii="Calibri" w:hAnsi="Calibri"/>
          <w:lang w:val="en-US"/>
        </w:rPr>
        <w:t xml:space="preserve">Hjerppe, R. (1996), </w:t>
      </w:r>
      <w:r w:rsidRPr="007C05E5">
        <w:rPr>
          <w:rFonts w:ascii="Calibri" w:hAnsi="Calibri"/>
          <w:i/>
          <w:lang w:val="en-US"/>
        </w:rPr>
        <w:t>Finland’s Historical National Accounts 1860-1994: Calculation</w:t>
      </w:r>
    </w:p>
    <w:p w14:paraId="56C83830" w14:textId="77777777" w:rsidR="00431533" w:rsidRPr="007C05E5" w:rsidRDefault="00431533" w:rsidP="00431533">
      <w:pPr>
        <w:ind w:hanging="709"/>
        <w:rPr>
          <w:rFonts w:ascii="Calibri" w:hAnsi="Calibri"/>
          <w:lang w:val="en-US"/>
        </w:rPr>
      </w:pPr>
      <w:r w:rsidRPr="007C05E5">
        <w:rPr>
          <w:rFonts w:ascii="Calibri" w:hAnsi="Calibri"/>
          <w:i/>
          <w:lang w:val="en-US"/>
        </w:rPr>
        <w:t>Methods and Statistical Tables</w:t>
      </w:r>
      <w:r w:rsidRPr="007C05E5">
        <w:rPr>
          <w:rFonts w:ascii="Calibri" w:hAnsi="Calibri"/>
          <w:lang w:val="en-US"/>
        </w:rPr>
        <w:t>, Jyväskylä: J.Y.H.L.</w:t>
      </w:r>
    </w:p>
    <w:p w14:paraId="5A206BD1" w14:textId="77777777" w:rsidR="00431533" w:rsidRPr="007C05E5" w:rsidRDefault="00431533" w:rsidP="00431533">
      <w:pPr>
        <w:ind w:hanging="709"/>
        <w:rPr>
          <w:rFonts w:ascii="Calibri" w:hAnsi="Calibri"/>
          <w:lang w:val="en-US"/>
        </w:rPr>
      </w:pPr>
      <w:r w:rsidRPr="007C05E5">
        <w:rPr>
          <w:rFonts w:ascii="Calibri" w:hAnsi="Calibri"/>
          <w:lang w:val="en-US"/>
        </w:rPr>
        <w:t xml:space="preserve">Homer, S. and R. Sylla (2005), </w:t>
      </w:r>
      <w:r w:rsidRPr="007C05E5">
        <w:rPr>
          <w:rFonts w:ascii="Calibri" w:hAnsi="Calibri"/>
          <w:i/>
          <w:lang w:val="en-US"/>
        </w:rPr>
        <w:t>A History of Interest Rates</w:t>
      </w:r>
      <w:r w:rsidRPr="007C05E5">
        <w:rPr>
          <w:rFonts w:ascii="Calibri" w:hAnsi="Calibri"/>
          <w:lang w:val="en-US"/>
        </w:rPr>
        <w:t>, New York: John Wiley &amp; Sons.</w:t>
      </w:r>
    </w:p>
    <w:p w14:paraId="28D51DB9" w14:textId="77777777" w:rsidR="00431533" w:rsidRPr="007C05E5" w:rsidRDefault="00431533" w:rsidP="00431533">
      <w:pPr>
        <w:ind w:hanging="709"/>
        <w:rPr>
          <w:rFonts w:ascii="Calibri" w:hAnsi="Calibri"/>
          <w:lang w:val="en-US"/>
        </w:rPr>
      </w:pPr>
      <w:r w:rsidRPr="007C05E5">
        <w:rPr>
          <w:rFonts w:ascii="Calibri" w:hAnsi="Calibri"/>
          <w:lang w:val="en-US"/>
        </w:rPr>
        <w:t>Horlings, E. (1997), The Contribution of the Service Sector to Gross Domestic</w:t>
      </w:r>
    </w:p>
    <w:p w14:paraId="12E21229" w14:textId="77777777" w:rsidR="00431533" w:rsidRPr="007C05E5" w:rsidRDefault="00431533" w:rsidP="00431533">
      <w:pPr>
        <w:ind w:hanging="709"/>
        <w:rPr>
          <w:rFonts w:ascii="Calibri" w:hAnsi="Calibri"/>
          <w:lang w:val="en-US"/>
        </w:rPr>
      </w:pPr>
      <w:r w:rsidRPr="007C05E5">
        <w:rPr>
          <w:rFonts w:ascii="Calibri" w:hAnsi="Calibri"/>
          <w:lang w:val="en-US"/>
        </w:rPr>
        <w:t>Product in Belgium, 1835-1990, Utrecht: Universiteit Utrecht 1997 (mimeo)</w:t>
      </w:r>
    </w:p>
    <w:p w14:paraId="05DF5B1B" w14:textId="77777777" w:rsidR="00431533" w:rsidRPr="007C05E5" w:rsidRDefault="00431533" w:rsidP="00431533">
      <w:pPr>
        <w:ind w:hanging="709"/>
        <w:rPr>
          <w:rFonts w:ascii="Calibri" w:hAnsi="Calibri"/>
          <w:lang w:val="en-US"/>
        </w:rPr>
      </w:pPr>
      <w:r w:rsidRPr="007C05E5">
        <w:rPr>
          <w:rFonts w:ascii="Calibri" w:hAnsi="Calibri"/>
          <w:lang w:val="en-US"/>
        </w:rPr>
        <w:t xml:space="preserve">Huberman, M. and W. Lewchuk (2003),  “European Economic Integration and the Labour Compact, 1850-1913”, </w:t>
      </w:r>
      <w:r w:rsidRPr="007C05E5">
        <w:rPr>
          <w:rFonts w:ascii="Calibri" w:hAnsi="Calibri"/>
          <w:i/>
          <w:lang w:val="en-US"/>
        </w:rPr>
        <w:t>European Review of Economic History</w:t>
      </w:r>
      <w:r w:rsidRPr="007C05E5">
        <w:rPr>
          <w:rFonts w:ascii="Calibri" w:hAnsi="Calibri"/>
          <w:lang w:val="en-US"/>
        </w:rPr>
        <w:t xml:space="preserve"> 7: 3-41</w:t>
      </w:r>
    </w:p>
    <w:p w14:paraId="64B6D4BA" w14:textId="77777777" w:rsidR="00431533" w:rsidRPr="007C05E5" w:rsidRDefault="00431533" w:rsidP="00431533">
      <w:pPr>
        <w:ind w:hanging="709"/>
        <w:rPr>
          <w:rFonts w:ascii="Calibri" w:hAnsi="Calibri"/>
          <w:lang w:val="en-US"/>
        </w:rPr>
      </w:pPr>
      <w:r w:rsidRPr="007C05E5">
        <w:rPr>
          <w:rFonts w:ascii="Calibri" w:hAnsi="Calibri"/>
          <w:lang w:val="en-US"/>
        </w:rPr>
        <w:t>Huberman, M. and C. M. Meissner (2007), “Are Your Labor Standards Set in China? Evidence From the First Great Wave of Globalization, 1870-1914.” Unpublished Manuscript, Université de Montréal</w:t>
      </w:r>
    </w:p>
    <w:p w14:paraId="550BCD12" w14:textId="77777777" w:rsidR="00431533" w:rsidRPr="007C05E5" w:rsidRDefault="00431533" w:rsidP="00431533">
      <w:pPr>
        <w:ind w:hanging="709"/>
        <w:rPr>
          <w:rFonts w:ascii="Calibri" w:hAnsi="Calibri"/>
          <w:lang w:val="en-US"/>
        </w:rPr>
      </w:pPr>
      <w:r w:rsidRPr="007C05E5">
        <w:rPr>
          <w:rFonts w:ascii="Calibri" w:hAnsi="Calibri"/>
          <w:lang w:val="en-US"/>
        </w:rPr>
        <w:t xml:space="preserve">Huffman, W.E. and J.R. Lothian (1980), “Money in the United Kingdom, 1833-80”, </w:t>
      </w:r>
      <w:r w:rsidRPr="007C05E5">
        <w:rPr>
          <w:rFonts w:ascii="Calibri" w:hAnsi="Calibri"/>
          <w:i/>
          <w:lang w:val="en-US"/>
        </w:rPr>
        <w:t>Journal of Money, Credit and Banking</w:t>
      </w:r>
      <w:r w:rsidRPr="007C05E5">
        <w:rPr>
          <w:rFonts w:ascii="Calibri" w:hAnsi="Calibri"/>
          <w:lang w:val="en-US"/>
        </w:rPr>
        <w:t xml:space="preserve"> 12 (2), Part 1: 155-174.</w:t>
      </w:r>
    </w:p>
    <w:p w14:paraId="40C6FBCA" w14:textId="77777777" w:rsidR="00431533" w:rsidRPr="007C05E5" w:rsidRDefault="00431533" w:rsidP="00431533">
      <w:pPr>
        <w:ind w:hanging="709"/>
        <w:rPr>
          <w:rFonts w:ascii="Calibri" w:hAnsi="Calibri"/>
          <w:lang w:val="en-US"/>
        </w:rPr>
      </w:pPr>
      <w:r w:rsidRPr="007C05E5">
        <w:rPr>
          <w:rFonts w:ascii="Calibri" w:hAnsi="Calibri"/>
          <w:lang w:val="en-US"/>
        </w:rPr>
        <w:t xml:space="preserve">Hutchinson, D. and F. Ploeckl (2022), “What Was the Australian GDP or CPI Then?”, MeasuringWorth. URL: </w:t>
      </w:r>
      <w:hyperlink r:id="rId32" w:history="1">
        <w:r w:rsidRPr="007C05E5">
          <w:rPr>
            <w:rStyle w:val="Hipervnculo"/>
            <w:rFonts w:ascii="Calibri" w:hAnsi="Calibri"/>
            <w:lang w:val="en-US"/>
          </w:rPr>
          <w:t>http://www.measuringworth.com/australiadata/</w:t>
        </w:r>
      </w:hyperlink>
    </w:p>
    <w:p w14:paraId="2CB63C77" w14:textId="77777777" w:rsidR="00431533" w:rsidRPr="007C05E5" w:rsidRDefault="00431533" w:rsidP="00431533">
      <w:pPr>
        <w:ind w:hanging="709"/>
        <w:rPr>
          <w:rFonts w:ascii="Calibri" w:hAnsi="Calibri"/>
          <w:lang w:val="en-US"/>
        </w:rPr>
      </w:pPr>
      <w:r w:rsidRPr="007C05E5">
        <w:rPr>
          <w:rFonts w:ascii="Calibri" w:hAnsi="Calibri"/>
          <w:lang w:val="en-US"/>
        </w:rPr>
        <w:t xml:space="preserve">International Monetary Fund (IMF), </w:t>
      </w:r>
      <w:r w:rsidRPr="007C05E5">
        <w:rPr>
          <w:rFonts w:ascii="Calibri" w:hAnsi="Calibri"/>
          <w:i/>
          <w:lang w:val="en-US"/>
        </w:rPr>
        <w:t>International Financial Statistics</w:t>
      </w:r>
      <w:r w:rsidRPr="007C05E5">
        <w:rPr>
          <w:rFonts w:ascii="Calibri" w:hAnsi="Calibri"/>
          <w:lang w:val="en-US"/>
        </w:rPr>
        <w:t xml:space="preserve"> (IFS) </w:t>
      </w:r>
      <w:hyperlink r:id="rId33" w:history="1">
        <w:r w:rsidRPr="007C05E5">
          <w:rPr>
            <w:rStyle w:val="Hipervnculo"/>
            <w:rFonts w:ascii="Calibri" w:hAnsi="Calibri"/>
            <w:lang w:val="en-US"/>
          </w:rPr>
          <w:t>http://elibrary-data.imf.org/</w:t>
        </w:r>
      </w:hyperlink>
    </w:p>
    <w:p w14:paraId="663A7107" w14:textId="77777777" w:rsidR="00431533" w:rsidRPr="00CF11F4" w:rsidRDefault="00431533" w:rsidP="00431533">
      <w:pPr>
        <w:ind w:hanging="709"/>
        <w:rPr>
          <w:rFonts w:ascii="Calibri" w:hAnsi="Calibri"/>
        </w:rPr>
      </w:pPr>
      <w:r w:rsidRPr="00CF11F4">
        <w:rPr>
          <w:rFonts w:ascii="Calibri" w:hAnsi="Calibri"/>
        </w:rPr>
        <w:t xml:space="preserve">Instituto Nacional de Estadística (INE), </w:t>
      </w:r>
      <w:hyperlink r:id="rId34" w:history="1">
        <w:r w:rsidRPr="00CF11F4">
          <w:rPr>
            <w:rStyle w:val="Hipervnculo"/>
            <w:rFonts w:ascii="Calibri" w:hAnsi="Calibri"/>
          </w:rPr>
          <w:t>http://www.ine.es/</w:t>
        </w:r>
      </w:hyperlink>
    </w:p>
    <w:p w14:paraId="6B0F048A" w14:textId="77777777" w:rsidR="00431533" w:rsidRPr="003461EA" w:rsidRDefault="00431533" w:rsidP="00431533">
      <w:pPr>
        <w:autoSpaceDE w:val="0"/>
        <w:autoSpaceDN w:val="0"/>
        <w:adjustRightInd w:val="0"/>
        <w:ind w:hanging="709"/>
        <w:rPr>
          <w:rFonts w:ascii="Calibri" w:hAnsi="Calibri"/>
        </w:rPr>
      </w:pPr>
      <w:r w:rsidRPr="007C05E5">
        <w:rPr>
          <w:rFonts w:ascii="Calibri" w:hAnsi="Calibri"/>
          <w:lang w:val="en-US"/>
        </w:rPr>
        <w:t xml:space="preserve">ISTAT, L’Archivio delle Statitiche Italiane. </w:t>
      </w:r>
      <w:r w:rsidRPr="003461EA">
        <w:rPr>
          <w:rFonts w:ascii="Calibri" w:hAnsi="Calibri"/>
        </w:rPr>
        <w:t xml:space="preserve">Serie Storiche, </w:t>
      </w:r>
      <w:hyperlink r:id="rId35" w:history="1">
        <w:r w:rsidRPr="003461EA">
          <w:rPr>
            <w:rStyle w:val="Hipervnculo"/>
            <w:rFonts w:ascii="Calibri" w:hAnsi="Calibri"/>
          </w:rPr>
          <w:t>http://seriestoriche.istat.it/index.php?id=7&amp;user_100ind_pi1[id_pagina]=55&amp;cHash=0620098d1bf4a155ae2299430ca60fe6</w:t>
        </w:r>
      </w:hyperlink>
    </w:p>
    <w:p w14:paraId="3A2E0AA9" w14:textId="77777777" w:rsidR="00431533" w:rsidRPr="007C05E5" w:rsidRDefault="00431533" w:rsidP="00431533">
      <w:pPr>
        <w:ind w:hanging="709"/>
        <w:rPr>
          <w:rFonts w:ascii="Calibri" w:hAnsi="Calibri"/>
          <w:lang w:val="en-US"/>
        </w:rPr>
      </w:pPr>
      <w:r w:rsidRPr="007C05E5">
        <w:rPr>
          <w:rFonts w:ascii="Calibri" w:hAnsi="Calibri"/>
          <w:lang w:val="en-US"/>
        </w:rPr>
        <w:t xml:space="preserve">Jobst, C. and T. Scheiber (2014), “Austria-Hungary, from 1863 to 1914”, in S. Lazaretou and T. Scheiber (eds.), </w:t>
      </w:r>
      <w:r w:rsidRPr="007C05E5">
        <w:rPr>
          <w:rFonts w:ascii="Calibri" w:hAnsi="Calibri"/>
          <w:i/>
          <w:lang w:val="en-US"/>
        </w:rPr>
        <w:t xml:space="preserve">South-Eastern European Monetary and Economic Statistics from the </w:t>
      </w:r>
      <w:r w:rsidRPr="007C05E5">
        <w:rPr>
          <w:rFonts w:ascii="Calibri" w:hAnsi="Calibri"/>
          <w:i/>
          <w:lang w:val="en-US"/>
        </w:rPr>
        <w:lastRenderedPageBreak/>
        <w:t>Nineteenth Century to World War II</w:t>
      </w:r>
      <w:r w:rsidRPr="007C05E5">
        <w:rPr>
          <w:rFonts w:ascii="Calibri" w:hAnsi="Calibri"/>
          <w:lang w:val="en-US"/>
        </w:rPr>
        <w:t xml:space="preserve">, Athens, Sofia, Bucharest, Vienna: Bank of Greece, Bulgarian National Bank, National Bank of Romania, </w:t>
      </w:r>
      <w:r w:rsidRPr="007C05E5">
        <w:rPr>
          <w:rFonts w:ascii="Calibri" w:hAnsi="Calibri"/>
          <w:color w:val="000000" w:themeColor="text1"/>
          <w:lang w:val="en-US"/>
        </w:rPr>
        <w:t xml:space="preserve">Oesterreichische Nationalbank, </w:t>
      </w:r>
      <w:r w:rsidRPr="007C05E5">
        <w:rPr>
          <w:rFonts w:ascii="Calibri" w:hAnsi="Calibri"/>
          <w:lang w:val="en-US"/>
        </w:rPr>
        <w:t>pp. 55-100.</w:t>
      </w:r>
    </w:p>
    <w:p w14:paraId="135BB7DC" w14:textId="77777777" w:rsidR="00431533" w:rsidRPr="007C05E5" w:rsidRDefault="00431533" w:rsidP="00431533">
      <w:pPr>
        <w:ind w:hanging="709"/>
        <w:rPr>
          <w:rFonts w:ascii="Calibri" w:hAnsi="Calibri"/>
          <w:lang w:val="en-US"/>
        </w:rPr>
      </w:pPr>
      <w:r w:rsidRPr="007C05E5">
        <w:rPr>
          <w:rFonts w:ascii="Calibri" w:hAnsi="Calibri"/>
          <w:lang w:val="en-US"/>
        </w:rPr>
        <w:t xml:space="preserve">Jonker, J.P.B. (1997), “The Alternative Road to Modernity: Banking and Currency, 1814-1914”, M. Hart, J. Jonker, and J.L. van Zanden (eds.), </w:t>
      </w:r>
      <w:r w:rsidRPr="007C05E5">
        <w:rPr>
          <w:rFonts w:ascii="Calibri" w:hAnsi="Calibri"/>
          <w:i/>
          <w:lang w:val="en-US"/>
        </w:rPr>
        <w:t>A Financial History of the Netherlands</w:t>
      </w:r>
      <w:r w:rsidRPr="007C05E5">
        <w:rPr>
          <w:rFonts w:ascii="Calibri" w:hAnsi="Calibri"/>
          <w:lang w:val="en-US"/>
        </w:rPr>
        <w:t>, Cambridge: Cambridge University Press, pp. 94-123.</w:t>
      </w:r>
    </w:p>
    <w:p w14:paraId="40A92AD2" w14:textId="77777777" w:rsidR="00431533" w:rsidRPr="007C05E5" w:rsidRDefault="00431533" w:rsidP="00431533">
      <w:pPr>
        <w:ind w:hanging="709"/>
        <w:rPr>
          <w:rFonts w:ascii="Calibri" w:hAnsi="Calibri"/>
          <w:lang w:val="en-US"/>
        </w:rPr>
      </w:pPr>
      <w:r w:rsidRPr="007C05E5">
        <w:rPr>
          <w:rFonts w:ascii="Calibri" w:hAnsi="Calibri"/>
          <w:lang w:val="en-US"/>
        </w:rPr>
        <w:t xml:space="preserve">Johnston, L_ and S.H. Williamson (2022), “What Was the U.S. GDP Then?” MeasuringWorth, 2022 </w:t>
      </w:r>
      <w:hyperlink r:id="rId36" w:history="1">
        <w:r w:rsidRPr="007C05E5">
          <w:rPr>
            <w:rStyle w:val="Hipervnculo"/>
            <w:rFonts w:ascii="Calibri" w:hAnsi="Calibri"/>
            <w:lang w:val="en-US"/>
          </w:rPr>
          <w:t>http://www.measuringworth.org/usgdp/</w:t>
        </w:r>
      </w:hyperlink>
    </w:p>
    <w:p w14:paraId="34DC8119" w14:textId="77777777" w:rsidR="00431533" w:rsidRPr="007C05E5" w:rsidRDefault="00431533" w:rsidP="00431533">
      <w:pPr>
        <w:ind w:hanging="709"/>
        <w:rPr>
          <w:rFonts w:ascii="Calibri" w:hAnsi="Calibri"/>
          <w:lang w:val="en-US"/>
        </w:rPr>
      </w:pPr>
      <w:r w:rsidRPr="007C05E5">
        <w:rPr>
          <w:rFonts w:ascii="Calibri" w:hAnsi="Calibri"/>
          <w:lang w:val="en-US"/>
        </w:rPr>
        <w:t>Jordá,</w:t>
      </w:r>
      <w:r w:rsidRPr="007C05E5">
        <w:rPr>
          <w:lang w:val="en-US"/>
        </w:rPr>
        <w:t xml:space="preserve"> </w:t>
      </w:r>
      <w:r w:rsidRPr="007C05E5">
        <w:rPr>
          <w:rFonts w:ascii="Calibri" w:hAnsi="Calibri"/>
          <w:lang w:val="en-US"/>
        </w:rPr>
        <w:t xml:space="preserve">O., K. Knoll, D. Kuvshinov, M. Schularick, and A.M. Taylor (2019), “The Rate of Return on Everything, 1870–2015”, </w:t>
      </w:r>
      <w:r w:rsidRPr="007C05E5">
        <w:rPr>
          <w:rFonts w:ascii="Calibri" w:hAnsi="Calibri"/>
          <w:i/>
          <w:iCs/>
          <w:lang w:val="en-US"/>
        </w:rPr>
        <w:t>Quarterly Journal of Economics</w:t>
      </w:r>
      <w:r w:rsidRPr="007C05E5">
        <w:rPr>
          <w:rFonts w:ascii="Calibri" w:hAnsi="Calibri"/>
          <w:lang w:val="en-US"/>
        </w:rPr>
        <w:t xml:space="preserve"> 134(3): 1225–1298.</w:t>
      </w:r>
    </w:p>
    <w:p w14:paraId="0A516883" w14:textId="77777777" w:rsidR="00431533" w:rsidRPr="007C05E5" w:rsidRDefault="00431533" w:rsidP="00431533">
      <w:pPr>
        <w:ind w:hanging="709"/>
        <w:rPr>
          <w:rFonts w:ascii="Calibri" w:hAnsi="Calibri"/>
          <w:lang w:val="en-US"/>
        </w:rPr>
      </w:pPr>
      <w:r w:rsidRPr="007C05E5">
        <w:rPr>
          <w:rFonts w:ascii="Calibri" w:hAnsi="Calibri"/>
          <w:lang w:val="en-US"/>
        </w:rPr>
        <w:t xml:space="preserve">Jordà, O., M. Schularick, and A.M. Taylor (2017), “Macrofinancial History and the New Business Cycle Facts”, in M. Eichenbaum and J.A. Parker (eds.), </w:t>
      </w:r>
      <w:r w:rsidRPr="007C05E5">
        <w:rPr>
          <w:rFonts w:ascii="Calibri" w:hAnsi="Calibri"/>
          <w:i/>
          <w:iCs/>
          <w:lang w:val="en-US"/>
        </w:rPr>
        <w:t>NBER Macroeconomics Annual 2016</w:t>
      </w:r>
      <w:r w:rsidRPr="007C05E5">
        <w:rPr>
          <w:rFonts w:ascii="Calibri" w:hAnsi="Calibri"/>
          <w:lang w:val="en-US"/>
        </w:rPr>
        <w:t>, vol. 31, Chicago: University of Chicago Press.</w:t>
      </w:r>
    </w:p>
    <w:p w14:paraId="7023278E" w14:textId="77777777" w:rsidR="00431533" w:rsidRPr="007C05E5" w:rsidRDefault="00431533" w:rsidP="00431533">
      <w:pPr>
        <w:ind w:hanging="709"/>
        <w:rPr>
          <w:rFonts w:ascii="Calibri" w:hAnsi="Calibri"/>
          <w:lang w:val="en-US"/>
        </w:rPr>
      </w:pPr>
      <w:r w:rsidRPr="007C05E5">
        <w:rPr>
          <w:rFonts w:ascii="Calibri" w:hAnsi="Calibri"/>
          <w:lang w:val="en-US"/>
        </w:rPr>
        <w:t xml:space="preserve">Jordà-Schularick-Taylor Macrohistory Database </w:t>
      </w:r>
      <w:hyperlink r:id="rId37" w:history="1">
        <w:r w:rsidRPr="007C05E5">
          <w:rPr>
            <w:rStyle w:val="Hipervnculo"/>
            <w:rFonts w:ascii="Calibri" w:hAnsi="Calibri"/>
            <w:lang w:val="en-US"/>
          </w:rPr>
          <w:t>https://www.macrohistory.net/database/</w:t>
        </w:r>
      </w:hyperlink>
    </w:p>
    <w:p w14:paraId="0FB154BF" w14:textId="77777777" w:rsidR="00431533" w:rsidRPr="007C05E5" w:rsidRDefault="00431533" w:rsidP="00431533">
      <w:pPr>
        <w:ind w:hanging="709"/>
        <w:rPr>
          <w:rFonts w:ascii="Calibri" w:hAnsi="Calibri"/>
          <w:lang w:val="en-US"/>
        </w:rPr>
      </w:pPr>
      <w:r w:rsidRPr="007C05E5">
        <w:rPr>
          <w:rFonts w:ascii="Calibri" w:hAnsi="Calibri"/>
          <w:lang w:val="en-US"/>
        </w:rPr>
        <w:t xml:space="preserve">Kennedy, K. A. (1971), </w:t>
      </w:r>
      <w:r w:rsidRPr="007C05E5">
        <w:rPr>
          <w:rFonts w:ascii="Calibri" w:hAnsi="Calibri"/>
          <w:i/>
          <w:lang w:val="en-US"/>
        </w:rPr>
        <w:t>Productivity and Industrial Growth. The Irish Experience</w:t>
      </w:r>
      <w:r w:rsidRPr="007C05E5">
        <w:rPr>
          <w:rFonts w:ascii="Calibri" w:hAnsi="Calibri"/>
          <w:lang w:val="en-US"/>
        </w:rPr>
        <w:t>, Oxford: Clarendon</w:t>
      </w:r>
    </w:p>
    <w:p w14:paraId="210CD511" w14:textId="77777777" w:rsidR="00431533" w:rsidRPr="007C05E5" w:rsidRDefault="00431533" w:rsidP="00431533">
      <w:pPr>
        <w:ind w:hanging="709"/>
        <w:rPr>
          <w:rFonts w:ascii="Calibri" w:hAnsi="Calibri"/>
          <w:iCs/>
          <w:lang w:val="en-US"/>
        </w:rPr>
      </w:pPr>
      <w:r w:rsidRPr="007C05E5">
        <w:rPr>
          <w:rFonts w:ascii="Calibri" w:hAnsi="Calibri"/>
          <w:lang w:val="en-US"/>
        </w:rPr>
        <w:t xml:space="preserve">Eitrheim, Ø., J.T. Klovland and J.F. Qvigstad (2022), </w:t>
      </w:r>
      <w:r w:rsidRPr="007C05E5">
        <w:rPr>
          <w:rFonts w:ascii="Calibri" w:hAnsi="Calibri"/>
          <w:i/>
          <w:lang w:val="en-US"/>
        </w:rPr>
        <w:t>Historical Monetary and Financial Statistics for Norway</w:t>
      </w:r>
      <w:r w:rsidRPr="007C05E5">
        <w:rPr>
          <w:rFonts w:ascii="Calibri" w:hAnsi="Calibri"/>
          <w:iCs/>
          <w:lang w:val="en-US"/>
        </w:rPr>
        <w:t xml:space="preserve">, </w:t>
      </w:r>
      <w:r w:rsidRPr="007C05E5">
        <w:rPr>
          <w:rFonts w:ascii="Calibri" w:hAnsi="Calibri"/>
          <w:lang w:val="en-US"/>
        </w:rPr>
        <w:t>Norges Bank Occasional Paper No. 57, Oslo: Norges Bank.</w:t>
      </w:r>
    </w:p>
    <w:p w14:paraId="0456B111" w14:textId="77777777" w:rsidR="00431533" w:rsidRPr="007C05E5" w:rsidRDefault="00431533" w:rsidP="00431533">
      <w:pPr>
        <w:ind w:hanging="709"/>
        <w:rPr>
          <w:rFonts w:ascii="Calibri" w:hAnsi="Calibri"/>
          <w:lang w:val="en-US"/>
        </w:rPr>
      </w:pPr>
      <w:r w:rsidRPr="007C05E5">
        <w:rPr>
          <w:rFonts w:ascii="Calibri" w:hAnsi="Calibri"/>
          <w:lang w:val="en-US"/>
        </w:rPr>
        <w:t xml:space="preserve">Komlos, J. (1987), “Financial Innovations and the Demand for Money in Austria-Hungary, 1867-1913”, </w:t>
      </w:r>
      <w:r w:rsidRPr="007C05E5">
        <w:rPr>
          <w:rFonts w:ascii="Calibri" w:hAnsi="Calibri"/>
          <w:i/>
          <w:lang w:val="en-US"/>
        </w:rPr>
        <w:t>Journal of European Economic History</w:t>
      </w:r>
      <w:r w:rsidRPr="007C05E5">
        <w:rPr>
          <w:rFonts w:ascii="Calibri" w:hAnsi="Calibri"/>
          <w:lang w:val="en-US"/>
        </w:rPr>
        <w:t xml:space="preserve"> 16 (3): 587-606.</w:t>
      </w:r>
    </w:p>
    <w:p w14:paraId="0CD37C05" w14:textId="77777777" w:rsidR="00431533" w:rsidRPr="007C05E5" w:rsidRDefault="00431533" w:rsidP="00431533">
      <w:pPr>
        <w:ind w:hanging="709"/>
        <w:rPr>
          <w:rFonts w:ascii="Calibri" w:hAnsi="Calibri"/>
          <w:lang w:val="en-US"/>
        </w:rPr>
      </w:pPr>
      <w:r w:rsidRPr="007C05E5">
        <w:rPr>
          <w:rFonts w:ascii="Calibri" w:hAnsi="Calibri"/>
          <w:lang w:val="en-US"/>
        </w:rPr>
        <w:t xml:space="preserve">Kostelenos, G., D. Vasiliou, E. Kounaris, S. Petmezas and M. Sfakianakis (2007), </w:t>
      </w:r>
      <w:r w:rsidRPr="007C05E5">
        <w:rPr>
          <w:rFonts w:ascii="Calibri" w:hAnsi="Calibri"/>
          <w:i/>
          <w:lang w:val="en-US"/>
        </w:rPr>
        <w:t>Sources of the Economic History of Modern Greece: Quantitative Data and Statistical Series: Greek Domestic Product, 1830-1939</w:t>
      </w:r>
      <w:r w:rsidRPr="007C05E5">
        <w:rPr>
          <w:rFonts w:ascii="Calibri" w:hAnsi="Calibri"/>
          <w:lang w:val="en-US"/>
        </w:rPr>
        <w:t>, Athens: Centre for Planning and Economic Research and the National Bank of Greece</w:t>
      </w:r>
    </w:p>
    <w:p w14:paraId="2849910D" w14:textId="77777777" w:rsidR="00431533" w:rsidRPr="00CF11F4" w:rsidRDefault="00431533" w:rsidP="00431533">
      <w:pPr>
        <w:ind w:hanging="709"/>
        <w:rPr>
          <w:rFonts w:ascii="Calibri" w:hAnsi="Calibri"/>
        </w:rPr>
      </w:pPr>
      <w:r w:rsidRPr="00CF11F4">
        <w:rPr>
          <w:rFonts w:ascii="Calibri" w:hAnsi="Calibri"/>
        </w:rPr>
        <w:t xml:space="preserve">Lains, P. (1995), </w:t>
      </w:r>
      <w:r w:rsidRPr="0048654E">
        <w:rPr>
          <w:rFonts w:ascii="Calibri" w:hAnsi="Calibri"/>
          <w:i/>
          <w:lang w:val="pt-PT"/>
        </w:rPr>
        <w:t>A Economia portuguesa no século XIX. Crescimento económico e comércio esterno 1851–1913</w:t>
      </w:r>
      <w:r w:rsidRPr="0048654E">
        <w:rPr>
          <w:rFonts w:ascii="Calibri" w:hAnsi="Calibri"/>
          <w:lang w:val="pt-PT"/>
        </w:rPr>
        <w:t>, Lisbon: Instituto de Ciências Sociais.</w:t>
      </w:r>
    </w:p>
    <w:p w14:paraId="294E7345" w14:textId="77777777" w:rsidR="00431533" w:rsidRPr="00D5174A" w:rsidRDefault="00431533" w:rsidP="00431533">
      <w:pPr>
        <w:ind w:hanging="709"/>
        <w:rPr>
          <w:rFonts w:ascii="Calibri" w:hAnsi="Calibri"/>
          <w:lang w:val="pt-PT"/>
        </w:rPr>
      </w:pPr>
      <w:r w:rsidRPr="00466EBF">
        <w:rPr>
          <w:rFonts w:ascii="Calibri" w:hAnsi="Calibri"/>
          <w:lang w:val="pt-PT"/>
        </w:rPr>
        <w:t xml:space="preserve">Lains, P. (2003), </w:t>
      </w:r>
      <w:r w:rsidRPr="00466EBF">
        <w:rPr>
          <w:rFonts w:ascii="Calibri" w:hAnsi="Calibri"/>
          <w:i/>
          <w:lang w:val="pt-PT"/>
        </w:rPr>
        <w:t>Os Progressos do Atraso. Uma Nova História Económica de Portugal</w:t>
      </w:r>
      <w:r w:rsidRPr="00466EBF">
        <w:rPr>
          <w:rFonts w:ascii="Calibri" w:hAnsi="Calibri"/>
          <w:lang w:val="pt-PT"/>
        </w:rPr>
        <w:t>, 1842-1992, Lisbon: Imprensa de Ciências Sociais</w:t>
      </w:r>
    </w:p>
    <w:p w14:paraId="41A8E5D9" w14:textId="77777777" w:rsidR="00431533" w:rsidRPr="007C05E5" w:rsidRDefault="00431533" w:rsidP="00431533">
      <w:pPr>
        <w:ind w:hanging="709"/>
        <w:rPr>
          <w:rFonts w:ascii="Calibri" w:hAnsi="Calibri"/>
          <w:lang w:val="en-US"/>
        </w:rPr>
      </w:pPr>
      <w:r w:rsidRPr="007C05E5">
        <w:rPr>
          <w:rFonts w:ascii="Calibri" w:hAnsi="Calibri"/>
          <w:lang w:val="en-US"/>
        </w:rPr>
        <w:t>Lazaretou, S. (2008), Banking and Central Banking in Pre-World War II Greece: Money and Currency Developments, Bank of Greece Working Papers SEEMHN 86.</w:t>
      </w:r>
    </w:p>
    <w:p w14:paraId="07869020" w14:textId="77777777" w:rsidR="00431533" w:rsidRPr="007C05E5" w:rsidRDefault="00431533" w:rsidP="00431533">
      <w:pPr>
        <w:ind w:hanging="709"/>
        <w:rPr>
          <w:rFonts w:ascii="Calibri" w:hAnsi="Calibri"/>
          <w:lang w:val="en-US"/>
        </w:rPr>
      </w:pPr>
      <w:r w:rsidRPr="007C05E5">
        <w:rPr>
          <w:rFonts w:ascii="Calibri" w:hAnsi="Calibri"/>
          <w:lang w:val="en-US"/>
        </w:rPr>
        <w:t xml:space="preserve">Lazaretou, S. (2014), “Greece, from 1833 to 1949”, in S. Lazaretou and T. Scheiber (eds.), </w:t>
      </w:r>
      <w:r w:rsidRPr="007C05E5">
        <w:rPr>
          <w:rFonts w:ascii="Calibri" w:hAnsi="Calibri"/>
          <w:i/>
          <w:lang w:val="en-US"/>
        </w:rPr>
        <w:t>South-Eastern European Monetary and Economic Statistics from the Nineteenth Century to World War II</w:t>
      </w:r>
      <w:r w:rsidRPr="007C05E5">
        <w:rPr>
          <w:rFonts w:ascii="Calibri" w:hAnsi="Calibri"/>
          <w:lang w:val="en-US"/>
        </w:rPr>
        <w:t>, Athens, Sofia, Bucharest, Vienna: Bank of Greece, Bulgarian National Bank, National Bank of Romania, Oesterreichische Nationalbank, pp. 101-170.</w:t>
      </w:r>
    </w:p>
    <w:p w14:paraId="5053CA61" w14:textId="77777777" w:rsidR="00431533" w:rsidRPr="007C05E5" w:rsidRDefault="00431533" w:rsidP="00431533">
      <w:pPr>
        <w:ind w:hanging="709"/>
        <w:rPr>
          <w:rFonts w:ascii="Calibri" w:hAnsi="Calibri"/>
          <w:lang w:val="en-US"/>
        </w:rPr>
      </w:pPr>
      <w:r w:rsidRPr="007C05E5">
        <w:rPr>
          <w:rFonts w:ascii="Calibri" w:hAnsi="Calibri"/>
          <w:lang w:val="en-US"/>
        </w:rPr>
        <w:t xml:space="preserve">League of Nations (1925-1939), </w:t>
      </w:r>
      <w:r w:rsidRPr="007C05E5">
        <w:rPr>
          <w:rFonts w:ascii="Calibri" w:hAnsi="Calibri"/>
          <w:i/>
          <w:lang w:val="en-US"/>
        </w:rPr>
        <w:t>Statistical Yearbook</w:t>
      </w:r>
      <w:r w:rsidRPr="007C05E5">
        <w:rPr>
          <w:rFonts w:ascii="Calibri" w:hAnsi="Calibri"/>
          <w:lang w:val="en-US"/>
        </w:rPr>
        <w:t>,</w:t>
      </w:r>
      <w:r w:rsidRPr="007C05E5">
        <w:rPr>
          <w:rFonts w:ascii="Calibri" w:hAnsi="Calibri"/>
          <w:i/>
          <w:lang w:val="en-US"/>
        </w:rPr>
        <w:t xml:space="preserve"> </w:t>
      </w:r>
      <w:r w:rsidRPr="007C05E5">
        <w:rPr>
          <w:rFonts w:ascii="Calibri" w:hAnsi="Calibri"/>
          <w:lang w:val="en-US"/>
        </w:rPr>
        <w:t>Geneva: League of Nations.</w:t>
      </w:r>
    </w:p>
    <w:p w14:paraId="3987D244" w14:textId="77777777" w:rsidR="00431533" w:rsidRPr="007C05E5" w:rsidRDefault="00431533" w:rsidP="00431533">
      <w:pPr>
        <w:ind w:hanging="709"/>
        <w:rPr>
          <w:rFonts w:ascii="Calibri" w:hAnsi="Calibri"/>
          <w:lang w:val="en-US"/>
        </w:rPr>
      </w:pPr>
      <w:r w:rsidRPr="001754F8">
        <w:rPr>
          <w:rFonts w:ascii="Calibri" w:hAnsi="Calibri"/>
          <w:lang w:val="fr-FR"/>
        </w:rPr>
        <w:t xml:space="preserve">Lévy-Leboyer, M. (1977), “La balance des paiements et l'exportation des capitaux français”, in M. Lévy-Leboyer (ed.), </w:t>
      </w:r>
      <w:r w:rsidRPr="001754F8">
        <w:rPr>
          <w:rFonts w:ascii="Calibri" w:hAnsi="Calibri"/>
          <w:i/>
          <w:lang w:val="fr-FR"/>
        </w:rPr>
        <w:t xml:space="preserve">La position internationale de la France: aspects </w:t>
      </w:r>
      <w:r w:rsidRPr="0048654E">
        <w:rPr>
          <w:rFonts w:ascii="Calibri" w:hAnsi="Calibri"/>
          <w:i/>
          <w:lang w:val="fr-FR"/>
        </w:rPr>
        <w:t>économiques et financiers, XIXe-XXe siècles</w:t>
      </w:r>
      <w:r w:rsidRPr="0048654E">
        <w:rPr>
          <w:rFonts w:ascii="Calibri" w:hAnsi="Calibri"/>
          <w:lang w:val="fr-FR"/>
        </w:rPr>
        <w:t>, Paris: EHEES</w:t>
      </w:r>
      <w:r w:rsidRPr="0048654E">
        <w:rPr>
          <w:lang w:val="fr-FR"/>
        </w:rPr>
        <w:t xml:space="preserve"> </w:t>
      </w:r>
      <w:r w:rsidRPr="0048654E">
        <w:rPr>
          <w:rFonts w:ascii="Calibri" w:hAnsi="Calibri"/>
          <w:lang w:val="fr-FR"/>
        </w:rPr>
        <w:t>Librairie Jean Touzot,</w:t>
      </w:r>
      <w:r w:rsidRPr="007C05E5">
        <w:rPr>
          <w:rFonts w:ascii="Calibri" w:hAnsi="Calibri"/>
          <w:lang w:val="en-US"/>
        </w:rPr>
        <w:t xml:space="preserve"> pp. 75-142.</w:t>
      </w:r>
    </w:p>
    <w:p w14:paraId="2A9A4B2E" w14:textId="77777777" w:rsidR="00431533" w:rsidRPr="00246C57" w:rsidRDefault="00431533" w:rsidP="00431533">
      <w:pPr>
        <w:ind w:hanging="709"/>
        <w:rPr>
          <w:rFonts w:ascii="Calibri" w:hAnsi="Calibri"/>
          <w:lang w:val="fr-FR"/>
        </w:rPr>
      </w:pPr>
      <w:r w:rsidRPr="00C7397B">
        <w:rPr>
          <w:rFonts w:ascii="Calibri" w:hAnsi="Calibri"/>
          <w:lang w:val="fr-FR"/>
        </w:rPr>
        <w:t xml:space="preserve">Lévy-Leboyer, M. and F. Bourguignon (1985), </w:t>
      </w:r>
      <w:r w:rsidRPr="00C7397B">
        <w:rPr>
          <w:rFonts w:ascii="Calibri" w:hAnsi="Calibri"/>
          <w:i/>
          <w:lang w:val="fr-FR"/>
        </w:rPr>
        <w:t>L’economie française au XIXe siècle</w:t>
      </w:r>
      <w:r w:rsidRPr="00C7397B">
        <w:rPr>
          <w:rFonts w:ascii="Calibri" w:hAnsi="Calibri"/>
          <w:lang w:val="fr-FR"/>
        </w:rPr>
        <w:t>, Paris:</w:t>
      </w:r>
      <w:r>
        <w:rPr>
          <w:rFonts w:ascii="Calibri" w:hAnsi="Calibri"/>
          <w:lang w:val="fr-FR"/>
        </w:rPr>
        <w:t xml:space="preserve"> </w:t>
      </w:r>
      <w:r w:rsidRPr="00C7397B">
        <w:rPr>
          <w:rFonts w:ascii="Calibri" w:hAnsi="Calibri"/>
          <w:lang w:val="fr-FR"/>
        </w:rPr>
        <w:t>Economica</w:t>
      </w:r>
    </w:p>
    <w:p w14:paraId="7C42DA55" w14:textId="77777777" w:rsidR="00431533" w:rsidRPr="007C05E5" w:rsidRDefault="00431533" w:rsidP="00431533">
      <w:pPr>
        <w:ind w:hanging="709"/>
        <w:rPr>
          <w:rFonts w:ascii="Calibri" w:hAnsi="Calibri"/>
          <w:lang w:val="en-US"/>
        </w:rPr>
      </w:pPr>
      <w:r w:rsidRPr="007C05E5">
        <w:rPr>
          <w:rFonts w:ascii="Calibri" w:hAnsi="Calibri"/>
          <w:lang w:val="en-US"/>
        </w:rPr>
        <w:t>McInnis, R. M. (2001), Historical Canadian Macroeconomic Dataset, 1871-1994, Department of Economics, Queen's University, Kingston, Ontario.</w:t>
      </w:r>
    </w:p>
    <w:p w14:paraId="2BBED8AE" w14:textId="77777777" w:rsidR="00431533" w:rsidRPr="007C05E5" w:rsidRDefault="00431533" w:rsidP="00431533">
      <w:pPr>
        <w:ind w:hanging="709"/>
        <w:rPr>
          <w:rFonts w:ascii="Calibri" w:hAnsi="Calibri"/>
          <w:lang w:val="en-US"/>
        </w:rPr>
      </w:pPr>
      <w:r w:rsidRPr="007C05E5">
        <w:rPr>
          <w:rFonts w:ascii="Calibri" w:hAnsi="Calibri"/>
          <w:lang w:val="en-US"/>
        </w:rPr>
        <w:t xml:space="preserve">Maddison (1991), </w:t>
      </w:r>
      <w:r w:rsidRPr="007C05E5">
        <w:rPr>
          <w:rFonts w:ascii="Calibri" w:hAnsi="Calibri"/>
          <w:i/>
          <w:lang w:val="en-US"/>
        </w:rPr>
        <w:t>Dynamic Forces in Capitalist Development</w:t>
      </w:r>
      <w:r w:rsidRPr="007C05E5">
        <w:rPr>
          <w:rFonts w:ascii="Calibri" w:hAnsi="Calibri"/>
          <w:lang w:val="en-US"/>
        </w:rPr>
        <w:t>, Oxford: Oxford University Press.</w:t>
      </w:r>
    </w:p>
    <w:p w14:paraId="538B50F8" w14:textId="77777777" w:rsidR="00431533" w:rsidRPr="007C05E5" w:rsidRDefault="00431533" w:rsidP="00431533">
      <w:pPr>
        <w:ind w:hanging="709"/>
        <w:rPr>
          <w:rFonts w:ascii="Calibri" w:hAnsi="Calibri"/>
          <w:lang w:val="en-US"/>
        </w:rPr>
      </w:pPr>
      <w:r w:rsidRPr="007C05E5">
        <w:rPr>
          <w:rFonts w:ascii="Calibri" w:hAnsi="Calibri"/>
          <w:lang w:val="en-US"/>
        </w:rPr>
        <w:t xml:space="preserve">Maddison, A. (2010), Statistics on world population, GDP and per capita GDP, 1-2008 AD, horizontal file </w:t>
      </w:r>
      <w:hyperlink r:id="rId38" w:history="1">
        <w:r w:rsidRPr="007C05E5">
          <w:rPr>
            <w:rStyle w:val="Hipervnculo"/>
            <w:rFonts w:ascii="Calibri" w:hAnsi="Calibri"/>
            <w:lang w:val="en-US"/>
          </w:rPr>
          <w:t>http://www.ggdc.net/maddison/</w:t>
        </w:r>
      </w:hyperlink>
    </w:p>
    <w:p w14:paraId="22AE180E" w14:textId="77777777" w:rsidR="00431533" w:rsidRPr="00B8147C" w:rsidRDefault="00431533" w:rsidP="00431533">
      <w:pPr>
        <w:ind w:hanging="709"/>
        <w:rPr>
          <w:rFonts w:ascii="Calibri" w:hAnsi="Calibri"/>
          <w:lang w:val="es-ES_tradnl"/>
        </w:rPr>
      </w:pPr>
      <w:r w:rsidRPr="009B01EA">
        <w:rPr>
          <w:rFonts w:ascii="Calibri" w:hAnsi="Calibri"/>
          <w:lang w:val="es-ES_tradnl"/>
        </w:rPr>
        <w:lastRenderedPageBreak/>
        <w:t>Maluquer de Motes, J. (2005</w:t>
      </w:r>
      <w:r>
        <w:rPr>
          <w:rFonts w:ascii="Calibri" w:hAnsi="Calibri"/>
          <w:lang w:val="es-ES_tradnl"/>
        </w:rPr>
        <w:t>a</w:t>
      </w:r>
      <w:r w:rsidRPr="009B01EA">
        <w:rPr>
          <w:rFonts w:ascii="Calibri" w:hAnsi="Calibri"/>
          <w:lang w:val="es-ES_tradnl"/>
        </w:rPr>
        <w:t xml:space="preserve">), “Consumo y precios”, in A. Carreras y X. Tafunell (eds.): </w:t>
      </w:r>
      <w:r w:rsidRPr="009B01EA">
        <w:rPr>
          <w:rFonts w:ascii="Calibri" w:hAnsi="Calibri"/>
          <w:i/>
          <w:lang w:val="es-ES_tradnl"/>
        </w:rPr>
        <w:t>Estadísticas históricas de España. Siglos XIX y XX</w:t>
      </w:r>
      <w:r w:rsidRPr="009B01EA">
        <w:rPr>
          <w:rFonts w:ascii="Calibri" w:hAnsi="Calibri"/>
          <w:lang w:val="es-ES_tradnl"/>
        </w:rPr>
        <w:t>, 3 vols., Bilbao: Fundación BBVA, III: 1247-1296.</w:t>
      </w:r>
    </w:p>
    <w:p w14:paraId="0BDDA263" w14:textId="77777777" w:rsidR="00431533" w:rsidRPr="00D5174A" w:rsidRDefault="00431533" w:rsidP="00431533">
      <w:pPr>
        <w:ind w:hanging="709"/>
        <w:rPr>
          <w:rFonts w:ascii="Calibri" w:hAnsi="Calibri"/>
          <w:lang w:val="es-ES_tradnl"/>
        </w:rPr>
      </w:pPr>
      <w:r w:rsidRPr="0048654E">
        <w:rPr>
          <w:rFonts w:ascii="Calibri" w:hAnsi="Calibri"/>
          <w:lang w:val="es-ES_tradnl"/>
        </w:rPr>
        <w:t xml:space="preserve">Maluquer de Motes, J. (2006), “’La paradisíaca estabilidad de la anteguerra’. Elaboración de un índice de precios de consumo en </w:t>
      </w:r>
      <w:r>
        <w:rPr>
          <w:rFonts w:ascii="Calibri" w:hAnsi="Calibri"/>
          <w:lang w:val="es-ES_tradnl"/>
        </w:rPr>
        <w:t>E</w:t>
      </w:r>
      <w:r w:rsidRPr="0048654E">
        <w:rPr>
          <w:rFonts w:ascii="Calibri" w:hAnsi="Calibri"/>
          <w:lang w:val="es-ES_tradnl"/>
        </w:rPr>
        <w:t xml:space="preserve">spaña, 1830-1936”, </w:t>
      </w:r>
      <w:r w:rsidRPr="0048654E">
        <w:rPr>
          <w:rFonts w:ascii="Calibri" w:hAnsi="Calibri"/>
          <w:i/>
          <w:lang w:val="es-ES_tradnl"/>
        </w:rPr>
        <w:t xml:space="preserve">Revista de Historia Económica </w:t>
      </w:r>
      <w:r w:rsidRPr="0048654E">
        <w:rPr>
          <w:rFonts w:ascii="Calibri" w:hAnsi="Calibri"/>
          <w:lang w:val="es-ES_tradnl"/>
        </w:rPr>
        <w:t>24 (2): 333-382.</w:t>
      </w:r>
    </w:p>
    <w:p w14:paraId="50AB6683" w14:textId="77777777" w:rsidR="00431533" w:rsidRPr="00CF11F4" w:rsidRDefault="00431533" w:rsidP="00431533">
      <w:pPr>
        <w:autoSpaceDE w:val="0"/>
        <w:autoSpaceDN w:val="0"/>
        <w:adjustRightInd w:val="0"/>
        <w:ind w:hanging="709"/>
        <w:rPr>
          <w:rFonts w:ascii="Calibri" w:hAnsi="Calibri"/>
          <w:lang w:val="en-US"/>
        </w:rPr>
      </w:pPr>
      <w:r w:rsidRPr="00CF11F4">
        <w:rPr>
          <w:rFonts w:ascii="Calibri" w:hAnsi="Calibri"/>
          <w:lang w:val="en-US"/>
        </w:rPr>
        <w:t xml:space="preserve">Marinheiro, C. J. Fonseca (2006), “The Sustainability of Portuguese Fiscal Policy from a Historical Perspective”, </w:t>
      </w:r>
      <w:r w:rsidRPr="00CF11F4">
        <w:rPr>
          <w:rFonts w:ascii="Calibri" w:hAnsi="Calibri"/>
          <w:i/>
          <w:lang w:val="en-US"/>
        </w:rPr>
        <w:t>Empirica</w:t>
      </w:r>
      <w:r w:rsidRPr="00CF11F4">
        <w:rPr>
          <w:rFonts w:ascii="Calibri" w:hAnsi="Calibri"/>
          <w:lang w:val="en-US"/>
        </w:rPr>
        <w:t xml:space="preserve"> 33 (2-3): 155-179, Dataset available at </w:t>
      </w:r>
      <w:hyperlink r:id="rId39" w:history="1">
        <w:r w:rsidRPr="00CF11F4">
          <w:rPr>
            <w:rStyle w:val="Hipervnculo"/>
            <w:rFonts w:ascii="Calibri" w:hAnsi="Calibri"/>
            <w:lang w:val="en-US"/>
          </w:rPr>
          <w:t>http://www4.fe.uc.pt/carlosm/research/pdf/Data-CMarinheiro2006-Update2011.xlsx</w:t>
        </w:r>
      </w:hyperlink>
    </w:p>
    <w:p w14:paraId="5A88926B" w14:textId="77777777" w:rsidR="00431533" w:rsidRPr="007C05E5" w:rsidRDefault="00431533" w:rsidP="00431533">
      <w:pPr>
        <w:ind w:hanging="709"/>
        <w:rPr>
          <w:rFonts w:ascii="Calibri" w:hAnsi="Calibri"/>
          <w:lang w:val="en-US"/>
        </w:rPr>
      </w:pPr>
      <w:r w:rsidRPr="007C05E5">
        <w:rPr>
          <w:rFonts w:ascii="Calibri" w:hAnsi="Calibri"/>
          <w:lang w:val="en-US"/>
        </w:rPr>
        <w:t xml:space="preserve">Marshall, M.G. (2013), Polity IV Project: Political Regime Characteristics and Transitions, 1800-2012, </w:t>
      </w:r>
      <w:hyperlink r:id="rId40" w:history="1">
        <w:r w:rsidRPr="007C05E5">
          <w:rPr>
            <w:rStyle w:val="Hipervnculo"/>
            <w:rFonts w:ascii="Calibri" w:hAnsi="Calibri"/>
            <w:lang w:val="en-US"/>
          </w:rPr>
          <w:t>http://www.systemicpeace.org/polity/polity4.htm</w:t>
        </w:r>
      </w:hyperlink>
    </w:p>
    <w:p w14:paraId="4466031D"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Marshall, M.G., T.R. Gurr and K. Jaggers (2013) Polity IV Project: Political Regime Characteristics and Transitions, 1800-2012 Dataset Users’ Manual, Center for Systemic Peace, </w:t>
      </w:r>
      <w:hyperlink r:id="rId41" w:history="1">
        <w:r w:rsidRPr="007C05E5">
          <w:rPr>
            <w:rStyle w:val="Hipervnculo"/>
            <w:rFonts w:ascii="Calibri" w:hAnsi="Calibri"/>
            <w:lang w:val="en-US"/>
          </w:rPr>
          <w:t>http://www.systemicpeace.org/inscr/p4manualv2012.pdf</w:t>
        </w:r>
      </w:hyperlink>
    </w:p>
    <w:p w14:paraId="18924D20" w14:textId="77777777" w:rsidR="00431533" w:rsidRPr="00C7397B" w:rsidRDefault="00431533" w:rsidP="00431533">
      <w:pPr>
        <w:autoSpaceDE w:val="0"/>
        <w:autoSpaceDN w:val="0"/>
        <w:adjustRightInd w:val="0"/>
        <w:ind w:hanging="709"/>
        <w:rPr>
          <w:rFonts w:ascii="Calibri" w:hAnsi="Calibri"/>
          <w:lang w:val="es-ES_tradnl"/>
        </w:rPr>
      </w:pPr>
      <w:r w:rsidRPr="00C7397B">
        <w:rPr>
          <w:rFonts w:ascii="Calibri" w:hAnsi="Calibri"/>
          <w:lang w:val="es-ES_tradnl"/>
        </w:rPr>
        <w:t xml:space="preserve">Martín-Aceña, P. (1985), </w:t>
      </w:r>
      <w:r w:rsidRPr="00C7397B">
        <w:rPr>
          <w:rFonts w:ascii="Calibri" w:hAnsi="Calibri"/>
          <w:i/>
          <w:lang w:val="es-ES_tradnl"/>
        </w:rPr>
        <w:t>La cantidad de dinero en España 1900-1935</w:t>
      </w:r>
      <w:r w:rsidRPr="00C7397B">
        <w:rPr>
          <w:rFonts w:ascii="Calibri" w:hAnsi="Calibri"/>
          <w:lang w:val="es-ES_tradnl"/>
        </w:rPr>
        <w:t>, Madrid: Banco de España. Estudios de Historia Económica no. 12</w:t>
      </w:r>
    </w:p>
    <w:p w14:paraId="3FA57315" w14:textId="77777777" w:rsidR="00431533" w:rsidRPr="00C7397B" w:rsidRDefault="00431533" w:rsidP="00431533">
      <w:pPr>
        <w:autoSpaceDE w:val="0"/>
        <w:autoSpaceDN w:val="0"/>
        <w:adjustRightInd w:val="0"/>
        <w:ind w:hanging="709"/>
        <w:rPr>
          <w:rFonts w:ascii="Calibri" w:hAnsi="Calibri"/>
          <w:lang w:val="es-ES_tradnl"/>
        </w:rPr>
      </w:pPr>
      <w:r w:rsidRPr="00C7397B">
        <w:rPr>
          <w:rFonts w:ascii="Calibri" w:hAnsi="Calibri"/>
          <w:lang w:val="es-ES_tradnl"/>
        </w:rPr>
        <w:t>Martín-Aceña, P. (1988), Una estimación de los principales agregados monetarios en España: 1940-1962. Banco de España. Servicio de Estudios. Documento de trabajo 8807</w:t>
      </w:r>
    </w:p>
    <w:p w14:paraId="493CB7C8" w14:textId="77777777" w:rsidR="00431533" w:rsidRDefault="00431533" w:rsidP="00431533">
      <w:pPr>
        <w:autoSpaceDE w:val="0"/>
        <w:autoSpaceDN w:val="0"/>
        <w:adjustRightInd w:val="0"/>
        <w:ind w:hanging="709"/>
        <w:rPr>
          <w:rFonts w:ascii="Calibri" w:hAnsi="Calibri"/>
          <w:lang w:val="es-ES_tradnl"/>
        </w:rPr>
      </w:pPr>
      <w:r w:rsidRPr="00C7397B">
        <w:rPr>
          <w:rFonts w:ascii="Calibri" w:hAnsi="Calibri"/>
          <w:lang w:val="es-ES_tradnl"/>
        </w:rPr>
        <w:t xml:space="preserve">Martín-Aceña, P. and M.A. Pons (2005), “Sistema monetario y financiero”, in A. Carreras and X. Tafunell (eds.), </w:t>
      </w:r>
      <w:r w:rsidRPr="00C7397B">
        <w:rPr>
          <w:rFonts w:ascii="Calibri" w:hAnsi="Calibri"/>
          <w:i/>
          <w:lang w:val="es-ES_tradnl"/>
        </w:rPr>
        <w:t>Estadísticas Históricas de España</w:t>
      </w:r>
      <w:r w:rsidRPr="00C7397B">
        <w:rPr>
          <w:rFonts w:ascii="Calibri" w:hAnsi="Calibri"/>
          <w:lang w:val="es-ES_tradnl"/>
        </w:rPr>
        <w:t>, 3 vols., Bilbao: Fundación BBVA, II, 645-706.</w:t>
      </w:r>
    </w:p>
    <w:p w14:paraId="3963549D" w14:textId="77777777" w:rsidR="00431533" w:rsidRPr="007C05E5" w:rsidRDefault="00431533" w:rsidP="00431533">
      <w:pPr>
        <w:ind w:hanging="709"/>
        <w:rPr>
          <w:rFonts w:ascii="Calibri" w:hAnsi="Calibri"/>
          <w:lang w:val="en-US"/>
        </w:rPr>
      </w:pPr>
      <w:r w:rsidRPr="007C05E5">
        <w:rPr>
          <w:rFonts w:ascii="Calibri" w:hAnsi="Calibri"/>
          <w:lang w:val="en-US"/>
        </w:rPr>
        <w:t>Mauro, P., R. Romeu, A. Binder, and A. Zaman (2013), A Modern History of Prudence and Profligacy, IMF Working Papers 13/5, International Monetary Fund, Washington D.C..</w:t>
      </w:r>
    </w:p>
    <w:p w14:paraId="32B1E686"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Mitchell, B.R. (1988), </w:t>
      </w:r>
      <w:r w:rsidRPr="007C05E5">
        <w:rPr>
          <w:rFonts w:ascii="Calibri" w:hAnsi="Calibri"/>
          <w:i/>
          <w:lang w:val="en-US"/>
        </w:rPr>
        <w:t>British Historical Statistics</w:t>
      </w:r>
      <w:r w:rsidRPr="007C05E5">
        <w:rPr>
          <w:rFonts w:ascii="Calibri" w:hAnsi="Calibri"/>
          <w:lang w:val="en-US"/>
        </w:rPr>
        <w:t>, 2</w:t>
      </w:r>
      <w:r w:rsidRPr="007C05E5">
        <w:rPr>
          <w:rFonts w:ascii="Calibri" w:hAnsi="Calibri"/>
          <w:vertAlign w:val="superscript"/>
          <w:lang w:val="en-US"/>
        </w:rPr>
        <w:t>nd</w:t>
      </w:r>
      <w:r w:rsidRPr="007C05E5">
        <w:rPr>
          <w:rFonts w:ascii="Calibri" w:hAnsi="Calibri"/>
          <w:lang w:val="en-US"/>
        </w:rPr>
        <w:t xml:space="preserve"> ed, Cambridge: Cambridge University Press.</w:t>
      </w:r>
    </w:p>
    <w:p w14:paraId="6DE57433"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Mitchell, B. R. (2008), </w:t>
      </w:r>
      <w:r w:rsidRPr="007C05E5">
        <w:rPr>
          <w:rFonts w:ascii="Calibri" w:hAnsi="Calibri"/>
          <w:i/>
          <w:lang w:val="en-US"/>
        </w:rPr>
        <w:t xml:space="preserve">International Historical Statistics 1750-2005. </w:t>
      </w:r>
      <w:r w:rsidRPr="007C05E5">
        <w:rPr>
          <w:rFonts w:ascii="Calibri" w:hAnsi="Calibri"/>
          <w:lang w:val="en-US"/>
        </w:rPr>
        <w:t>London: Palgrave Macmillan, 3 vols.</w:t>
      </w:r>
    </w:p>
    <w:p w14:paraId="16A7BA59"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OECD (2008), </w:t>
      </w:r>
      <w:r w:rsidRPr="007C05E5">
        <w:rPr>
          <w:rFonts w:ascii="Calibri" w:hAnsi="Calibri"/>
          <w:i/>
          <w:lang w:val="en-US"/>
        </w:rPr>
        <w:t>OECD Employment Outlook</w:t>
      </w:r>
      <w:r w:rsidRPr="007C05E5">
        <w:rPr>
          <w:rFonts w:ascii="Calibri" w:hAnsi="Calibri"/>
          <w:lang w:val="en-US"/>
        </w:rPr>
        <w:t xml:space="preserve">, Paris: OECD </w:t>
      </w:r>
    </w:p>
    <w:p w14:paraId="3BA49883" w14:textId="77777777" w:rsidR="00431533" w:rsidRPr="007C05E5" w:rsidRDefault="00431533" w:rsidP="00431533">
      <w:pPr>
        <w:autoSpaceDE w:val="0"/>
        <w:autoSpaceDN w:val="0"/>
        <w:adjustRightInd w:val="0"/>
        <w:ind w:hanging="709"/>
        <w:rPr>
          <w:rFonts w:ascii="Calibri" w:hAnsi="Calibri"/>
          <w:color w:val="FF0000"/>
          <w:lang w:val="en-US"/>
        </w:rPr>
      </w:pPr>
      <w:r w:rsidRPr="007C05E5">
        <w:rPr>
          <w:rFonts w:ascii="Calibri" w:hAnsi="Calibri"/>
          <w:lang w:val="en-US"/>
        </w:rPr>
        <w:t>OECD Statistics,</w:t>
      </w:r>
      <w:r w:rsidRPr="007C05E5">
        <w:rPr>
          <w:rFonts w:ascii="Calibri" w:hAnsi="Calibri"/>
          <w:color w:val="FF0000"/>
          <w:lang w:val="en-US"/>
        </w:rPr>
        <w:t xml:space="preserve"> </w:t>
      </w:r>
      <w:hyperlink r:id="rId42" w:history="1">
        <w:r w:rsidRPr="007C05E5">
          <w:rPr>
            <w:rStyle w:val="Hipervnculo"/>
            <w:rFonts w:ascii="Calibri" w:hAnsi="Calibri"/>
            <w:lang w:val="en-US"/>
          </w:rPr>
          <w:t>http://www.oecd-ilibrary.org/statistics</w:t>
        </w:r>
      </w:hyperlink>
    </w:p>
    <w:p w14:paraId="347BAB90"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OECD (2020), </w:t>
      </w:r>
      <w:r w:rsidRPr="007C05E5">
        <w:rPr>
          <w:rFonts w:ascii="Calibri" w:hAnsi="Calibri"/>
          <w:i/>
          <w:iCs/>
          <w:lang w:val="en-US"/>
        </w:rPr>
        <w:t>Employment Outlook 2020</w:t>
      </w:r>
      <w:r w:rsidRPr="007C05E5">
        <w:rPr>
          <w:rFonts w:ascii="Calibri" w:hAnsi="Calibri"/>
          <w:lang w:val="en-US"/>
        </w:rPr>
        <w:t xml:space="preserve">: </w:t>
      </w:r>
      <w:r w:rsidRPr="007C05E5">
        <w:rPr>
          <w:rFonts w:ascii="Calibri" w:hAnsi="Calibri"/>
          <w:i/>
          <w:iCs/>
          <w:lang w:val="en-US"/>
        </w:rPr>
        <w:t>Worker Security and the COVID-19 Crisis</w:t>
      </w:r>
      <w:r w:rsidRPr="007C05E5">
        <w:rPr>
          <w:rFonts w:ascii="Calibri" w:hAnsi="Calibri"/>
          <w:lang w:val="en-US"/>
        </w:rPr>
        <w:t>, Paris: OECD Publishing.</w:t>
      </w:r>
    </w:p>
    <w:p w14:paraId="07718237"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Officer, L.H. (2022), “What Was the Interest Rate Then?” MeasuringWorth </w:t>
      </w:r>
      <w:hyperlink r:id="rId43" w:history="1">
        <w:r w:rsidRPr="007C05E5">
          <w:rPr>
            <w:rStyle w:val="Hipervnculo"/>
            <w:rFonts w:ascii="Calibri" w:hAnsi="Calibri"/>
            <w:lang w:val="en-US"/>
          </w:rPr>
          <w:t>http://www.measuringworth.com/interestrates/</w:t>
        </w:r>
      </w:hyperlink>
    </w:p>
    <w:p w14:paraId="289D35B9"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Ohkawa, K. and M. Shinohara (1979), </w:t>
      </w:r>
      <w:r w:rsidRPr="007C05E5">
        <w:rPr>
          <w:rFonts w:ascii="Calibri" w:hAnsi="Calibri"/>
          <w:i/>
          <w:lang w:val="en-US"/>
        </w:rPr>
        <w:t>Patterns of Japanese Economic Development. A Quantitative Appraisal</w:t>
      </w:r>
      <w:r w:rsidRPr="007C05E5">
        <w:rPr>
          <w:rFonts w:ascii="Calibri" w:hAnsi="Calibri"/>
          <w:lang w:val="en-US"/>
        </w:rPr>
        <w:t>, New Haven: Yale University Press</w:t>
      </w:r>
    </w:p>
    <w:p w14:paraId="3222C776" w14:textId="77777777" w:rsidR="00431533" w:rsidRPr="007C05E5" w:rsidRDefault="00431533" w:rsidP="00431533">
      <w:pPr>
        <w:ind w:hanging="709"/>
        <w:rPr>
          <w:rFonts w:ascii="Calibri" w:hAnsi="Calibri"/>
          <w:lang w:val="en-US"/>
        </w:rPr>
      </w:pPr>
      <w:r w:rsidRPr="007C05E5">
        <w:rPr>
          <w:rFonts w:ascii="Calibri" w:hAnsi="Calibri"/>
          <w:lang w:val="en-US"/>
        </w:rPr>
        <w:t xml:space="preserve">Obstfeld, M. and A.M. Taylor (2004), </w:t>
      </w:r>
      <w:r w:rsidRPr="007C05E5">
        <w:rPr>
          <w:rFonts w:ascii="Calibri" w:hAnsi="Calibri"/>
          <w:i/>
          <w:lang w:val="en-US"/>
        </w:rPr>
        <w:t>Global capital markets. Integration, Crisis, and Growth</w:t>
      </w:r>
      <w:r w:rsidRPr="007C05E5">
        <w:rPr>
          <w:rFonts w:ascii="Calibri" w:hAnsi="Calibri"/>
          <w:lang w:val="en-US"/>
        </w:rPr>
        <w:t xml:space="preserve">, New York: Cambridge University Press. </w:t>
      </w:r>
    </w:p>
    <w:p w14:paraId="7B4AB7C1"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Patrick, H.T. (1967), “Japan, 1868-1914”, in R. Cameron (ed.), Banking in the Early Stages of Industrialization: A Study in Comparative Economic History, New York: Oxford University Press, pp. 239-289.</w:t>
      </w:r>
    </w:p>
    <w:p w14:paraId="7C7868A9" w14:textId="77777777" w:rsidR="00431533" w:rsidRDefault="00431533" w:rsidP="00431533">
      <w:pPr>
        <w:autoSpaceDE w:val="0"/>
        <w:autoSpaceDN w:val="0"/>
        <w:adjustRightInd w:val="0"/>
        <w:ind w:hanging="709"/>
        <w:rPr>
          <w:rFonts w:ascii="Calibri" w:hAnsi="Calibri"/>
          <w:lang w:val="pt-PT"/>
        </w:rPr>
      </w:pPr>
      <w:r w:rsidRPr="00C7397B">
        <w:rPr>
          <w:rFonts w:ascii="Calibri" w:hAnsi="Calibri"/>
          <w:lang w:val="pt-PT"/>
        </w:rPr>
        <w:t>Pinheiro, M. (Ed.) (1997</w:t>
      </w:r>
      <w:r w:rsidRPr="00C7397B">
        <w:rPr>
          <w:rFonts w:ascii="Calibri" w:hAnsi="Calibri"/>
          <w:i/>
          <w:lang w:val="pt-PT"/>
        </w:rPr>
        <w:t>), Séries longas para a economia portuguesa pós II Guerra Mundial. I. Séries Estatisticas.</w:t>
      </w:r>
      <w:r w:rsidRPr="00C7397B">
        <w:rPr>
          <w:rFonts w:ascii="Calibri" w:hAnsi="Calibri"/>
          <w:lang w:val="pt-PT"/>
        </w:rPr>
        <w:t xml:space="preserve"> Lisbon: Banco de Portugal</w:t>
      </w:r>
      <w:r>
        <w:rPr>
          <w:rFonts w:ascii="Calibri" w:hAnsi="Calibri"/>
          <w:lang w:val="pt-PT"/>
        </w:rPr>
        <w:t xml:space="preserve"> </w:t>
      </w:r>
      <w:hyperlink r:id="rId44" w:history="1">
        <w:r w:rsidRPr="006E1491">
          <w:rPr>
            <w:rStyle w:val="Hipervnculo"/>
            <w:rFonts w:ascii="Calibri" w:hAnsi="Calibri"/>
          </w:rPr>
          <w:t>http://www.bportugal.pt/pt-PT/Estatisticas/PublicacoesEstatisticas/SLEPort/Paginas/SeriesLongasEconomiaPortuguesaposIIGuerraMundial.aspx</w:t>
        </w:r>
      </w:hyperlink>
    </w:p>
    <w:p w14:paraId="32541DD9" w14:textId="77777777" w:rsidR="00431533" w:rsidRPr="00AD28C7" w:rsidRDefault="00431533" w:rsidP="00431533">
      <w:pPr>
        <w:ind w:hanging="709"/>
        <w:rPr>
          <w:rFonts w:ascii="Calibri" w:hAnsi="Calibri"/>
          <w:lang w:val="en-US"/>
        </w:rPr>
      </w:pPr>
      <w:r w:rsidRPr="00AD28C7">
        <w:rPr>
          <w:rFonts w:ascii="Calibri" w:hAnsi="Calibri"/>
          <w:lang w:val="en-US"/>
        </w:rPr>
        <w:t xml:space="preserve">Prados de la Escosura, L. (2017), </w:t>
      </w:r>
      <w:r w:rsidRPr="00AD28C7">
        <w:rPr>
          <w:rFonts w:ascii="Calibri" w:hAnsi="Calibri"/>
          <w:i/>
          <w:lang w:val="en-US"/>
        </w:rPr>
        <w:t>Spanish Economic Growth, 1850-2015</w:t>
      </w:r>
      <w:r w:rsidRPr="00AD28C7">
        <w:rPr>
          <w:rFonts w:ascii="Calibri" w:hAnsi="Calibri"/>
          <w:lang w:val="en-US"/>
        </w:rPr>
        <w:t xml:space="preserve">, London: Palgrave Macmillan. </w:t>
      </w:r>
    </w:p>
    <w:p w14:paraId="6009CA73" w14:textId="77777777" w:rsidR="00431533" w:rsidRPr="00AD28C7" w:rsidRDefault="00431533" w:rsidP="00431533">
      <w:pPr>
        <w:autoSpaceDE w:val="0"/>
        <w:autoSpaceDN w:val="0"/>
        <w:adjustRightInd w:val="0"/>
        <w:ind w:hanging="709"/>
        <w:rPr>
          <w:rFonts w:ascii="Calibri" w:hAnsi="Calibri"/>
          <w:lang w:val="pt-PT"/>
        </w:rPr>
      </w:pPr>
      <w:r w:rsidRPr="007C05E5">
        <w:rPr>
          <w:rFonts w:ascii="Calibri" w:hAnsi="Calibri"/>
          <w:color w:val="000000" w:themeColor="text1"/>
          <w:spacing w:val="-2"/>
          <w:lang w:val="en-US"/>
        </w:rPr>
        <w:lastRenderedPageBreak/>
        <w:t xml:space="preserve">Prados de la Escosura, L. (2016), ‘Economic Freedom in the Long Run: Evidence from OECD Countries (1850-2007)’, </w:t>
      </w:r>
      <w:r w:rsidRPr="007C05E5">
        <w:rPr>
          <w:rFonts w:ascii="Calibri" w:hAnsi="Calibri"/>
          <w:i/>
          <w:color w:val="000000" w:themeColor="text1"/>
          <w:spacing w:val="-2"/>
          <w:lang w:val="en-US"/>
        </w:rPr>
        <w:t xml:space="preserve">Economic History Review </w:t>
      </w:r>
      <w:r w:rsidRPr="007C05E5">
        <w:rPr>
          <w:rFonts w:ascii="Calibri" w:hAnsi="Calibri"/>
          <w:color w:val="000000" w:themeColor="text1"/>
          <w:spacing w:val="-2"/>
          <w:lang w:val="en-US"/>
        </w:rPr>
        <w:t>69(2): 435-468.</w:t>
      </w:r>
    </w:p>
    <w:p w14:paraId="72A87597" w14:textId="77777777" w:rsidR="00431533" w:rsidRPr="003461EA" w:rsidRDefault="00431533" w:rsidP="00431533">
      <w:pPr>
        <w:ind w:hanging="709"/>
        <w:rPr>
          <w:rFonts w:ascii="Calibri" w:hAnsi="Calibri"/>
          <w:lang w:val="pt-PT"/>
        </w:rPr>
      </w:pPr>
      <w:r w:rsidRPr="003461EA">
        <w:rPr>
          <w:rFonts w:ascii="Calibri" w:hAnsi="Calibri"/>
          <w:lang w:val="pt-PT"/>
        </w:rPr>
        <w:t xml:space="preserve">Prados de la Escosura, L., J.R. Rosés, and I. Sanz-Villarroya (2012), </w:t>
      </w:r>
      <w:r w:rsidRPr="003461EA">
        <w:rPr>
          <w:rFonts w:ascii="Calibri" w:hAnsi="Calibri"/>
          <w:spacing w:val="-2"/>
          <w:lang w:val="pt-PT"/>
        </w:rPr>
        <w:t xml:space="preserve">“Economic Reforms and Growth in Franco’s Spain”, </w:t>
      </w:r>
      <w:r w:rsidRPr="003461EA">
        <w:rPr>
          <w:rFonts w:ascii="Calibri" w:hAnsi="Calibri"/>
          <w:i/>
          <w:spacing w:val="-2"/>
          <w:lang w:val="pt-PT"/>
        </w:rPr>
        <w:t xml:space="preserve">Revista de Historia Económica / Journal of Iberian and Latin American Economic History </w:t>
      </w:r>
      <w:r w:rsidRPr="003461EA">
        <w:rPr>
          <w:rFonts w:ascii="Calibri" w:hAnsi="Calibri"/>
          <w:spacing w:val="-2"/>
          <w:lang w:val="pt-PT"/>
        </w:rPr>
        <w:t>30 (1): 45-89.</w:t>
      </w:r>
    </w:p>
    <w:p w14:paraId="43B41D90" w14:textId="77777777" w:rsidR="00431533" w:rsidRPr="007C05E5" w:rsidRDefault="00431533" w:rsidP="00431533">
      <w:pPr>
        <w:ind w:hanging="709"/>
        <w:rPr>
          <w:rFonts w:ascii="Calibri" w:hAnsi="Calibri"/>
          <w:lang w:val="en-US"/>
        </w:rPr>
      </w:pPr>
      <w:r w:rsidRPr="007C05E5">
        <w:rPr>
          <w:rFonts w:ascii="Calibri" w:hAnsi="Calibri"/>
          <w:lang w:val="en-US"/>
        </w:rPr>
        <w:t xml:space="preserve">Quinn, D. and A.M. Toyoda (2008),  “Does Capital Account Liberalization Lead to Growth”, </w:t>
      </w:r>
      <w:r w:rsidRPr="007C05E5">
        <w:rPr>
          <w:rFonts w:ascii="Calibri" w:hAnsi="Calibri"/>
          <w:i/>
          <w:lang w:val="en-US"/>
        </w:rPr>
        <w:t xml:space="preserve">Review of Financial Studies </w:t>
      </w:r>
      <w:r w:rsidRPr="007C05E5">
        <w:rPr>
          <w:rFonts w:ascii="Calibri" w:hAnsi="Calibri"/>
          <w:lang w:val="en-US"/>
        </w:rPr>
        <w:t>21 (3): 1403-1449.</w:t>
      </w:r>
    </w:p>
    <w:p w14:paraId="6FDEF2F4" w14:textId="77777777" w:rsidR="00431533" w:rsidRPr="007C05E5" w:rsidRDefault="00431533" w:rsidP="00431533">
      <w:pPr>
        <w:ind w:hanging="709"/>
        <w:rPr>
          <w:rFonts w:ascii="Calibri" w:hAnsi="Calibri"/>
          <w:lang w:val="en-US"/>
        </w:rPr>
      </w:pPr>
      <w:r w:rsidRPr="007C05E5">
        <w:rPr>
          <w:rFonts w:ascii="Calibri" w:hAnsi="Calibri"/>
          <w:lang w:val="en-US"/>
        </w:rPr>
        <w:t xml:space="preserve">Reinhart, C.M. and K.S. Rogoff (2003), Background Material to A Modern History of Exchange Rate Arrangements: A Reinterpretation. Part I. The Country Chronologies and Chartbook; Part II. Parallel Markets and Dual and Multiple Exchange Rate Practices, IMF, </w:t>
      </w:r>
      <w:hyperlink r:id="rId45" w:history="1">
        <w:r w:rsidRPr="007C05E5">
          <w:rPr>
            <w:rStyle w:val="Hipervnculo"/>
            <w:rFonts w:ascii="Calibri" w:hAnsi="Calibri"/>
            <w:lang w:val="en-US"/>
          </w:rPr>
          <w:t>http://www.puaf.umd.edu/faculty/papers/reinhart/reinhart.htm</w:t>
        </w:r>
      </w:hyperlink>
    </w:p>
    <w:p w14:paraId="571B6C15" w14:textId="77777777" w:rsidR="00431533" w:rsidRPr="007C05E5" w:rsidRDefault="00431533" w:rsidP="00431533">
      <w:pPr>
        <w:ind w:hanging="709"/>
        <w:rPr>
          <w:rFonts w:ascii="Calibri" w:hAnsi="Calibri"/>
          <w:lang w:val="en-US"/>
        </w:rPr>
      </w:pPr>
      <w:r w:rsidRPr="007C05E5">
        <w:rPr>
          <w:rFonts w:ascii="Calibri" w:hAnsi="Calibri"/>
          <w:lang w:val="en-US"/>
        </w:rPr>
        <w:t>Reinhart, C.M. and K.S. Rogoff (2010), “From Financial Crash to Debt Crisis,” NBER Working Paper 15795</w:t>
      </w:r>
    </w:p>
    <w:p w14:paraId="520E3BC4" w14:textId="77777777" w:rsidR="00431533" w:rsidRPr="003461EA" w:rsidRDefault="00431533" w:rsidP="00431533">
      <w:pPr>
        <w:ind w:hanging="709"/>
        <w:rPr>
          <w:rFonts w:ascii="Calibri" w:hAnsi="Calibri"/>
        </w:rPr>
      </w:pPr>
      <w:r w:rsidRPr="007C05E5">
        <w:rPr>
          <w:rFonts w:ascii="Calibri" w:hAnsi="Calibri"/>
          <w:lang w:val="en-US"/>
        </w:rPr>
        <w:t xml:space="preserve"> Reinhart, Carmen M., and Kenneth S. Rogoff (2011), “From Financial Crash to Debt Crisis”, </w:t>
      </w:r>
      <w:r w:rsidRPr="007C05E5">
        <w:rPr>
          <w:rFonts w:ascii="Calibri" w:hAnsi="Calibri"/>
          <w:i/>
          <w:iCs/>
          <w:lang w:val="en-US"/>
        </w:rPr>
        <w:t>American Economic Review</w:t>
      </w:r>
      <w:r w:rsidRPr="007C05E5">
        <w:rPr>
          <w:rFonts w:ascii="Calibri" w:hAnsi="Calibri"/>
          <w:lang w:val="en-US"/>
        </w:rPr>
        <w:t xml:space="preserve"> 101: 1676-1706. </w:t>
      </w:r>
      <w:hyperlink r:id="rId46" w:history="1">
        <w:r w:rsidRPr="003461EA">
          <w:rPr>
            <w:rStyle w:val="Hipervnculo"/>
            <w:rFonts w:ascii="Calibri" w:hAnsi="Calibri"/>
          </w:rPr>
          <w:t>http://www.carmenreinhart.com/data/</w:t>
        </w:r>
      </w:hyperlink>
    </w:p>
    <w:p w14:paraId="0717BBC1" w14:textId="77777777" w:rsidR="00431533" w:rsidRPr="00DB6534" w:rsidRDefault="00431533" w:rsidP="00431533">
      <w:pPr>
        <w:autoSpaceDE w:val="0"/>
        <w:autoSpaceDN w:val="0"/>
        <w:adjustRightInd w:val="0"/>
        <w:ind w:hanging="709"/>
        <w:rPr>
          <w:rFonts w:ascii="Calibri" w:hAnsi="Calibri"/>
          <w:lang w:val="pt-PT"/>
        </w:rPr>
      </w:pPr>
      <w:r w:rsidRPr="00DB6534">
        <w:rPr>
          <w:rFonts w:ascii="Calibri" w:hAnsi="Calibri"/>
          <w:lang w:val="pt-PT"/>
        </w:rPr>
        <w:t xml:space="preserve">Reis, J. (1990), </w:t>
      </w:r>
      <w:r w:rsidRPr="00DB6534">
        <w:rPr>
          <w:rFonts w:ascii="Calibri" w:hAnsi="Calibri"/>
          <w:i/>
          <w:lang w:val="pt-PT"/>
        </w:rPr>
        <w:t>A Evolução da Oferta Monetária Portuguesa 1854-1912</w:t>
      </w:r>
      <w:r w:rsidRPr="00DB6534">
        <w:rPr>
          <w:rFonts w:ascii="Calibri" w:hAnsi="Calibri"/>
          <w:lang w:val="pt-PT"/>
        </w:rPr>
        <w:t>, Lisboa: Banco</w:t>
      </w:r>
    </w:p>
    <w:p w14:paraId="348A7DA8" w14:textId="77777777" w:rsidR="00431533" w:rsidRPr="00D5174A" w:rsidRDefault="00431533" w:rsidP="00431533">
      <w:pPr>
        <w:autoSpaceDE w:val="0"/>
        <w:autoSpaceDN w:val="0"/>
        <w:adjustRightInd w:val="0"/>
        <w:ind w:hanging="709"/>
        <w:rPr>
          <w:rFonts w:ascii="Calibri" w:hAnsi="Calibri"/>
          <w:i/>
          <w:lang w:val="pt-PT"/>
        </w:rPr>
      </w:pPr>
      <w:r w:rsidRPr="00DB6534">
        <w:rPr>
          <w:rFonts w:ascii="Calibri" w:hAnsi="Calibri"/>
          <w:lang w:val="pt-PT"/>
        </w:rPr>
        <w:t>de Portugal.</w:t>
      </w:r>
    </w:p>
    <w:p w14:paraId="400365C1" w14:textId="77777777" w:rsidR="00431533" w:rsidRPr="00D5174A" w:rsidRDefault="00431533" w:rsidP="00431533">
      <w:pPr>
        <w:autoSpaceDE w:val="0"/>
        <w:autoSpaceDN w:val="0"/>
        <w:adjustRightInd w:val="0"/>
        <w:ind w:hanging="709"/>
        <w:rPr>
          <w:rFonts w:ascii="Calibri" w:hAnsi="Calibri"/>
          <w:lang w:val="pt-PT"/>
        </w:rPr>
      </w:pPr>
      <w:r w:rsidRPr="00DB6534">
        <w:rPr>
          <w:rFonts w:ascii="Calibri" w:hAnsi="Calibri"/>
          <w:lang w:val="pt-PT"/>
        </w:rPr>
        <w:t>Reis, J. (2001), “</w:t>
      </w:r>
      <w:r>
        <w:rPr>
          <w:rFonts w:ascii="Calibri" w:hAnsi="Calibri"/>
          <w:lang w:val="pt-PT"/>
        </w:rPr>
        <w:t>Moeda e crédito</w:t>
      </w:r>
      <w:r w:rsidRPr="00DB6534">
        <w:rPr>
          <w:rFonts w:ascii="Calibri" w:hAnsi="Calibri"/>
          <w:lang w:val="pt-PT"/>
        </w:rPr>
        <w:t xml:space="preserve">”, in N. Valério (ed.), </w:t>
      </w:r>
      <w:r w:rsidRPr="00DB6534">
        <w:rPr>
          <w:rFonts w:ascii="Calibri" w:hAnsi="Calibri"/>
          <w:i/>
          <w:lang w:val="pt-PT"/>
        </w:rPr>
        <w:t>Estatí</w:t>
      </w:r>
      <w:r>
        <w:rPr>
          <w:rFonts w:ascii="Calibri" w:hAnsi="Calibri"/>
          <w:i/>
          <w:lang w:val="pt-PT"/>
        </w:rPr>
        <w:t>s</w:t>
      </w:r>
      <w:r w:rsidRPr="00DB6534">
        <w:rPr>
          <w:rFonts w:ascii="Calibri" w:hAnsi="Calibri"/>
          <w:i/>
          <w:lang w:val="pt-PT"/>
        </w:rPr>
        <w:t>ticas Históricas Portuguesas</w:t>
      </w:r>
      <w:r w:rsidRPr="00DB6534">
        <w:rPr>
          <w:rFonts w:ascii="Calibri" w:hAnsi="Calibri"/>
          <w:lang w:val="pt-PT"/>
        </w:rPr>
        <w:t>, Lisboa: Instituto Nacional de Estatí</w:t>
      </w:r>
      <w:r>
        <w:rPr>
          <w:rFonts w:ascii="Calibri" w:hAnsi="Calibri"/>
          <w:lang w:val="pt-PT"/>
        </w:rPr>
        <w:t>s</w:t>
      </w:r>
      <w:r w:rsidRPr="00DB6534">
        <w:rPr>
          <w:rFonts w:ascii="Calibri" w:hAnsi="Calibri"/>
          <w:lang w:val="pt-PT"/>
        </w:rPr>
        <w:t>tica, 2 vols., pp. 537-613.</w:t>
      </w:r>
    </w:p>
    <w:p w14:paraId="5D638124" w14:textId="77777777" w:rsidR="00431533" w:rsidRPr="007C05E5" w:rsidRDefault="00431533" w:rsidP="00431533">
      <w:pPr>
        <w:ind w:hanging="709"/>
        <w:rPr>
          <w:rFonts w:ascii="Calibri" w:hAnsi="Calibri"/>
          <w:lang w:val="en-US"/>
        </w:rPr>
      </w:pPr>
      <w:r w:rsidRPr="007C05E5">
        <w:rPr>
          <w:rFonts w:ascii="Calibri" w:hAnsi="Calibri"/>
          <w:lang w:val="en-US"/>
        </w:rPr>
        <w:t xml:space="preserve">Reis, J. (2007), “’An Art, not a Science?’ Central Bank Management in Portugal under the Gold Standard, 1863-1887”, </w:t>
      </w:r>
      <w:r w:rsidRPr="007C05E5">
        <w:rPr>
          <w:rFonts w:ascii="Calibri" w:hAnsi="Calibri"/>
          <w:i/>
          <w:lang w:val="en-US"/>
        </w:rPr>
        <w:t>Economic History Review</w:t>
      </w:r>
      <w:r w:rsidRPr="007C05E5">
        <w:rPr>
          <w:rFonts w:ascii="Calibri" w:hAnsi="Calibri"/>
          <w:lang w:val="en-US"/>
        </w:rPr>
        <w:t xml:space="preserve"> 60 (4): 712-741</w:t>
      </w:r>
    </w:p>
    <w:p w14:paraId="4D5E2EB9"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Reserve Bank of Australia (RBA), Statistics, </w:t>
      </w:r>
      <w:hyperlink r:id="rId47" w:history="1">
        <w:r w:rsidRPr="007C05E5">
          <w:rPr>
            <w:rStyle w:val="Hipervnculo"/>
            <w:rFonts w:ascii="Calibri" w:hAnsi="Calibri"/>
            <w:lang w:val="en-US"/>
          </w:rPr>
          <w:t>http://www.rba.gov.au/statistics/by-subject.html</w:t>
        </w:r>
      </w:hyperlink>
    </w:p>
    <w:p w14:paraId="31335795" w14:textId="77777777" w:rsidR="00431533" w:rsidRPr="007C05E5" w:rsidRDefault="00431533" w:rsidP="00431533">
      <w:pPr>
        <w:autoSpaceDE w:val="0"/>
        <w:autoSpaceDN w:val="0"/>
        <w:adjustRightInd w:val="0"/>
        <w:ind w:hanging="709"/>
        <w:rPr>
          <w:rFonts w:ascii="Calibri" w:hAnsi="Calibri"/>
          <w:color w:val="FF0000"/>
          <w:lang w:val="en-US"/>
        </w:rPr>
      </w:pPr>
      <w:r w:rsidRPr="007C05E5">
        <w:rPr>
          <w:rFonts w:ascii="Calibri" w:hAnsi="Calibri"/>
          <w:lang w:val="en-US"/>
        </w:rPr>
        <w:t>Reserve Bank of New Zealand, Monetary Aggregates, 1988-2012,</w:t>
      </w:r>
      <w:r w:rsidRPr="007C05E5">
        <w:rPr>
          <w:rFonts w:ascii="Calibri" w:hAnsi="Calibri"/>
          <w:color w:val="FF0000"/>
          <w:lang w:val="en-US"/>
        </w:rPr>
        <w:t xml:space="preserve"> </w:t>
      </w:r>
      <w:hyperlink r:id="rId48" w:history="1">
        <w:r w:rsidRPr="007C05E5">
          <w:rPr>
            <w:rStyle w:val="Hipervnculo"/>
            <w:rFonts w:ascii="Calibri" w:hAnsi="Calibri"/>
            <w:lang w:val="en-US"/>
          </w:rPr>
          <w:t>http://www.rbnz.govt.nz/statistics/tables/c1/</w:t>
        </w:r>
      </w:hyperlink>
    </w:p>
    <w:p w14:paraId="19B3C9F2" w14:textId="77777777" w:rsidR="00431533" w:rsidRPr="007C05E5" w:rsidRDefault="00431533" w:rsidP="00431533">
      <w:pPr>
        <w:autoSpaceDE w:val="0"/>
        <w:autoSpaceDN w:val="0"/>
        <w:adjustRightInd w:val="0"/>
        <w:ind w:hanging="709"/>
        <w:rPr>
          <w:rFonts w:ascii="Calibri" w:hAnsi="Calibri"/>
          <w:lang w:val="en-US"/>
        </w:rPr>
      </w:pPr>
      <w:r w:rsidRPr="00735018">
        <w:rPr>
          <w:rFonts w:ascii="Calibri" w:hAnsi="Calibri"/>
          <w:lang w:val="de-DE"/>
        </w:rPr>
        <w:t>Ritschl</w:t>
      </w:r>
      <w:r w:rsidRPr="007C05E5">
        <w:rPr>
          <w:rFonts w:ascii="Calibri" w:hAnsi="Calibri"/>
          <w:lang w:val="en-US"/>
        </w:rPr>
        <w:t xml:space="preserve">, A. (2002), </w:t>
      </w:r>
      <w:r w:rsidRPr="00735018">
        <w:rPr>
          <w:rFonts w:ascii="Calibri" w:hAnsi="Calibri"/>
          <w:i/>
          <w:lang w:val="de-DE"/>
        </w:rPr>
        <w:t>Deutschlands Krise und Konjunktur. Binnenkonjunktur, Auslandsverschuldung und Reparationsproblem zwischen Dawes-Plan und Transfersperre 1924-1934</w:t>
      </w:r>
      <w:r w:rsidRPr="007C05E5">
        <w:rPr>
          <w:rFonts w:ascii="Calibri" w:hAnsi="Calibri"/>
          <w:lang w:val="en-US"/>
        </w:rPr>
        <w:t xml:space="preserve">, Berlin: </w:t>
      </w:r>
      <w:r w:rsidRPr="00735018">
        <w:rPr>
          <w:rFonts w:ascii="Calibri" w:hAnsi="Calibri"/>
          <w:lang w:val="de-DE"/>
        </w:rPr>
        <w:t>Akademie-Verlag</w:t>
      </w:r>
      <w:r w:rsidRPr="007C05E5">
        <w:rPr>
          <w:rFonts w:ascii="Calibri" w:hAnsi="Calibri"/>
          <w:lang w:val="en-US"/>
        </w:rPr>
        <w:t>.</w:t>
      </w:r>
    </w:p>
    <w:p w14:paraId="21570216" w14:textId="77777777" w:rsidR="00431533" w:rsidRPr="00D5174A" w:rsidRDefault="00431533" w:rsidP="00431533">
      <w:pPr>
        <w:autoSpaceDE w:val="0"/>
        <w:autoSpaceDN w:val="0"/>
        <w:adjustRightInd w:val="0"/>
        <w:ind w:hanging="709"/>
        <w:rPr>
          <w:rFonts w:ascii="Calibri" w:hAnsi="Calibri"/>
          <w:lang w:val="de-DE"/>
        </w:rPr>
      </w:pPr>
      <w:r w:rsidRPr="00C7397B">
        <w:rPr>
          <w:rFonts w:ascii="Calibri" w:hAnsi="Calibri"/>
          <w:lang w:val="de-DE"/>
        </w:rPr>
        <w:t xml:space="preserve">Ritschl, A., and Spoerer, M. (1997), ‘‘Das Bruttosozialprodukt in Deutschland nach den amtlichen Volseinkommes- und Sozialproduktsstatistiken 1901–1995’’, </w:t>
      </w:r>
      <w:r w:rsidRPr="00C7397B">
        <w:rPr>
          <w:rFonts w:ascii="Calibri" w:hAnsi="Calibri"/>
          <w:i/>
          <w:lang w:val="de-DE"/>
        </w:rPr>
        <w:t>Jahrbuch für Wirtschaftsgeschichte</w:t>
      </w:r>
      <w:r w:rsidRPr="00C7397B">
        <w:rPr>
          <w:rFonts w:ascii="Calibri" w:hAnsi="Calibri"/>
          <w:lang w:val="de-DE"/>
        </w:rPr>
        <w:t xml:space="preserve"> 2, 27–54. </w:t>
      </w:r>
    </w:p>
    <w:p w14:paraId="21F7D02C"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Saint-Marc, M. (1983), </w:t>
      </w:r>
      <w:r w:rsidRPr="00256BBA">
        <w:rPr>
          <w:rFonts w:ascii="Calibri" w:hAnsi="Calibri"/>
          <w:i/>
          <w:lang w:val="fr-FR"/>
        </w:rPr>
        <w:t>Histoire Monétaire de la France</w:t>
      </w:r>
      <w:r w:rsidRPr="007C05E5">
        <w:rPr>
          <w:rFonts w:ascii="Calibri" w:hAnsi="Calibri"/>
          <w:i/>
          <w:lang w:val="en-US"/>
        </w:rPr>
        <w:t>, 1800-1980</w:t>
      </w:r>
      <w:r w:rsidRPr="007C05E5">
        <w:rPr>
          <w:rFonts w:ascii="Calibri" w:hAnsi="Calibri"/>
          <w:lang w:val="en-US"/>
        </w:rPr>
        <w:t>, Paris: PUF.</w:t>
      </w:r>
    </w:p>
    <w:p w14:paraId="3AF9FB15"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Schön, L. and O. Krantz (2012), “Swedish Historical National Accounts, 1560-2010,</w:t>
      </w:r>
      <w:r w:rsidRPr="007C05E5">
        <w:rPr>
          <w:lang w:val="en-US"/>
        </w:rPr>
        <w:t xml:space="preserve"> </w:t>
      </w:r>
      <w:r w:rsidRPr="007C05E5">
        <w:rPr>
          <w:rFonts w:ascii="Calibri" w:hAnsi="Calibri"/>
          <w:lang w:val="en-US"/>
        </w:rPr>
        <w:t xml:space="preserve">Lund Papers in Economic History 123, </w:t>
      </w:r>
      <w:hyperlink r:id="rId49" w:history="1">
        <w:r w:rsidRPr="007C05E5">
          <w:rPr>
            <w:rStyle w:val="Hipervnculo"/>
            <w:rFonts w:ascii="Calibri" w:hAnsi="Calibri"/>
            <w:lang w:val="en-US"/>
          </w:rPr>
          <w:t>http://www.ekh.lu.se/en/research/shna1560-2010</w:t>
        </w:r>
      </w:hyperlink>
    </w:p>
    <w:p w14:paraId="232218F7"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Schulze, M.S. (2000), “Patterns of Growth and Stagnation in the Late Nineteenth Century Habsburg Economy</w:t>
      </w:r>
      <w:r w:rsidRPr="007C05E5">
        <w:rPr>
          <w:rFonts w:ascii="Calibri" w:hAnsi="Calibri"/>
          <w:i/>
          <w:lang w:val="en-US"/>
        </w:rPr>
        <w:t>”, European Review of Economic</w:t>
      </w:r>
      <w:r w:rsidRPr="007C05E5">
        <w:rPr>
          <w:rFonts w:ascii="Calibri" w:hAnsi="Calibri"/>
          <w:lang w:val="en-US"/>
        </w:rPr>
        <w:t xml:space="preserve"> </w:t>
      </w:r>
      <w:r w:rsidRPr="007C05E5">
        <w:rPr>
          <w:rFonts w:ascii="Calibri" w:hAnsi="Calibri"/>
          <w:i/>
          <w:lang w:val="en-US"/>
        </w:rPr>
        <w:t>History</w:t>
      </w:r>
      <w:r w:rsidRPr="007C05E5">
        <w:rPr>
          <w:rFonts w:ascii="Calibri" w:hAnsi="Calibri"/>
          <w:lang w:val="en-US"/>
        </w:rPr>
        <w:t xml:space="preserve"> 4 (3): 311-340</w:t>
      </w:r>
    </w:p>
    <w:p w14:paraId="6E248861"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SEEMHN (2009), Monetary Time Series of Southeastern Europe from the 1870s to 1914, Bank of Greece, Working Paper SEEMHN 94</w:t>
      </w:r>
    </w:p>
    <w:p w14:paraId="0A90EA7A"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Smits, J.P., E. Horlings and J.L. van Zanden (2000), Dutch GNP and its Components,</w:t>
      </w:r>
    </w:p>
    <w:p w14:paraId="747FF9E6"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1800-1913, Groningen: Groningen Growth and Development Centre Research</w:t>
      </w:r>
    </w:p>
    <w:p w14:paraId="6CA2D381"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Monograph no. 5</w:t>
      </w:r>
    </w:p>
    <w:p w14:paraId="3D98EBE2" w14:textId="77777777" w:rsidR="00431533" w:rsidRPr="007C05E5" w:rsidRDefault="00431533" w:rsidP="00431533">
      <w:pPr>
        <w:ind w:hanging="709"/>
        <w:rPr>
          <w:rFonts w:ascii="Calibri" w:hAnsi="Calibri"/>
          <w:color w:val="0000FF"/>
          <w:lang w:val="en-US"/>
        </w:rPr>
      </w:pPr>
      <w:r w:rsidRPr="007C05E5">
        <w:rPr>
          <w:rFonts w:ascii="Calibri" w:hAnsi="Calibri"/>
          <w:lang w:val="en-US"/>
        </w:rPr>
        <w:t>Statistics Bureau, Historical Statistics of Japan,</w:t>
      </w:r>
      <w:r w:rsidRPr="007C05E5">
        <w:rPr>
          <w:rFonts w:ascii="Calibri" w:hAnsi="Calibri"/>
          <w:color w:val="0000FF"/>
          <w:lang w:val="en-US"/>
        </w:rPr>
        <w:t xml:space="preserve"> </w:t>
      </w:r>
      <w:hyperlink r:id="rId50" w:history="1">
        <w:r w:rsidRPr="007C05E5">
          <w:rPr>
            <w:rStyle w:val="Hipervnculo"/>
            <w:rFonts w:ascii="Calibri" w:hAnsi="Calibri"/>
            <w:lang w:val="en-US"/>
          </w:rPr>
          <w:t>http://www.stat.go.jp/english/data/chouki/03.htm</w:t>
        </w:r>
      </w:hyperlink>
      <w:r w:rsidRPr="007C05E5">
        <w:rPr>
          <w:rFonts w:ascii="Calibri" w:hAnsi="Calibri"/>
          <w:lang w:val="en-US"/>
        </w:rPr>
        <w:t>.</w:t>
      </w:r>
    </w:p>
    <w:p w14:paraId="2E9E05DC"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Statistics Canada: historical statistics of Canada. </w:t>
      </w:r>
      <w:hyperlink r:id="rId51" w:history="1">
        <w:r w:rsidRPr="007C05E5">
          <w:rPr>
            <w:rStyle w:val="Hipervnculo"/>
            <w:rFonts w:ascii="Calibri" w:hAnsi="Calibri"/>
            <w:lang w:val="en-US"/>
          </w:rPr>
          <w:t>http://www.statcan.ca/</w:t>
        </w:r>
      </w:hyperlink>
    </w:p>
    <w:p w14:paraId="7F538AB5"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Statistics Netherlands, Historical Series</w:t>
      </w:r>
      <w:r w:rsidRPr="007C05E5">
        <w:rPr>
          <w:rFonts w:ascii="Calibri" w:hAnsi="Calibri"/>
          <w:color w:val="FF0000"/>
          <w:lang w:val="en-US"/>
        </w:rPr>
        <w:t xml:space="preserve">, </w:t>
      </w:r>
      <w:hyperlink r:id="rId52" w:history="1">
        <w:r w:rsidRPr="007C05E5">
          <w:rPr>
            <w:rStyle w:val="Hipervnculo"/>
            <w:rFonts w:ascii="Calibri" w:hAnsi="Calibri"/>
            <w:lang w:val="en-US"/>
          </w:rPr>
          <w:t>http://www.cbs.nl/en-GB/menu/themas/dossiers/historische-reeksen/cijfers/extra/historische-reeksen.htm</w:t>
        </w:r>
      </w:hyperlink>
      <w:r w:rsidRPr="007C05E5">
        <w:rPr>
          <w:rFonts w:ascii="Calibri" w:hAnsi="Calibri"/>
          <w:lang w:val="en-US"/>
        </w:rPr>
        <w:t xml:space="preserve"> </w:t>
      </w:r>
    </w:p>
    <w:p w14:paraId="42FD2E07"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lastRenderedPageBreak/>
        <w:t xml:space="preserve">Statistics New Zealand, New Zealand Long Term Data Series (LTDS), </w:t>
      </w:r>
      <w:hyperlink r:id="rId53" w:history="1">
        <w:r w:rsidRPr="007C05E5">
          <w:rPr>
            <w:rStyle w:val="Hipervnculo"/>
            <w:rFonts w:ascii="Calibri" w:hAnsi="Calibri"/>
            <w:lang w:val="en-US"/>
          </w:rPr>
          <w:t>http://www.stats.govt.nz/browse_for_stats/economic_indicators/NationalAccounts/long-term-data-series/finance.aspx</w:t>
        </w:r>
      </w:hyperlink>
    </w:p>
    <w:p w14:paraId="05DB8828"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Sveriges Riksbank, </w:t>
      </w:r>
      <w:r w:rsidRPr="007C05E5">
        <w:rPr>
          <w:rFonts w:ascii="Calibri" w:hAnsi="Calibri"/>
          <w:i/>
          <w:lang w:val="en-US"/>
        </w:rPr>
        <w:t>Historical Monetary Statistics of Sweden 1668-2008</w:t>
      </w:r>
      <w:r w:rsidRPr="007C05E5">
        <w:rPr>
          <w:rFonts w:ascii="Calibri" w:hAnsi="Calibri"/>
          <w:lang w:val="en-US"/>
        </w:rPr>
        <w:t xml:space="preserve">, </w:t>
      </w:r>
      <w:hyperlink r:id="rId54" w:history="1">
        <w:r w:rsidRPr="007C05E5">
          <w:rPr>
            <w:rStyle w:val="Hipervnculo"/>
            <w:rFonts w:ascii="Calibri" w:hAnsi="Calibri"/>
            <w:lang w:val="en-US"/>
          </w:rPr>
          <w:t>http://www.riksbank.se/en/The-Riksbank/Research/Historical-Monetary-Statistics-/</w:t>
        </w:r>
      </w:hyperlink>
    </w:p>
    <w:p w14:paraId="52031031"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color w:val="000000" w:themeColor="text1"/>
          <w:lang w:val="en-US"/>
        </w:rPr>
        <w:t xml:space="preserve">Swiss National Bank, Historical Time Series, </w:t>
      </w:r>
      <w:hyperlink r:id="rId55" w:history="1">
        <w:r w:rsidRPr="007C05E5">
          <w:rPr>
            <w:rStyle w:val="Hipervnculo"/>
            <w:rFonts w:ascii="Calibri" w:hAnsi="Calibri"/>
            <w:lang w:val="en-US"/>
          </w:rPr>
          <w:t>http://www.snb.ch/en/iabout/stat/statpub/histz/id/statpub_histz_actual</w:t>
        </w:r>
      </w:hyperlink>
      <w:r w:rsidRPr="007C05E5">
        <w:rPr>
          <w:rFonts w:ascii="Calibri" w:hAnsi="Calibri"/>
          <w:lang w:val="en-US"/>
        </w:rPr>
        <w:t>,</w:t>
      </w:r>
    </w:p>
    <w:p w14:paraId="5A910157"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Swiss National Bank, Monetary Aggregates, 1984-2023 </w:t>
      </w:r>
      <w:hyperlink r:id="rId56" w:history="1">
        <w:r w:rsidRPr="007C05E5">
          <w:rPr>
            <w:rStyle w:val="Hipervnculo"/>
            <w:rFonts w:ascii="Calibri" w:hAnsi="Calibri"/>
            <w:lang w:val="en-US"/>
          </w:rPr>
          <w:t>https://data.snb.ch/en/topics/snb/cube/snbmonagg?fromDate=1984-01&amp;toDate=2023-03&amp;dimSel=D0(B),D1(B,S0,ET,GM1,S1,GM2,T,GM3)</w:t>
        </w:r>
      </w:hyperlink>
    </w:p>
    <w:p w14:paraId="07ED42C5"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Statistics Sweden, Money Supply, 1911-2012, </w:t>
      </w:r>
      <w:hyperlink r:id="rId57" w:history="1">
        <w:r w:rsidRPr="007C05E5">
          <w:rPr>
            <w:rStyle w:val="Hipervnculo"/>
            <w:rFonts w:ascii="Calibri" w:hAnsi="Calibri"/>
            <w:lang w:val="en-US"/>
          </w:rPr>
          <w:t>http://www.scb.se/Pages/TableAndChart____282808.aspx</w:t>
        </w:r>
      </w:hyperlink>
    </w:p>
    <w:p w14:paraId="34274314" w14:textId="77777777" w:rsidR="00431533" w:rsidRPr="00C7397B" w:rsidRDefault="00431533" w:rsidP="00431533">
      <w:pPr>
        <w:ind w:hanging="709"/>
        <w:rPr>
          <w:rFonts w:ascii="Calibri" w:hAnsi="Calibri"/>
          <w:lang w:val="es-ES_tradnl"/>
        </w:rPr>
      </w:pPr>
      <w:r w:rsidRPr="00C7397B">
        <w:rPr>
          <w:rFonts w:ascii="Calibri" w:hAnsi="Calibri"/>
          <w:lang w:val="es-ES_tradnl"/>
        </w:rPr>
        <w:t xml:space="preserve">Tedde, P. (1999), </w:t>
      </w:r>
      <w:r w:rsidRPr="00C7397B">
        <w:rPr>
          <w:rFonts w:ascii="Calibri" w:hAnsi="Calibri"/>
          <w:i/>
          <w:lang w:val="es-ES_tradnl"/>
        </w:rPr>
        <w:t>El Banco de San Fernando, 1829-1856</w:t>
      </w:r>
      <w:r w:rsidRPr="00C7397B">
        <w:rPr>
          <w:rFonts w:ascii="Calibri" w:hAnsi="Calibri"/>
          <w:lang w:val="es-ES_tradnl"/>
        </w:rPr>
        <w:t>, Madrid: Alianza.</w:t>
      </w:r>
    </w:p>
    <w:p w14:paraId="614522FE" w14:textId="77777777" w:rsidR="00431533" w:rsidRPr="00C7397B" w:rsidRDefault="00431533" w:rsidP="00431533">
      <w:pPr>
        <w:ind w:hanging="709"/>
        <w:rPr>
          <w:rFonts w:ascii="Calibri" w:hAnsi="Calibri"/>
          <w:lang w:val="es-ES_tradnl"/>
        </w:rPr>
      </w:pPr>
      <w:r w:rsidRPr="00C7397B">
        <w:rPr>
          <w:rFonts w:ascii="Calibri" w:hAnsi="Calibri"/>
          <w:lang w:val="es-ES_tradnl"/>
        </w:rPr>
        <w:t>Titos Martínez, M. (1999), “Las Cajas de Ahorros (1853-1962”, in P. Martín-Aceña and M. Titos Martínez (eds.), El sistema financiero en España. Una síntesis histórica, Granada: Universidad de Granada, pp. 135-161.</w:t>
      </w:r>
    </w:p>
    <w:p w14:paraId="345C441D" w14:textId="77777777" w:rsidR="00431533" w:rsidRPr="00C7397B" w:rsidRDefault="00431533" w:rsidP="00431533">
      <w:pPr>
        <w:ind w:hanging="709"/>
        <w:rPr>
          <w:rFonts w:ascii="Calibri" w:hAnsi="Calibri"/>
          <w:lang w:val="es-ES_tradnl"/>
        </w:rPr>
      </w:pPr>
      <w:r w:rsidRPr="00C7397B">
        <w:rPr>
          <w:rFonts w:ascii="Calibri" w:hAnsi="Calibri"/>
          <w:lang w:val="es-ES_tradnl"/>
        </w:rPr>
        <w:t xml:space="preserve">Tortella, G. (1973), </w:t>
      </w:r>
      <w:r w:rsidRPr="00C7397B">
        <w:rPr>
          <w:rFonts w:ascii="Calibri" w:hAnsi="Calibri"/>
          <w:i/>
          <w:lang w:val="es-ES_tradnl"/>
        </w:rPr>
        <w:t>Los orígenes del capitalismo en España. Banca, industria y ferrocarriles en el siglo XIX</w:t>
      </w:r>
      <w:r w:rsidRPr="00C7397B">
        <w:rPr>
          <w:rFonts w:ascii="Calibri" w:hAnsi="Calibri"/>
          <w:lang w:val="es-ES_tradnl"/>
        </w:rPr>
        <w:t>, Madrid: Tecnos.</w:t>
      </w:r>
    </w:p>
    <w:p w14:paraId="52ADDE35" w14:textId="77777777" w:rsidR="00431533" w:rsidRPr="00C7397B" w:rsidRDefault="00431533" w:rsidP="00431533">
      <w:pPr>
        <w:ind w:hanging="709"/>
        <w:rPr>
          <w:rFonts w:ascii="Calibri" w:hAnsi="Calibri"/>
          <w:lang w:val="es-ES_tradnl"/>
        </w:rPr>
      </w:pPr>
      <w:r w:rsidRPr="00C7397B">
        <w:rPr>
          <w:rFonts w:ascii="Calibri" w:hAnsi="Calibri"/>
          <w:lang w:val="es-ES_tradnl"/>
        </w:rPr>
        <w:t xml:space="preserve">Tortella, G. (1974), “Las magnitudes monetarias y sus determinantes”, in G. Tortella and P. Schwartz, eds., </w:t>
      </w:r>
      <w:r w:rsidRPr="00C7397B">
        <w:rPr>
          <w:rFonts w:ascii="Calibri" w:hAnsi="Calibri"/>
          <w:i/>
          <w:lang w:val="es-ES_tradnl"/>
        </w:rPr>
        <w:t>La banca española en la Restauración</w:t>
      </w:r>
      <w:r w:rsidRPr="00C7397B">
        <w:rPr>
          <w:rFonts w:ascii="Calibri" w:hAnsi="Calibri"/>
          <w:lang w:val="es-ES_tradnl"/>
        </w:rPr>
        <w:t>, 2 vols. Madrid: Tecnos. I, pp. 457-521.</w:t>
      </w:r>
    </w:p>
    <w:p w14:paraId="733270A4" w14:textId="77777777" w:rsidR="00431533" w:rsidRPr="00C7397B" w:rsidRDefault="00431533" w:rsidP="00431533">
      <w:pPr>
        <w:ind w:hanging="709"/>
        <w:rPr>
          <w:rFonts w:ascii="Calibri" w:hAnsi="Calibri"/>
          <w:lang w:val="es-ES_tradnl"/>
        </w:rPr>
      </w:pPr>
      <w:r w:rsidRPr="00C7397B">
        <w:rPr>
          <w:rFonts w:ascii="Calibri" w:hAnsi="Calibri"/>
          <w:lang w:val="es-ES_tradnl"/>
        </w:rPr>
        <w:t xml:space="preserve">Tena, A. (2005), “Sector exterior”, in A. Carreras and X. Tafunell (eds.), </w:t>
      </w:r>
      <w:r w:rsidRPr="00C7397B">
        <w:rPr>
          <w:rFonts w:ascii="Calibri" w:hAnsi="Calibri"/>
          <w:i/>
          <w:lang w:val="es-ES_tradnl"/>
        </w:rPr>
        <w:t>Estadísticas Históricas de España</w:t>
      </w:r>
      <w:r w:rsidRPr="00C7397B">
        <w:rPr>
          <w:rFonts w:ascii="Calibri" w:hAnsi="Calibri"/>
          <w:lang w:val="es-ES_tradnl"/>
        </w:rPr>
        <w:t>, 3 vols., Bilbao: Fundación BBVA, II, 573-644.</w:t>
      </w:r>
    </w:p>
    <w:p w14:paraId="7118382A" w14:textId="77777777" w:rsidR="00431533" w:rsidRPr="00C7397B" w:rsidRDefault="00431533" w:rsidP="00431533">
      <w:pPr>
        <w:ind w:hanging="709"/>
        <w:rPr>
          <w:rFonts w:ascii="Calibri" w:hAnsi="Calibri"/>
          <w:lang w:val="es-ES_tradnl"/>
        </w:rPr>
      </w:pPr>
      <w:r w:rsidRPr="00C7397B">
        <w:rPr>
          <w:rFonts w:ascii="Calibri" w:hAnsi="Calibri"/>
          <w:lang w:val="es-ES_tradnl"/>
        </w:rPr>
        <w:t>Tortella, G. (1982), El circulante metálico en España: primeras aplicaciones de una estimación para el cálculo de la renta nacional, Banco de España (Unpublished manuscript)</w:t>
      </w:r>
    </w:p>
    <w:p w14:paraId="492F9560" w14:textId="77777777" w:rsidR="00431533" w:rsidRPr="00460017" w:rsidRDefault="00431533" w:rsidP="00431533">
      <w:pPr>
        <w:ind w:hanging="709"/>
        <w:rPr>
          <w:rFonts w:ascii="Calibri" w:hAnsi="Calibri"/>
          <w:lang w:val="es-ES_tradnl"/>
        </w:rPr>
      </w:pPr>
      <w:r w:rsidRPr="00C7397B">
        <w:rPr>
          <w:rFonts w:ascii="Calibri" w:hAnsi="Calibri"/>
          <w:lang w:val="es-ES_tradnl"/>
        </w:rPr>
        <w:t>Tortella, G. (1985), “El Producto (Valor Añadido Bruto) del sector bancario español, 1856-1935. Una primera aproximación”, Banco de España (Unpublished manuscript).</w:t>
      </w:r>
    </w:p>
    <w:p w14:paraId="41824FED" w14:textId="77777777" w:rsidR="00431533" w:rsidRPr="00123157" w:rsidRDefault="00431533" w:rsidP="00431533">
      <w:pPr>
        <w:ind w:hanging="709"/>
        <w:rPr>
          <w:rFonts w:ascii="Calibri" w:hAnsi="Calibri"/>
          <w:color w:val="000000" w:themeColor="text1"/>
          <w:lang w:val="fr-FR"/>
        </w:rPr>
      </w:pPr>
      <w:r w:rsidRPr="00123157">
        <w:rPr>
          <w:rFonts w:ascii="Calibri" w:hAnsi="Calibri"/>
          <w:color w:val="000000" w:themeColor="text1"/>
          <w:lang w:val="fr-FR"/>
        </w:rPr>
        <w:t xml:space="preserve">Toutain, J.C. (1997), Le produit intérieur de la France de 1789 à 1994. </w:t>
      </w:r>
      <w:r w:rsidRPr="00123157">
        <w:rPr>
          <w:rFonts w:ascii="Calibri" w:hAnsi="Calibri"/>
          <w:i/>
          <w:iCs/>
          <w:color w:val="000000" w:themeColor="text1"/>
          <w:lang w:val="fr-FR"/>
        </w:rPr>
        <w:t>Économies et Sociétés</w:t>
      </w:r>
      <w:r w:rsidRPr="00123157">
        <w:rPr>
          <w:rFonts w:ascii="Calibri" w:hAnsi="Calibri"/>
          <w:color w:val="000000" w:themeColor="text1"/>
          <w:lang w:val="fr-FR"/>
        </w:rPr>
        <w:t xml:space="preserve"> XXXI. Série AF </w:t>
      </w:r>
      <w:r w:rsidRPr="00123157">
        <w:rPr>
          <w:rFonts w:ascii="Calibri" w:hAnsi="Calibri"/>
          <w:i/>
          <w:iCs/>
          <w:color w:val="000000" w:themeColor="text1"/>
          <w:lang w:val="fr-FR"/>
        </w:rPr>
        <w:t>Histoire quantitative de l'économie française</w:t>
      </w:r>
      <w:r w:rsidRPr="00123157">
        <w:rPr>
          <w:rFonts w:ascii="Calibri" w:hAnsi="Calibri"/>
          <w:color w:val="000000" w:themeColor="text1"/>
          <w:lang w:val="fr-FR"/>
        </w:rPr>
        <w:t xml:space="preserve"> (Cahiers de l'ISMEA).</w:t>
      </w:r>
    </w:p>
    <w:p w14:paraId="3F411EF3" w14:textId="77777777" w:rsidR="00431533" w:rsidRPr="006D2FEA" w:rsidRDefault="00431533" w:rsidP="00431533">
      <w:pPr>
        <w:ind w:hanging="709"/>
        <w:rPr>
          <w:rFonts w:ascii="Calibri" w:hAnsi="Calibri"/>
          <w:lang w:val="en-US"/>
        </w:rPr>
      </w:pPr>
      <w:r w:rsidRPr="006D2FEA">
        <w:rPr>
          <w:rFonts w:ascii="Calibri" w:hAnsi="Calibri"/>
          <w:lang w:val="en-US"/>
        </w:rPr>
        <w:t>Urquhart, M.C. (1993), Gross National Product, Canada 1870‐1926: The Derivation of the Estimates, Kingston: McGill-­‐Queen’s University Press.</w:t>
      </w:r>
    </w:p>
    <w:p w14:paraId="404D20AD" w14:textId="77777777" w:rsidR="00431533" w:rsidRPr="00CF11F4" w:rsidRDefault="00431533" w:rsidP="00431533">
      <w:pPr>
        <w:ind w:hanging="709"/>
        <w:rPr>
          <w:rFonts w:ascii="Calibri" w:hAnsi="Calibri"/>
        </w:rPr>
      </w:pPr>
      <w:r w:rsidRPr="00DB6534">
        <w:rPr>
          <w:rFonts w:ascii="Calibri" w:hAnsi="Calibri"/>
          <w:lang w:val="pt-PT"/>
        </w:rPr>
        <w:t xml:space="preserve">Valério (ed.), </w:t>
      </w:r>
      <w:r w:rsidRPr="00DB6534">
        <w:rPr>
          <w:rFonts w:ascii="Calibri" w:hAnsi="Calibri"/>
          <w:i/>
          <w:lang w:val="pt-PT"/>
        </w:rPr>
        <w:t>Estatí</w:t>
      </w:r>
      <w:r>
        <w:rPr>
          <w:rFonts w:ascii="Calibri" w:hAnsi="Calibri"/>
          <w:i/>
          <w:lang w:val="pt-PT"/>
        </w:rPr>
        <w:t>s</w:t>
      </w:r>
      <w:r w:rsidRPr="00DB6534">
        <w:rPr>
          <w:rFonts w:ascii="Calibri" w:hAnsi="Calibri"/>
          <w:i/>
          <w:lang w:val="pt-PT"/>
        </w:rPr>
        <w:t>ticas Históricas Portuguesas</w:t>
      </w:r>
      <w:r w:rsidRPr="00DB6534">
        <w:rPr>
          <w:rFonts w:ascii="Calibri" w:hAnsi="Calibri"/>
          <w:lang w:val="pt-PT"/>
        </w:rPr>
        <w:t>, Lisboa: Instituto Nacional de Estatí</w:t>
      </w:r>
      <w:r>
        <w:rPr>
          <w:rFonts w:ascii="Calibri" w:hAnsi="Calibri"/>
          <w:lang w:val="pt-PT"/>
        </w:rPr>
        <w:t>s</w:t>
      </w:r>
      <w:r w:rsidRPr="00DB6534">
        <w:rPr>
          <w:rFonts w:ascii="Calibri" w:hAnsi="Calibri"/>
          <w:lang w:val="pt-PT"/>
        </w:rPr>
        <w:t>tica</w:t>
      </w:r>
      <w:r>
        <w:rPr>
          <w:rFonts w:ascii="Calibri" w:hAnsi="Calibri"/>
          <w:lang w:val="pt-PT"/>
        </w:rPr>
        <w:t>, 2 vols.</w:t>
      </w:r>
    </w:p>
    <w:p w14:paraId="69EB62DD" w14:textId="77777777" w:rsidR="00431533" w:rsidRPr="007C05E5" w:rsidRDefault="00431533" w:rsidP="00431533">
      <w:pPr>
        <w:ind w:hanging="709"/>
        <w:rPr>
          <w:rFonts w:ascii="Calibri" w:hAnsi="Calibri"/>
          <w:lang w:val="en-US"/>
        </w:rPr>
      </w:pPr>
      <w:r w:rsidRPr="007C05E5">
        <w:rPr>
          <w:rFonts w:ascii="Calibri" w:hAnsi="Calibri"/>
          <w:lang w:val="en-US"/>
        </w:rPr>
        <w:t xml:space="preserve">Vamplew, W. (1987), </w:t>
      </w:r>
      <w:r w:rsidRPr="007C05E5">
        <w:rPr>
          <w:rFonts w:ascii="Calibri" w:hAnsi="Calibri"/>
          <w:i/>
          <w:lang w:val="en-US"/>
        </w:rPr>
        <w:t>Australians. Historical Statistics</w:t>
      </w:r>
      <w:r w:rsidRPr="007C05E5">
        <w:rPr>
          <w:rFonts w:ascii="Calibri" w:hAnsi="Calibri"/>
          <w:lang w:val="en-US"/>
        </w:rPr>
        <w:t>, Broadway: Fairfax, Syme and Weldon Associates.</w:t>
      </w:r>
    </w:p>
    <w:p w14:paraId="063CA635"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Waldenström, D. (2007), Interest rates and stock returns, 1856-2006, Sveriges Riksbank, </w:t>
      </w:r>
      <w:r w:rsidRPr="007C05E5">
        <w:rPr>
          <w:rFonts w:ascii="Calibri" w:hAnsi="Calibri"/>
          <w:i/>
          <w:lang w:val="en-US"/>
        </w:rPr>
        <w:t>Historical Monetary Statistics of Sweden 1668-2008</w:t>
      </w:r>
      <w:r w:rsidRPr="007C05E5">
        <w:rPr>
          <w:rFonts w:ascii="Calibri" w:hAnsi="Calibri"/>
          <w:lang w:val="en-US"/>
        </w:rPr>
        <w:t>,</w:t>
      </w:r>
      <w:r w:rsidRPr="007C05E5">
        <w:rPr>
          <w:rFonts w:ascii="Calibri" w:hAnsi="Calibri"/>
          <w:i/>
          <w:color w:val="FF0000"/>
          <w:lang w:val="en-US"/>
        </w:rPr>
        <w:t xml:space="preserve"> </w:t>
      </w:r>
      <w:hyperlink r:id="rId58" w:history="1">
        <w:r w:rsidRPr="007C05E5">
          <w:rPr>
            <w:rStyle w:val="Hipervnculo"/>
            <w:rFonts w:ascii="Calibri" w:hAnsi="Calibri"/>
            <w:lang w:val="en-US"/>
          </w:rPr>
          <w:t>http://www.riksbank.se/en/The-Riksbank/Research/Historical-Monetary-Statistics-/Interest-and-stock-returns/</w:t>
        </w:r>
      </w:hyperlink>
    </w:p>
    <w:p w14:paraId="5FC104A3" w14:textId="77777777" w:rsidR="00431533" w:rsidRPr="007C05E5" w:rsidRDefault="00431533" w:rsidP="00431533">
      <w:pPr>
        <w:ind w:hanging="709"/>
        <w:rPr>
          <w:rFonts w:ascii="Calibri" w:hAnsi="Calibri"/>
          <w:lang w:val="en-US"/>
        </w:rPr>
      </w:pPr>
      <w:r w:rsidRPr="007C05E5">
        <w:rPr>
          <w:rFonts w:ascii="Calibri" w:hAnsi="Calibri"/>
          <w:lang w:val="en-US"/>
        </w:rPr>
        <w:t xml:space="preserve">Williamson, S.H. (2013),  “What Was the U.S. GDP Then?” Measuringworth, </w:t>
      </w:r>
      <w:hyperlink r:id="rId59" w:history="1">
        <w:r w:rsidRPr="007C05E5">
          <w:rPr>
            <w:rStyle w:val="Hipervnculo"/>
            <w:rFonts w:ascii="Calibri" w:hAnsi="Calibri"/>
            <w:lang w:val="en-US"/>
          </w:rPr>
          <w:t>http://www.measuringworth.org/usgdp/</w:t>
        </w:r>
      </w:hyperlink>
    </w:p>
    <w:p w14:paraId="0ADBC2B3"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Williamson, S.H. (2022), “The Annual Consumer Price Index for the United States, 1774-Present”, MeasuringWorth. URL: </w:t>
      </w:r>
      <w:hyperlink r:id="rId60" w:history="1">
        <w:r w:rsidRPr="007C05E5">
          <w:rPr>
            <w:rStyle w:val="Hipervnculo"/>
            <w:rFonts w:ascii="Calibri" w:hAnsi="Calibri"/>
            <w:lang w:val="en-US"/>
          </w:rPr>
          <w:t>http://www.measuringworth.com/uscpi/</w:t>
        </w:r>
      </w:hyperlink>
    </w:p>
    <w:p w14:paraId="2BC90C91"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World Bank (2013), </w:t>
      </w:r>
      <w:r w:rsidRPr="007C05E5">
        <w:rPr>
          <w:rFonts w:ascii="Calibri" w:hAnsi="Calibri"/>
          <w:i/>
          <w:lang w:val="en-US"/>
        </w:rPr>
        <w:t>World Development Indicators</w:t>
      </w:r>
      <w:r w:rsidRPr="007C05E5">
        <w:rPr>
          <w:rFonts w:ascii="Calibri" w:hAnsi="Calibri"/>
          <w:lang w:val="en-US"/>
        </w:rPr>
        <w:t xml:space="preserve">, </w:t>
      </w:r>
      <w:hyperlink r:id="rId61" w:history="1">
        <w:r w:rsidRPr="007C05E5">
          <w:rPr>
            <w:rStyle w:val="Hipervnculo"/>
            <w:rFonts w:ascii="Calibri" w:hAnsi="Calibri"/>
            <w:lang w:val="en-US"/>
          </w:rPr>
          <w:t>http://data.worldbank.org/data-catalog/world-development-indicator</w:t>
        </w:r>
      </w:hyperlink>
    </w:p>
    <w:p w14:paraId="5AF3F1B6" w14:textId="77777777" w:rsidR="00431533" w:rsidRPr="007C05E5" w:rsidRDefault="00431533" w:rsidP="00431533">
      <w:pPr>
        <w:autoSpaceDE w:val="0"/>
        <w:autoSpaceDN w:val="0"/>
        <w:adjustRightInd w:val="0"/>
        <w:ind w:hanging="709"/>
        <w:rPr>
          <w:rFonts w:ascii="Calibri" w:hAnsi="Calibri"/>
          <w:lang w:val="en-US"/>
        </w:rPr>
      </w:pPr>
      <w:r w:rsidRPr="007C05E5">
        <w:rPr>
          <w:rFonts w:ascii="Calibri" w:hAnsi="Calibri"/>
          <w:lang w:val="en-US"/>
        </w:rPr>
        <w:t xml:space="preserve">Yamamura, K. (1972), “Japan, 1868-1930: a Revised View”, in R. Cameron (1972), </w:t>
      </w:r>
      <w:r w:rsidRPr="007C05E5">
        <w:rPr>
          <w:rFonts w:ascii="Calibri" w:hAnsi="Calibri"/>
          <w:i/>
          <w:lang w:val="en-US"/>
        </w:rPr>
        <w:t>Banking and Economic Development. Some Lessons of History</w:t>
      </w:r>
      <w:r w:rsidRPr="007C05E5">
        <w:rPr>
          <w:rFonts w:ascii="Calibri" w:hAnsi="Calibri"/>
          <w:lang w:val="en-US"/>
        </w:rPr>
        <w:t>, New York: Oxford University Press, pp. 168-198</w:t>
      </w:r>
    </w:p>
    <w:sectPr w:rsidR="00431533" w:rsidRPr="007C05E5" w:rsidSect="00E14137">
      <w:footerReference w:type="even" r:id="rId62"/>
      <w:footerReference w:type="default" r:id="rId63"/>
      <w:pgSz w:w="11900" w:h="16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BB1E" w14:textId="77777777" w:rsidR="004B0048" w:rsidRDefault="004B0048" w:rsidP="00C057D7">
      <w:r>
        <w:separator/>
      </w:r>
    </w:p>
  </w:endnote>
  <w:endnote w:type="continuationSeparator" w:id="0">
    <w:p w14:paraId="325315C8" w14:textId="77777777" w:rsidR="004B0048" w:rsidRDefault="004B0048" w:rsidP="00C0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7679" w14:textId="77777777" w:rsidR="004E783A" w:rsidRDefault="004E783A" w:rsidP="00E1413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32</w:t>
    </w:r>
    <w:r>
      <w:rPr>
        <w:rStyle w:val="Nmerodepgina"/>
      </w:rPr>
      <w:fldChar w:fldCharType="end"/>
    </w:r>
  </w:p>
  <w:p w14:paraId="7E8EECAD" w14:textId="77777777" w:rsidR="004E783A" w:rsidRDefault="004E78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667E" w14:textId="77777777" w:rsidR="004E783A" w:rsidRDefault="004E783A" w:rsidP="00E1413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3B61CFAF" w14:textId="77777777" w:rsidR="004E783A" w:rsidRDefault="004E78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FD25" w14:textId="77777777" w:rsidR="004B0048" w:rsidRDefault="004B0048" w:rsidP="00C057D7">
      <w:r>
        <w:separator/>
      </w:r>
    </w:p>
  </w:footnote>
  <w:footnote w:type="continuationSeparator" w:id="0">
    <w:p w14:paraId="258E906C" w14:textId="77777777" w:rsidR="004B0048" w:rsidRDefault="004B0048" w:rsidP="00C05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EC6E6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59342F5"/>
    <w:multiLevelType w:val="hybridMultilevel"/>
    <w:tmpl w:val="B7DAB9BE"/>
    <w:lvl w:ilvl="0" w:tplc="0C0A0001">
      <w:start w:val="73"/>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9AE3988"/>
    <w:multiLevelType w:val="hybridMultilevel"/>
    <w:tmpl w:val="A1E0A4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0C7FBF"/>
    <w:multiLevelType w:val="hybridMultilevel"/>
    <w:tmpl w:val="0FACA4E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342D66"/>
    <w:multiLevelType w:val="hybridMultilevel"/>
    <w:tmpl w:val="DDCEAC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B450D8"/>
    <w:multiLevelType w:val="hybridMultilevel"/>
    <w:tmpl w:val="C7F4618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DA73F4"/>
    <w:multiLevelType w:val="hybridMultilevel"/>
    <w:tmpl w:val="3984C70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B83B0E"/>
    <w:multiLevelType w:val="hybridMultilevel"/>
    <w:tmpl w:val="801AD2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E24DC7"/>
    <w:multiLevelType w:val="hybridMultilevel"/>
    <w:tmpl w:val="446AF0EA"/>
    <w:lvl w:ilvl="0" w:tplc="4E5A5682">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344742196">
    <w:abstractNumId w:val="5"/>
  </w:num>
  <w:num w:numId="2" w16cid:durableId="1878929044">
    <w:abstractNumId w:val="3"/>
  </w:num>
  <w:num w:numId="3" w16cid:durableId="114063626">
    <w:abstractNumId w:val="6"/>
  </w:num>
  <w:num w:numId="4" w16cid:durableId="1033727586">
    <w:abstractNumId w:val="4"/>
  </w:num>
  <w:num w:numId="5" w16cid:durableId="1025902756">
    <w:abstractNumId w:val="7"/>
  </w:num>
  <w:num w:numId="6" w16cid:durableId="2009554437">
    <w:abstractNumId w:val="2"/>
  </w:num>
  <w:num w:numId="7" w16cid:durableId="1851672806">
    <w:abstractNumId w:val="0"/>
  </w:num>
  <w:num w:numId="8" w16cid:durableId="2105566282">
    <w:abstractNumId w:val="1"/>
  </w:num>
  <w:num w:numId="9" w16cid:durableId="3837174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D7"/>
    <w:rsid w:val="000011CE"/>
    <w:rsid w:val="00001D0B"/>
    <w:rsid w:val="00003A84"/>
    <w:rsid w:val="00004116"/>
    <w:rsid w:val="00005F4A"/>
    <w:rsid w:val="00006028"/>
    <w:rsid w:val="00012B89"/>
    <w:rsid w:val="00024688"/>
    <w:rsid w:val="0003045A"/>
    <w:rsid w:val="000308EC"/>
    <w:rsid w:val="00030BDA"/>
    <w:rsid w:val="00030D62"/>
    <w:rsid w:val="0003670D"/>
    <w:rsid w:val="000403D1"/>
    <w:rsid w:val="000415A7"/>
    <w:rsid w:val="0004292B"/>
    <w:rsid w:val="00043AD8"/>
    <w:rsid w:val="000457EE"/>
    <w:rsid w:val="00047269"/>
    <w:rsid w:val="000505F8"/>
    <w:rsid w:val="000515AD"/>
    <w:rsid w:val="000532FD"/>
    <w:rsid w:val="000537C3"/>
    <w:rsid w:val="000560F7"/>
    <w:rsid w:val="000570D7"/>
    <w:rsid w:val="000607AE"/>
    <w:rsid w:val="00060ACA"/>
    <w:rsid w:val="00061BD3"/>
    <w:rsid w:val="00062D98"/>
    <w:rsid w:val="00063020"/>
    <w:rsid w:val="00065098"/>
    <w:rsid w:val="00067924"/>
    <w:rsid w:val="000702D5"/>
    <w:rsid w:val="00070606"/>
    <w:rsid w:val="00072F92"/>
    <w:rsid w:val="000740B9"/>
    <w:rsid w:val="00075F27"/>
    <w:rsid w:val="00075FFF"/>
    <w:rsid w:val="00077878"/>
    <w:rsid w:val="000836FA"/>
    <w:rsid w:val="00084A50"/>
    <w:rsid w:val="00084D5A"/>
    <w:rsid w:val="00085970"/>
    <w:rsid w:val="00086178"/>
    <w:rsid w:val="00087FA6"/>
    <w:rsid w:val="000901A5"/>
    <w:rsid w:val="00092470"/>
    <w:rsid w:val="0009266D"/>
    <w:rsid w:val="00092BBF"/>
    <w:rsid w:val="00096ADC"/>
    <w:rsid w:val="000971E5"/>
    <w:rsid w:val="000A0AA7"/>
    <w:rsid w:val="000A5080"/>
    <w:rsid w:val="000A54FC"/>
    <w:rsid w:val="000A68DB"/>
    <w:rsid w:val="000B0491"/>
    <w:rsid w:val="000B0DC8"/>
    <w:rsid w:val="000B11D4"/>
    <w:rsid w:val="000B1DD3"/>
    <w:rsid w:val="000B6BBB"/>
    <w:rsid w:val="000B7902"/>
    <w:rsid w:val="000C4CFF"/>
    <w:rsid w:val="000C4F24"/>
    <w:rsid w:val="000C76AE"/>
    <w:rsid w:val="000D1541"/>
    <w:rsid w:val="000D34F8"/>
    <w:rsid w:val="000D51AF"/>
    <w:rsid w:val="000D68A2"/>
    <w:rsid w:val="000D74BA"/>
    <w:rsid w:val="000E026D"/>
    <w:rsid w:val="000E09C3"/>
    <w:rsid w:val="000E68B0"/>
    <w:rsid w:val="000E7470"/>
    <w:rsid w:val="000E78E1"/>
    <w:rsid w:val="000F024B"/>
    <w:rsid w:val="000F0965"/>
    <w:rsid w:val="000F12A7"/>
    <w:rsid w:val="000F12BA"/>
    <w:rsid w:val="000F18FA"/>
    <w:rsid w:val="000F1979"/>
    <w:rsid w:val="00100A80"/>
    <w:rsid w:val="00101077"/>
    <w:rsid w:val="00101178"/>
    <w:rsid w:val="0010168F"/>
    <w:rsid w:val="00106393"/>
    <w:rsid w:val="00106462"/>
    <w:rsid w:val="00107CFC"/>
    <w:rsid w:val="001116B0"/>
    <w:rsid w:val="00111ECB"/>
    <w:rsid w:val="001128C0"/>
    <w:rsid w:val="0011318D"/>
    <w:rsid w:val="00114A20"/>
    <w:rsid w:val="001153E2"/>
    <w:rsid w:val="00116BE3"/>
    <w:rsid w:val="0012092A"/>
    <w:rsid w:val="001221C9"/>
    <w:rsid w:val="001224D7"/>
    <w:rsid w:val="00122A0B"/>
    <w:rsid w:val="00125C81"/>
    <w:rsid w:val="00125D43"/>
    <w:rsid w:val="00127728"/>
    <w:rsid w:val="001277B7"/>
    <w:rsid w:val="00127F8C"/>
    <w:rsid w:val="00134CB4"/>
    <w:rsid w:val="00135F6C"/>
    <w:rsid w:val="00136CBC"/>
    <w:rsid w:val="00137374"/>
    <w:rsid w:val="00137A2D"/>
    <w:rsid w:val="0014104C"/>
    <w:rsid w:val="00142AEF"/>
    <w:rsid w:val="001436BE"/>
    <w:rsid w:val="00144591"/>
    <w:rsid w:val="001447F8"/>
    <w:rsid w:val="00144B8E"/>
    <w:rsid w:val="00144E63"/>
    <w:rsid w:val="00145646"/>
    <w:rsid w:val="001463C9"/>
    <w:rsid w:val="001516CD"/>
    <w:rsid w:val="00152610"/>
    <w:rsid w:val="00152949"/>
    <w:rsid w:val="00153AA2"/>
    <w:rsid w:val="001553F1"/>
    <w:rsid w:val="00161BA0"/>
    <w:rsid w:val="001773BE"/>
    <w:rsid w:val="00182EE6"/>
    <w:rsid w:val="00183DF4"/>
    <w:rsid w:val="001867E1"/>
    <w:rsid w:val="001869A1"/>
    <w:rsid w:val="001A055E"/>
    <w:rsid w:val="001A1FA7"/>
    <w:rsid w:val="001A2D4A"/>
    <w:rsid w:val="001A315E"/>
    <w:rsid w:val="001A443F"/>
    <w:rsid w:val="001A64C4"/>
    <w:rsid w:val="001B2220"/>
    <w:rsid w:val="001B44A1"/>
    <w:rsid w:val="001B79EB"/>
    <w:rsid w:val="001C089B"/>
    <w:rsid w:val="001C10E3"/>
    <w:rsid w:val="001C1A1E"/>
    <w:rsid w:val="001C1A5E"/>
    <w:rsid w:val="001C5A83"/>
    <w:rsid w:val="001C67F5"/>
    <w:rsid w:val="001C6E02"/>
    <w:rsid w:val="001D2C3F"/>
    <w:rsid w:val="001D5CE7"/>
    <w:rsid w:val="001D682D"/>
    <w:rsid w:val="001F2CB1"/>
    <w:rsid w:val="001F3339"/>
    <w:rsid w:val="001F563F"/>
    <w:rsid w:val="001F63D3"/>
    <w:rsid w:val="001F7F05"/>
    <w:rsid w:val="0020428E"/>
    <w:rsid w:val="0020431D"/>
    <w:rsid w:val="00205155"/>
    <w:rsid w:val="0020697A"/>
    <w:rsid w:val="00207B38"/>
    <w:rsid w:val="00211802"/>
    <w:rsid w:val="002120D3"/>
    <w:rsid w:val="00213128"/>
    <w:rsid w:val="00213B8C"/>
    <w:rsid w:val="002142B6"/>
    <w:rsid w:val="00215293"/>
    <w:rsid w:val="0021716A"/>
    <w:rsid w:val="002201CB"/>
    <w:rsid w:val="00224147"/>
    <w:rsid w:val="00224667"/>
    <w:rsid w:val="00227897"/>
    <w:rsid w:val="00230AC5"/>
    <w:rsid w:val="002311AE"/>
    <w:rsid w:val="0023272F"/>
    <w:rsid w:val="0023409C"/>
    <w:rsid w:val="00234A81"/>
    <w:rsid w:val="002355A8"/>
    <w:rsid w:val="00235787"/>
    <w:rsid w:val="00240EFB"/>
    <w:rsid w:val="002434EB"/>
    <w:rsid w:val="00244C94"/>
    <w:rsid w:val="00245238"/>
    <w:rsid w:val="0024530B"/>
    <w:rsid w:val="00247C77"/>
    <w:rsid w:val="00250908"/>
    <w:rsid w:val="00251B3B"/>
    <w:rsid w:val="002525A8"/>
    <w:rsid w:val="002533B8"/>
    <w:rsid w:val="00254D89"/>
    <w:rsid w:val="002567EC"/>
    <w:rsid w:val="00260AEC"/>
    <w:rsid w:val="002644C0"/>
    <w:rsid w:val="002645DD"/>
    <w:rsid w:val="00265696"/>
    <w:rsid w:val="00276127"/>
    <w:rsid w:val="00276533"/>
    <w:rsid w:val="00276DA8"/>
    <w:rsid w:val="00281D06"/>
    <w:rsid w:val="00291E31"/>
    <w:rsid w:val="002A009E"/>
    <w:rsid w:val="002A02EF"/>
    <w:rsid w:val="002A0470"/>
    <w:rsid w:val="002A1F0B"/>
    <w:rsid w:val="002A37E4"/>
    <w:rsid w:val="002A4127"/>
    <w:rsid w:val="002A5D00"/>
    <w:rsid w:val="002B1321"/>
    <w:rsid w:val="002B34A2"/>
    <w:rsid w:val="002B3622"/>
    <w:rsid w:val="002B6635"/>
    <w:rsid w:val="002C2BC0"/>
    <w:rsid w:val="002C43F2"/>
    <w:rsid w:val="002C5B8D"/>
    <w:rsid w:val="002D0953"/>
    <w:rsid w:val="002D2108"/>
    <w:rsid w:val="002D3914"/>
    <w:rsid w:val="002D6655"/>
    <w:rsid w:val="002D6923"/>
    <w:rsid w:val="002D790F"/>
    <w:rsid w:val="002E4462"/>
    <w:rsid w:val="002E5CBA"/>
    <w:rsid w:val="002E649A"/>
    <w:rsid w:val="002E7169"/>
    <w:rsid w:val="002E756E"/>
    <w:rsid w:val="002E7800"/>
    <w:rsid w:val="002F3513"/>
    <w:rsid w:val="002F4B2F"/>
    <w:rsid w:val="002F5B38"/>
    <w:rsid w:val="00302468"/>
    <w:rsid w:val="003032D1"/>
    <w:rsid w:val="00303909"/>
    <w:rsid w:val="0030450C"/>
    <w:rsid w:val="003070EB"/>
    <w:rsid w:val="003125F9"/>
    <w:rsid w:val="003127FE"/>
    <w:rsid w:val="00313430"/>
    <w:rsid w:val="003229C5"/>
    <w:rsid w:val="003231EA"/>
    <w:rsid w:val="00325EEE"/>
    <w:rsid w:val="00330982"/>
    <w:rsid w:val="00331D04"/>
    <w:rsid w:val="003357CD"/>
    <w:rsid w:val="00340839"/>
    <w:rsid w:val="00341375"/>
    <w:rsid w:val="003420D9"/>
    <w:rsid w:val="0034241D"/>
    <w:rsid w:val="00342627"/>
    <w:rsid w:val="003426EE"/>
    <w:rsid w:val="00344A4A"/>
    <w:rsid w:val="00344C55"/>
    <w:rsid w:val="00345BF9"/>
    <w:rsid w:val="00346784"/>
    <w:rsid w:val="00346B28"/>
    <w:rsid w:val="00351D1E"/>
    <w:rsid w:val="0036181A"/>
    <w:rsid w:val="00362DAA"/>
    <w:rsid w:val="00363663"/>
    <w:rsid w:val="003641D0"/>
    <w:rsid w:val="00364800"/>
    <w:rsid w:val="00367141"/>
    <w:rsid w:val="003675F0"/>
    <w:rsid w:val="00370368"/>
    <w:rsid w:val="003719A8"/>
    <w:rsid w:val="00372367"/>
    <w:rsid w:val="003756C5"/>
    <w:rsid w:val="00376A97"/>
    <w:rsid w:val="00380ABB"/>
    <w:rsid w:val="00381227"/>
    <w:rsid w:val="00384519"/>
    <w:rsid w:val="00384B81"/>
    <w:rsid w:val="0038518B"/>
    <w:rsid w:val="0038778B"/>
    <w:rsid w:val="00390A5E"/>
    <w:rsid w:val="003A1CA0"/>
    <w:rsid w:val="003A27F6"/>
    <w:rsid w:val="003A3D18"/>
    <w:rsid w:val="003A604E"/>
    <w:rsid w:val="003A651E"/>
    <w:rsid w:val="003A7992"/>
    <w:rsid w:val="003B118C"/>
    <w:rsid w:val="003B2E08"/>
    <w:rsid w:val="003B36AA"/>
    <w:rsid w:val="003C0DE1"/>
    <w:rsid w:val="003C1199"/>
    <w:rsid w:val="003C1202"/>
    <w:rsid w:val="003C3D72"/>
    <w:rsid w:val="003C6465"/>
    <w:rsid w:val="003D1307"/>
    <w:rsid w:val="003D16CB"/>
    <w:rsid w:val="003D1939"/>
    <w:rsid w:val="003D40CD"/>
    <w:rsid w:val="003D5E77"/>
    <w:rsid w:val="003D6CAD"/>
    <w:rsid w:val="003D70B2"/>
    <w:rsid w:val="003D765F"/>
    <w:rsid w:val="003E48F5"/>
    <w:rsid w:val="003E5922"/>
    <w:rsid w:val="003E5A9D"/>
    <w:rsid w:val="003E629D"/>
    <w:rsid w:val="003F200C"/>
    <w:rsid w:val="003F4183"/>
    <w:rsid w:val="003F634F"/>
    <w:rsid w:val="003F6ED2"/>
    <w:rsid w:val="00400352"/>
    <w:rsid w:val="004008F7"/>
    <w:rsid w:val="00400DF8"/>
    <w:rsid w:val="004016B7"/>
    <w:rsid w:val="00403006"/>
    <w:rsid w:val="00410357"/>
    <w:rsid w:val="00410BBB"/>
    <w:rsid w:val="004131D4"/>
    <w:rsid w:val="00413AF5"/>
    <w:rsid w:val="004142E0"/>
    <w:rsid w:val="004208F9"/>
    <w:rsid w:val="00424D18"/>
    <w:rsid w:val="00426A9A"/>
    <w:rsid w:val="00431533"/>
    <w:rsid w:val="0043154F"/>
    <w:rsid w:val="0043438B"/>
    <w:rsid w:val="00434457"/>
    <w:rsid w:val="0043537E"/>
    <w:rsid w:val="004357D2"/>
    <w:rsid w:val="004357E0"/>
    <w:rsid w:val="004369A3"/>
    <w:rsid w:val="00437985"/>
    <w:rsid w:val="00442377"/>
    <w:rsid w:val="0044283D"/>
    <w:rsid w:val="00442E98"/>
    <w:rsid w:val="00443607"/>
    <w:rsid w:val="00445A3D"/>
    <w:rsid w:val="00450D87"/>
    <w:rsid w:val="00451F07"/>
    <w:rsid w:val="00454D15"/>
    <w:rsid w:val="004565B9"/>
    <w:rsid w:val="004615F0"/>
    <w:rsid w:val="00464A85"/>
    <w:rsid w:val="00464E9B"/>
    <w:rsid w:val="00465EE9"/>
    <w:rsid w:val="00467A71"/>
    <w:rsid w:val="0047131B"/>
    <w:rsid w:val="00471BE3"/>
    <w:rsid w:val="0047285D"/>
    <w:rsid w:val="00473542"/>
    <w:rsid w:val="00480C1B"/>
    <w:rsid w:val="00483911"/>
    <w:rsid w:val="00483C49"/>
    <w:rsid w:val="00484504"/>
    <w:rsid w:val="004849FF"/>
    <w:rsid w:val="00484C2C"/>
    <w:rsid w:val="004867AE"/>
    <w:rsid w:val="00486D8B"/>
    <w:rsid w:val="0048703A"/>
    <w:rsid w:val="00490B38"/>
    <w:rsid w:val="004916B3"/>
    <w:rsid w:val="00492BA5"/>
    <w:rsid w:val="004962AB"/>
    <w:rsid w:val="00497C1F"/>
    <w:rsid w:val="004A1545"/>
    <w:rsid w:val="004A2B11"/>
    <w:rsid w:val="004A3503"/>
    <w:rsid w:val="004A378F"/>
    <w:rsid w:val="004A467A"/>
    <w:rsid w:val="004A50D1"/>
    <w:rsid w:val="004A5B91"/>
    <w:rsid w:val="004A6E32"/>
    <w:rsid w:val="004B0048"/>
    <w:rsid w:val="004B0095"/>
    <w:rsid w:val="004B1DF6"/>
    <w:rsid w:val="004B7471"/>
    <w:rsid w:val="004C3E48"/>
    <w:rsid w:val="004C4FE2"/>
    <w:rsid w:val="004C6F7A"/>
    <w:rsid w:val="004C786F"/>
    <w:rsid w:val="004D09BF"/>
    <w:rsid w:val="004D19A7"/>
    <w:rsid w:val="004D3575"/>
    <w:rsid w:val="004D3D98"/>
    <w:rsid w:val="004E1B86"/>
    <w:rsid w:val="004E373B"/>
    <w:rsid w:val="004E38E9"/>
    <w:rsid w:val="004E6A77"/>
    <w:rsid w:val="004E783A"/>
    <w:rsid w:val="004E78D4"/>
    <w:rsid w:val="004E79B5"/>
    <w:rsid w:val="004F1C56"/>
    <w:rsid w:val="004F3576"/>
    <w:rsid w:val="004F383A"/>
    <w:rsid w:val="004F51A6"/>
    <w:rsid w:val="004F5D05"/>
    <w:rsid w:val="004F6E86"/>
    <w:rsid w:val="005018F7"/>
    <w:rsid w:val="00503E30"/>
    <w:rsid w:val="0050409F"/>
    <w:rsid w:val="0050774F"/>
    <w:rsid w:val="00510803"/>
    <w:rsid w:val="00510B4E"/>
    <w:rsid w:val="00513CD8"/>
    <w:rsid w:val="0051443A"/>
    <w:rsid w:val="00515666"/>
    <w:rsid w:val="00516DBA"/>
    <w:rsid w:val="005242F8"/>
    <w:rsid w:val="00526296"/>
    <w:rsid w:val="005262D1"/>
    <w:rsid w:val="00527A5D"/>
    <w:rsid w:val="00527FBA"/>
    <w:rsid w:val="00530BAE"/>
    <w:rsid w:val="0053173F"/>
    <w:rsid w:val="0053325C"/>
    <w:rsid w:val="00534DD3"/>
    <w:rsid w:val="005354FB"/>
    <w:rsid w:val="00537828"/>
    <w:rsid w:val="00540165"/>
    <w:rsid w:val="00540ECB"/>
    <w:rsid w:val="005418D8"/>
    <w:rsid w:val="005418E7"/>
    <w:rsid w:val="0054288C"/>
    <w:rsid w:val="005431CA"/>
    <w:rsid w:val="0054349C"/>
    <w:rsid w:val="005479BA"/>
    <w:rsid w:val="0055009C"/>
    <w:rsid w:val="0055294E"/>
    <w:rsid w:val="00553343"/>
    <w:rsid w:val="00554EBF"/>
    <w:rsid w:val="005551CE"/>
    <w:rsid w:val="00555292"/>
    <w:rsid w:val="00555509"/>
    <w:rsid w:val="00561623"/>
    <w:rsid w:val="00561904"/>
    <w:rsid w:val="00562DD8"/>
    <w:rsid w:val="00563507"/>
    <w:rsid w:val="0056352A"/>
    <w:rsid w:val="0057136A"/>
    <w:rsid w:val="00576BD1"/>
    <w:rsid w:val="00576C9B"/>
    <w:rsid w:val="00582494"/>
    <w:rsid w:val="005838AE"/>
    <w:rsid w:val="00584651"/>
    <w:rsid w:val="00584F76"/>
    <w:rsid w:val="005857F9"/>
    <w:rsid w:val="005905BD"/>
    <w:rsid w:val="00594F5B"/>
    <w:rsid w:val="00596FB9"/>
    <w:rsid w:val="005A32D2"/>
    <w:rsid w:val="005A75F9"/>
    <w:rsid w:val="005A779D"/>
    <w:rsid w:val="005B044D"/>
    <w:rsid w:val="005B1174"/>
    <w:rsid w:val="005B2702"/>
    <w:rsid w:val="005B4FDF"/>
    <w:rsid w:val="005B5F24"/>
    <w:rsid w:val="005B69E4"/>
    <w:rsid w:val="005C5BF8"/>
    <w:rsid w:val="005C5C02"/>
    <w:rsid w:val="005C6EB0"/>
    <w:rsid w:val="005C7849"/>
    <w:rsid w:val="005D0621"/>
    <w:rsid w:val="005D261C"/>
    <w:rsid w:val="005D59FC"/>
    <w:rsid w:val="005D6164"/>
    <w:rsid w:val="005E0A61"/>
    <w:rsid w:val="005E1B88"/>
    <w:rsid w:val="005E3835"/>
    <w:rsid w:val="005E3F79"/>
    <w:rsid w:val="005E6B0B"/>
    <w:rsid w:val="005E72D8"/>
    <w:rsid w:val="005F271B"/>
    <w:rsid w:val="005F42CC"/>
    <w:rsid w:val="00600769"/>
    <w:rsid w:val="00600A70"/>
    <w:rsid w:val="00600E1B"/>
    <w:rsid w:val="006035C4"/>
    <w:rsid w:val="00603B58"/>
    <w:rsid w:val="00610A95"/>
    <w:rsid w:val="00610BA3"/>
    <w:rsid w:val="00612566"/>
    <w:rsid w:val="00614218"/>
    <w:rsid w:val="0061570C"/>
    <w:rsid w:val="006207CD"/>
    <w:rsid w:val="0062295E"/>
    <w:rsid w:val="0062366B"/>
    <w:rsid w:val="0062375E"/>
    <w:rsid w:val="00624CF9"/>
    <w:rsid w:val="006252EF"/>
    <w:rsid w:val="00626D08"/>
    <w:rsid w:val="00631A4A"/>
    <w:rsid w:val="00631A85"/>
    <w:rsid w:val="006371B2"/>
    <w:rsid w:val="00637F9F"/>
    <w:rsid w:val="00642309"/>
    <w:rsid w:val="00643A3A"/>
    <w:rsid w:val="00646748"/>
    <w:rsid w:val="00653D88"/>
    <w:rsid w:val="00653FBE"/>
    <w:rsid w:val="00654D0F"/>
    <w:rsid w:val="00657A16"/>
    <w:rsid w:val="00660BB9"/>
    <w:rsid w:val="006611A1"/>
    <w:rsid w:val="00661BAF"/>
    <w:rsid w:val="0066416E"/>
    <w:rsid w:val="0066468B"/>
    <w:rsid w:val="0067139D"/>
    <w:rsid w:val="00676276"/>
    <w:rsid w:val="00677FB6"/>
    <w:rsid w:val="006852EA"/>
    <w:rsid w:val="00685D66"/>
    <w:rsid w:val="0068652C"/>
    <w:rsid w:val="00686E3A"/>
    <w:rsid w:val="00697E55"/>
    <w:rsid w:val="006A01FA"/>
    <w:rsid w:val="006A14EC"/>
    <w:rsid w:val="006A5CD0"/>
    <w:rsid w:val="006B016E"/>
    <w:rsid w:val="006B36AC"/>
    <w:rsid w:val="006B3E33"/>
    <w:rsid w:val="006B5825"/>
    <w:rsid w:val="006C1D95"/>
    <w:rsid w:val="006C2F97"/>
    <w:rsid w:val="006C71A3"/>
    <w:rsid w:val="006D0394"/>
    <w:rsid w:val="006D3189"/>
    <w:rsid w:val="006D3DE6"/>
    <w:rsid w:val="006E1EC7"/>
    <w:rsid w:val="006E4515"/>
    <w:rsid w:val="006E4678"/>
    <w:rsid w:val="006E75E5"/>
    <w:rsid w:val="006F0740"/>
    <w:rsid w:val="006F1E2F"/>
    <w:rsid w:val="0070278C"/>
    <w:rsid w:val="007051EA"/>
    <w:rsid w:val="00706299"/>
    <w:rsid w:val="00706938"/>
    <w:rsid w:val="00707117"/>
    <w:rsid w:val="00715421"/>
    <w:rsid w:val="00720FFD"/>
    <w:rsid w:val="007213EB"/>
    <w:rsid w:val="007214BF"/>
    <w:rsid w:val="0072211B"/>
    <w:rsid w:val="00724800"/>
    <w:rsid w:val="00726F9B"/>
    <w:rsid w:val="00727614"/>
    <w:rsid w:val="00730CAD"/>
    <w:rsid w:val="00734643"/>
    <w:rsid w:val="00734C8B"/>
    <w:rsid w:val="00737FF0"/>
    <w:rsid w:val="00740AA0"/>
    <w:rsid w:val="007432BC"/>
    <w:rsid w:val="00750964"/>
    <w:rsid w:val="00750D34"/>
    <w:rsid w:val="00756653"/>
    <w:rsid w:val="00757714"/>
    <w:rsid w:val="007578B3"/>
    <w:rsid w:val="00757A7E"/>
    <w:rsid w:val="007614FE"/>
    <w:rsid w:val="00761D59"/>
    <w:rsid w:val="007648EB"/>
    <w:rsid w:val="0076550C"/>
    <w:rsid w:val="00765D2F"/>
    <w:rsid w:val="0076658E"/>
    <w:rsid w:val="0077758E"/>
    <w:rsid w:val="0078231B"/>
    <w:rsid w:val="00784A69"/>
    <w:rsid w:val="0078514B"/>
    <w:rsid w:val="00786AD4"/>
    <w:rsid w:val="0078792A"/>
    <w:rsid w:val="00787CA6"/>
    <w:rsid w:val="00787EF9"/>
    <w:rsid w:val="007903EC"/>
    <w:rsid w:val="00791BC9"/>
    <w:rsid w:val="0079733E"/>
    <w:rsid w:val="007A260D"/>
    <w:rsid w:val="007A2EDF"/>
    <w:rsid w:val="007A5F06"/>
    <w:rsid w:val="007A6510"/>
    <w:rsid w:val="007A6E87"/>
    <w:rsid w:val="007A7CDE"/>
    <w:rsid w:val="007A7EE8"/>
    <w:rsid w:val="007B1F8B"/>
    <w:rsid w:val="007B1FD5"/>
    <w:rsid w:val="007B505E"/>
    <w:rsid w:val="007B5AB7"/>
    <w:rsid w:val="007B6B0A"/>
    <w:rsid w:val="007C02B4"/>
    <w:rsid w:val="007C05D9"/>
    <w:rsid w:val="007C05E5"/>
    <w:rsid w:val="007C2617"/>
    <w:rsid w:val="007C2B15"/>
    <w:rsid w:val="007C5823"/>
    <w:rsid w:val="007D01E4"/>
    <w:rsid w:val="007D1495"/>
    <w:rsid w:val="007D1E74"/>
    <w:rsid w:val="007D7A87"/>
    <w:rsid w:val="007E38AE"/>
    <w:rsid w:val="007E3E33"/>
    <w:rsid w:val="007E418C"/>
    <w:rsid w:val="007E44CD"/>
    <w:rsid w:val="007E6EF7"/>
    <w:rsid w:val="007F05B6"/>
    <w:rsid w:val="007F2B5E"/>
    <w:rsid w:val="007F4B71"/>
    <w:rsid w:val="008024A7"/>
    <w:rsid w:val="00805A6E"/>
    <w:rsid w:val="00806C20"/>
    <w:rsid w:val="00810512"/>
    <w:rsid w:val="008124D9"/>
    <w:rsid w:val="008136B3"/>
    <w:rsid w:val="008153E4"/>
    <w:rsid w:val="008203EC"/>
    <w:rsid w:val="008205C3"/>
    <w:rsid w:val="00820EB4"/>
    <w:rsid w:val="00821B10"/>
    <w:rsid w:val="008220D8"/>
    <w:rsid w:val="00822CB0"/>
    <w:rsid w:val="008238F0"/>
    <w:rsid w:val="0082573E"/>
    <w:rsid w:val="0083002A"/>
    <w:rsid w:val="00831157"/>
    <w:rsid w:val="00832500"/>
    <w:rsid w:val="00833942"/>
    <w:rsid w:val="00842C86"/>
    <w:rsid w:val="008444EA"/>
    <w:rsid w:val="00845A75"/>
    <w:rsid w:val="008542D6"/>
    <w:rsid w:val="0085465C"/>
    <w:rsid w:val="00856BBC"/>
    <w:rsid w:val="008605D5"/>
    <w:rsid w:val="0086072C"/>
    <w:rsid w:val="008641B2"/>
    <w:rsid w:val="00866926"/>
    <w:rsid w:val="0087057B"/>
    <w:rsid w:val="00870839"/>
    <w:rsid w:val="008721AC"/>
    <w:rsid w:val="008746CB"/>
    <w:rsid w:val="008755AC"/>
    <w:rsid w:val="0087712C"/>
    <w:rsid w:val="00877E3C"/>
    <w:rsid w:val="00883467"/>
    <w:rsid w:val="00884C3C"/>
    <w:rsid w:val="00886380"/>
    <w:rsid w:val="00890104"/>
    <w:rsid w:val="00891ED4"/>
    <w:rsid w:val="008923F4"/>
    <w:rsid w:val="00894F7B"/>
    <w:rsid w:val="008955B9"/>
    <w:rsid w:val="00896C9A"/>
    <w:rsid w:val="008979EF"/>
    <w:rsid w:val="008A0AB5"/>
    <w:rsid w:val="008A13C4"/>
    <w:rsid w:val="008A15AF"/>
    <w:rsid w:val="008A1776"/>
    <w:rsid w:val="008A3ACA"/>
    <w:rsid w:val="008A3F93"/>
    <w:rsid w:val="008A6535"/>
    <w:rsid w:val="008A774A"/>
    <w:rsid w:val="008B256A"/>
    <w:rsid w:val="008B2DD5"/>
    <w:rsid w:val="008B3408"/>
    <w:rsid w:val="008B72AE"/>
    <w:rsid w:val="008C19BA"/>
    <w:rsid w:val="008C4C6A"/>
    <w:rsid w:val="008C7A34"/>
    <w:rsid w:val="008D101B"/>
    <w:rsid w:val="008D1CA2"/>
    <w:rsid w:val="008D5AF4"/>
    <w:rsid w:val="008D6CDA"/>
    <w:rsid w:val="008E3583"/>
    <w:rsid w:val="008F000F"/>
    <w:rsid w:val="008F04BD"/>
    <w:rsid w:val="008F0CB4"/>
    <w:rsid w:val="008F35BC"/>
    <w:rsid w:val="008F6666"/>
    <w:rsid w:val="00900559"/>
    <w:rsid w:val="009008ED"/>
    <w:rsid w:val="00900A8D"/>
    <w:rsid w:val="00901326"/>
    <w:rsid w:val="00903C49"/>
    <w:rsid w:val="00904557"/>
    <w:rsid w:val="00905664"/>
    <w:rsid w:val="0090580D"/>
    <w:rsid w:val="0090635A"/>
    <w:rsid w:val="0090778D"/>
    <w:rsid w:val="00910D1C"/>
    <w:rsid w:val="009135EF"/>
    <w:rsid w:val="00915B79"/>
    <w:rsid w:val="00916848"/>
    <w:rsid w:val="009168F1"/>
    <w:rsid w:val="0092043F"/>
    <w:rsid w:val="0092315A"/>
    <w:rsid w:val="0092458C"/>
    <w:rsid w:val="00930ACC"/>
    <w:rsid w:val="00932B9B"/>
    <w:rsid w:val="00936071"/>
    <w:rsid w:val="009366AE"/>
    <w:rsid w:val="009369EA"/>
    <w:rsid w:val="00936C0F"/>
    <w:rsid w:val="009375F7"/>
    <w:rsid w:val="00941DDF"/>
    <w:rsid w:val="00942FA3"/>
    <w:rsid w:val="0094617F"/>
    <w:rsid w:val="00946A57"/>
    <w:rsid w:val="0094746D"/>
    <w:rsid w:val="0094780A"/>
    <w:rsid w:val="00952EAB"/>
    <w:rsid w:val="009546B3"/>
    <w:rsid w:val="00957DE3"/>
    <w:rsid w:val="00964FB0"/>
    <w:rsid w:val="00965371"/>
    <w:rsid w:val="00974896"/>
    <w:rsid w:val="00975444"/>
    <w:rsid w:val="00975C99"/>
    <w:rsid w:val="009809FF"/>
    <w:rsid w:val="00984DB3"/>
    <w:rsid w:val="00984ED2"/>
    <w:rsid w:val="00986A4F"/>
    <w:rsid w:val="00990A31"/>
    <w:rsid w:val="00996055"/>
    <w:rsid w:val="009965D2"/>
    <w:rsid w:val="009A2994"/>
    <w:rsid w:val="009A79DD"/>
    <w:rsid w:val="009B0814"/>
    <w:rsid w:val="009B20C9"/>
    <w:rsid w:val="009B2C93"/>
    <w:rsid w:val="009B42CB"/>
    <w:rsid w:val="009B5FD9"/>
    <w:rsid w:val="009C3F97"/>
    <w:rsid w:val="009C4324"/>
    <w:rsid w:val="009C603F"/>
    <w:rsid w:val="009C64ED"/>
    <w:rsid w:val="009C75B9"/>
    <w:rsid w:val="009C7F74"/>
    <w:rsid w:val="009D0454"/>
    <w:rsid w:val="009D273D"/>
    <w:rsid w:val="009D64B6"/>
    <w:rsid w:val="009D6AEE"/>
    <w:rsid w:val="009D7681"/>
    <w:rsid w:val="009E14AC"/>
    <w:rsid w:val="009E2544"/>
    <w:rsid w:val="009E3700"/>
    <w:rsid w:val="009E492D"/>
    <w:rsid w:val="009E52AC"/>
    <w:rsid w:val="009E6132"/>
    <w:rsid w:val="009E7FD3"/>
    <w:rsid w:val="009F0A6A"/>
    <w:rsid w:val="009F0EE7"/>
    <w:rsid w:val="009F1264"/>
    <w:rsid w:val="009F3132"/>
    <w:rsid w:val="009F3B66"/>
    <w:rsid w:val="009F4F5E"/>
    <w:rsid w:val="00A00307"/>
    <w:rsid w:val="00A005B0"/>
    <w:rsid w:val="00A02AFA"/>
    <w:rsid w:val="00A05DD4"/>
    <w:rsid w:val="00A07238"/>
    <w:rsid w:val="00A12158"/>
    <w:rsid w:val="00A1410F"/>
    <w:rsid w:val="00A14711"/>
    <w:rsid w:val="00A15961"/>
    <w:rsid w:val="00A15EDA"/>
    <w:rsid w:val="00A16FB1"/>
    <w:rsid w:val="00A175EA"/>
    <w:rsid w:val="00A30F33"/>
    <w:rsid w:val="00A34CE2"/>
    <w:rsid w:val="00A35011"/>
    <w:rsid w:val="00A35FBF"/>
    <w:rsid w:val="00A40D67"/>
    <w:rsid w:val="00A43946"/>
    <w:rsid w:val="00A475E5"/>
    <w:rsid w:val="00A52C1B"/>
    <w:rsid w:val="00A57698"/>
    <w:rsid w:val="00A62117"/>
    <w:rsid w:val="00A630F8"/>
    <w:rsid w:val="00A65D6E"/>
    <w:rsid w:val="00A6658C"/>
    <w:rsid w:val="00A6729F"/>
    <w:rsid w:val="00A7092F"/>
    <w:rsid w:val="00A70CE8"/>
    <w:rsid w:val="00A71A78"/>
    <w:rsid w:val="00A723F1"/>
    <w:rsid w:val="00A72B65"/>
    <w:rsid w:val="00A75C12"/>
    <w:rsid w:val="00A838C8"/>
    <w:rsid w:val="00A84097"/>
    <w:rsid w:val="00A844F2"/>
    <w:rsid w:val="00A906E2"/>
    <w:rsid w:val="00A92A7B"/>
    <w:rsid w:val="00A93404"/>
    <w:rsid w:val="00A948C9"/>
    <w:rsid w:val="00A9512A"/>
    <w:rsid w:val="00AA2293"/>
    <w:rsid w:val="00AA2326"/>
    <w:rsid w:val="00AA5A25"/>
    <w:rsid w:val="00AB0C54"/>
    <w:rsid w:val="00AB2DB5"/>
    <w:rsid w:val="00AB7E49"/>
    <w:rsid w:val="00AC12AC"/>
    <w:rsid w:val="00AC3B03"/>
    <w:rsid w:val="00AC5A07"/>
    <w:rsid w:val="00AD01C4"/>
    <w:rsid w:val="00AD0687"/>
    <w:rsid w:val="00AD1650"/>
    <w:rsid w:val="00AD206F"/>
    <w:rsid w:val="00AD2A03"/>
    <w:rsid w:val="00AD31CE"/>
    <w:rsid w:val="00AD676A"/>
    <w:rsid w:val="00AD6D33"/>
    <w:rsid w:val="00AE431D"/>
    <w:rsid w:val="00AE47DB"/>
    <w:rsid w:val="00AE69FC"/>
    <w:rsid w:val="00AF012A"/>
    <w:rsid w:val="00AF58F2"/>
    <w:rsid w:val="00AF6BCD"/>
    <w:rsid w:val="00AF7CF2"/>
    <w:rsid w:val="00B0039C"/>
    <w:rsid w:val="00B01254"/>
    <w:rsid w:val="00B06195"/>
    <w:rsid w:val="00B072F1"/>
    <w:rsid w:val="00B07AAE"/>
    <w:rsid w:val="00B10113"/>
    <w:rsid w:val="00B1386A"/>
    <w:rsid w:val="00B146CA"/>
    <w:rsid w:val="00B1615D"/>
    <w:rsid w:val="00B258AF"/>
    <w:rsid w:val="00B336A2"/>
    <w:rsid w:val="00B33E95"/>
    <w:rsid w:val="00B3663F"/>
    <w:rsid w:val="00B36BDC"/>
    <w:rsid w:val="00B36EF2"/>
    <w:rsid w:val="00B40F26"/>
    <w:rsid w:val="00B4399C"/>
    <w:rsid w:val="00B44D37"/>
    <w:rsid w:val="00B45A60"/>
    <w:rsid w:val="00B517B5"/>
    <w:rsid w:val="00B549F6"/>
    <w:rsid w:val="00B55557"/>
    <w:rsid w:val="00B5788E"/>
    <w:rsid w:val="00B603DB"/>
    <w:rsid w:val="00B61005"/>
    <w:rsid w:val="00B61010"/>
    <w:rsid w:val="00B62405"/>
    <w:rsid w:val="00B65FB3"/>
    <w:rsid w:val="00B70504"/>
    <w:rsid w:val="00B7276B"/>
    <w:rsid w:val="00B7312A"/>
    <w:rsid w:val="00B73B45"/>
    <w:rsid w:val="00B748DA"/>
    <w:rsid w:val="00B749D2"/>
    <w:rsid w:val="00B76C86"/>
    <w:rsid w:val="00B77D89"/>
    <w:rsid w:val="00B813C8"/>
    <w:rsid w:val="00B81F13"/>
    <w:rsid w:val="00B82F9E"/>
    <w:rsid w:val="00B840C7"/>
    <w:rsid w:val="00B84131"/>
    <w:rsid w:val="00B86627"/>
    <w:rsid w:val="00B866AD"/>
    <w:rsid w:val="00B879BD"/>
    <w:rsid w:val="00B91315"/>
    <w:rsid w:val="00B913E9"/>
    <w:rsid w:val="00B92594"/>
    <w:rsid w:val="00B92AAD"/>
    <w:rsid w:val="00B92F43"/>
    <w:rsid w:val="00B93BB7"/>
    <w:rsid w:val="00BA17D1"/>
    <w:rsid w:val="00BA1A65"/>
    <w:rsid w:val="00BA232A"/>
    <w:rsid w:val="00BA41E4"/>
    <w:rsid w:val="00BA65C3"/>
    <w:rsid w:val="00BA78A2"/>
    <w:rsid w:val="00BA7AF1"/>
    <w:rsid w:val="00BB1171"/>
    <w:rsid w:val="00BB24C9"/>
    <w:rsid w:val="00BB36C9"/>
    <w:rsid w:val="00BB6C83"/>
    <w:rsid w:val="00BB7232"/>
    <w:rsid w:val="00BB72F5"/>
    <w:rsid w:val="00BC07E7"/>
    <w:rsid w:val="00BC2436"/>
    <w:rsid w:val="00BC31AD"/>
    <w:rsid w:val="00BC5819"/>
    <w:rsid w:val="00BD1A11"/>
    <w:rsid w:val="00BD5B28"/>
    <w:rsid w:val="00BD7416"/>
    <w:rsid w:val="00BE0166"/>
    <w:rsid w:val="00BE2289"/>
    <w:rsid w:val="00BE30FB"/>
    <w:rsid w:val="00BE4B29"/>
    <w:rsid w:val="00BE72E6"/>
    <w:rsid w:val="00BF277F"/>
    <w:rsid w:val="00BF2938"/>
    <w:rsid w:val="00BF2FEB"/>
    <w:rsid w:val="00BF634E"/>
    <w:rsid w:val="00C057D7"/>
    <w:rsid w:val="00C05D2E"/>
    <w:rsid w:val="00C0773D"/>
    <w:rsid w:val="00C07A68"/>
    <w:rsid w:val="00C10058"/>
    <w:rsid w:val="00C15E0F"/>
    <w:rsid w:val="00C16057"/>
    <w:rsid w:val="00C17F89"/>
    <w:rsid w:val="00C228FE"/>
    <w:rsid w:val="00C23FD5"/>
    <w:rsid w:val="00C37C9D"/>
    <w:rsid w:val="00C41CEC"/>
    <w:rsid w:val="00C437E1"/>
    <w:rsid w:val="00C466A2"/>
    <w:rsid w:val="00C47BD5"/>
    <w:rsid w:val="00C47F91"/>
    <w:rsid w:val="00C51D68"/>
    <w:rsid w:val="00C524D0"/>
    <w:rsid w:val="00C527C9"/>
    <w:rsid w:val="00C530BC"/>
    <w:rsid w:val="00C56174"/>
    <w:rsid w:val="00C57E60"/>
    <w:rsid w:val="00C60B35"/>
    <w:rsid w:val="00C61D9A"/>
    <w:rsid w:val="00C61F48"/>
    <w:rsid w:val="00C621DF"/>
    <w:rsid w:val="00C703BA"/>
    <w:rsid w:val="00C8256B"/>
    <w:rsid w:val="00C8338D"/>
    <w:rsid w:val="00C84EC0"/>
    <w:rsid w:val="00C87BCC"/>
    <w:rsid w:val="00C90DA1"/>
    <w:rsid w:val="00C91F1A"/>
    <w:rsid w:val="00C9207D"/>
    <w:rsid w:val="00C92515"/>
    <w:rsid w:val="00C940D4"/>
    <w:rsid w:val="00C9528D"/>
    <w:rsid w:val="00C97D4E"/>
    <w:rsid w:val="00CA13C0"/>
    <w:rsid w:val="00CA49BB"/>
    <w:rsid w:val="00CA4EED"/>
    <w:rsid w:val="00CA679A"/>
    <w:rsid w:val="00CA7EDC"/>
    <w:rsid w:val="00CB26C1"/>
    <w:rsid w:val="00CB556F"/>
    <w:rsid w:val="00CB6AA3"/>
    <w:rsid w:val="00CB7864"/>
    <w:rsid w:val="00CC1E49"/>
    <w:rsid w:val="00CC4406"/>
    <w:rsid w:val="00CC5A10"/>
    <w:rsid w:val="00CC5CE0"/>
    <w:rsid w:val="00CD00DB"/>
    <w:rsid w:val="00CD18B0"/>
    <w:rsid w:val="00CD3D4A"/>
    <w:rsid w:val="00CD53FD"/>
    <w:rsid w:val="00CD5FC6"/>
    <w:rsid w:val="00CD794A"/>
    <w:rsid w:val="00CE01B2"/>
    <w:rsid w:val="00CE0231"/>
    <w:rsid w:val="00CE519A"/>
    <w:rsid w:val="00CF0B1C"/>
    <w:rsid w:val="00CF58B2"/>
    <w:rsid w:val="00CF593F"/>
    <w:rsid w:val="00CF60FE"/>
    <w:rsid w:val="00D04975"/>
    <w:rsid w:val="00D0510C"/>
    <w:rsid w:val="00D07603"/>
    <w:rsid w:val="00D11718"/>
    <w:rsid w:val="00D11B8B"/>
    <w:rsid w:val="00D14AD2"/>
    <w:rsid w:val="00D1656D"/>
    <w:rsid w:val="00D2087D"/>
    <w:rsid w:val="00D22469"/>
    <w:rsid w:val="00D2646E"/>
    <w:rsid w:val="00D27B18"/>
    <w:rsid w:val="00D31140"/>
    <w:rsid w:val="00D32FA8"/>
    <w:rsid w:val="00D40E3A"/>
    <w:rsid w:val="00D41813"/>
    <w:rsid w:val="00D418CF"/>
    <w:rsid w:val="00D420B8"/>
    <w:rsid w:val="00D432E9"/>
    <w:rsid w:val="00D4509C"/>
    <w:rsid w:val="00D457EE"/>
    <w:rsid w:val="00D459AF"/>
    <w:rsid w:val="00D45B99"/>
    <w:rsid w:val="00D477EE"/>
    <w:rsid w:val="00D47A21"/>
    <w:rsid w:val="00D50355"/>
    <w:rsid w:val="00D50F19"/>
    <w:rsid w:val="00D529B5"/>
    <w:rsid w:val="00D53544"/>
    <w:rsid w:val="00D538E5"/>
    <w:rsid w:val="00D5399A"/>
    <w:rsid w:val="00D53AB6"/>
    <w:rsid w:val="00D549A7"/>
    <w:rsid w:val="00D57916"/>
    <w:rsid w:val="00D60646"/>
    <w:rsid w:val="00D6159C"/>
    <w:rsid w:val="00D64329"/>
    <w:rsid w:val="00D648F7"/>
    <w:rsid w:val="00D65D8E"/>
    <w:rsid w:val="00D662B7"/>
    <w:rsid w:val="00D74CEC"/>
    <w:rsid w:val="00D8114B"/>
    <w:rsid w:val="00D8261A"/>
    <w:rsid w:val="00D8448F"/>
    <w:rsid w:val="00D901A5"/>
    <w:rsid w:val="00D90932"/>
    <w:rsid w:val="00D90EA7"/>
    <w:rsid w:val="00D95B8B"/>
    <w:rsid w:val="00DB10E5"/>
    <w:rsid w:val="00DC1324"/>
    <w:rsid w:val="00DC1494"/>
    <w:rsid w:val="00DC1622"/>
    <w:rsid w:val="00DC23FC"/>
    <w:rsid w:val="00DC2431"/>
    <w:rsid w:val="00DC4558"/>
    <w:rsid w:val="00DC5596"/>
    <w:rsid w:val="00DC7835"/>
    <w:rsid w:val="00DD1DAA"/>
    <w:rsid w:val="00DE0D63"/>
    <w:rsid w:val="00DE3435"/>
    <w:rsid w:val="00DE3A9A"/>
    <w:rsid w:val="00DE7049"/>
    <w:rsid w:val="00DF1027"/>
    <w:rsid w:val="00DF1883"/>
    <w:rsid w:val="00DF2C4C"/>
    <w:rsid w:val="00DF480E"/>
    <w:rsid w:val="00DF4AA6"/>
    <w:rsid w:val="00DF68AF"/>
    <w:rsid w:val="00DF6E2F"/>
    <w:rsid w:val="00E00FD6"/>
    <w:rsid w:val="00E013E9"/>
    <w:rsid w:val="00E0475A"/>
    <w:rsid w:val="00E0787B"/>
    <w:rsid w:val="00E100F9"/>
    <w:rsid w:val="00E1122D"/>
    <w:rsid w:val="00E113D7"/>
    <w:rsid w:val="00E11426"/>
    <w:rsid w:val="00E11CD9"/>
    <w:rsid w:val="00E13A88"/>
    <w:rsid w:val="00E14137"/>
    <w:rsid w:val="00E1435A"/>
    <w:rsid w:val="00E14761"/>
    <w:rsid w:val="00E14827"/>
    <w:rsid w:val="00E154D2"/>
    <w:rsid w:val="00E17734"/>
    <w:rsid w:val="00E17A38"/>
    <w:rsid w:val="00E2291B"/>
    <w:rsid w:val="00E24677"/>
    <w:rsid w:val="00E26BCE"/>
    <w:rsid w:val="00E278B5"/>
    <w:rsid w:val="00E3393B"/>
    <w:rsid w:val="00E34E8C"/>
    <w:rsid w:val="00E3714A"/>
    <w:rsid w:val="00E3755A"/>
    <w:rsid w:val="00E40262"/>
    <w:rsid w:val="00E44A47"/>
    <w:rsid w:val="00E44AD8"/>
    <w:rsid w:val="00E45648"/>
    <w:rsid w:val="00E45976"/>
    <w:rsid w:val="00E46AAC"/>
    <w:rsid w:val="00E51C88"/>
    <w:rsid w:val="00E51F01"/>
    <w:rsid w:val="00E537ED"/>
    <w:rsid w:val="00E54518"/>
    <w:rsid w:val="00E54EC0"/>
    <w:rsid w:val="00E57BEB"/>
    <w:rsid w:val="00E6047A"/>
    <w:rsid w:val="00E63401"/>
    <w:rsid w:val="00E647E6"/>
    <w:rsid w:val="00E664BE"/>
    <w:rsid w:val="00E70086"/>
    <w:rsid w:val="00E71C50"/>
    <w:rsid w:val="00E72A31"/>
    <w:rsid w:val="00E73EAD"/>
    <w:rsid w:val="00E76C21"/>
    <w:rsid w:val="00E76CEB"/>
    <w:rsid w:val="00E76EED"/>
    <w:rsid w:val="00E80A0E"/>
    <w:rsid w:val="00E80B6B"/>
    <w:rsid w:val="00E838F4"/>
    <w:rsid w:val="00E87601"/>
    <w:rsid w:val="00E9118E"/>
    <w:rsid w:val="00E97447"/>
    <w:rsid w:val="00EA0B44"/>
    <w:rsid w:val="00EA2600"/>
    <w:rsid w:val="00EA2930"/>
    <w:rsid w:val="00EA3A71"/>
    <w:rsid w:val="00EA3C2C"/>
    <w:rsid w:val="00EA48E2"/>
    <w:rsid w:val="00EA4B8F"/>
    <w:rsid w:val="00EA7D75"/>
    <w:rsid w:val="00EB30B2"/>
    <w:rsid w:val="00EB5B95"/>
    <w:rsid w:val="00EC106C"/>
    <w:rsid w:val="00EC1B52"/>
    <w:rsid w:val="00EC1F84"/>
    <w:rsid w:val="00EC2517"/>
    <w:rsid w:val="00EC302D"/>
    <w:rsid w:val="00EC3BED"/>
    <w:rsid w:val="00EC4013"/>
    <w:rsid w:val="00EC40E2"/>
    <w:rsid w:val="00EC5EB2"/>
    <w:rsid w:val="00EC61CC"/>
    <w:rsid w:val="00EC6B59"/>
    <w:rsid w:val="00ED11ED"/>
    <w:rsid w:val="00ED2777"/>
    <w:rsid w:val="00ED2807"/>
    <w:rsid w:val="00ED495A"/>
    <w:rsid w:val="00ED4C11"/>
    <w:rsid w:val="00ED4D5F"/>
    <w:rsid w:val="00ED5652"/>
    <w:rsid w:val="00ED571C"/>
    <w:rsid w:val="00EE45B1"/>
    <w:rsid w:val="00EE4CCD"/>
    <w:rsid w:val="00EF36D8"/>
    <w:rsid w:val="00EF4AB4"/>
    <w:rsid w:val="00EF73CC"/>
    <w:rsid w:val="00EF7525"/>
    <w:rsid w:val="00EF7CE1"/>
    <w:rsid w:val="00F002AC"/>
    <w:rsid w:val="00F05B1C"/>
    <w:rsid w:val="00F06904"/>
    <w:rsid w:val="00F07BE4"/>
    <w:rsid w:val="00F111A4"/>
    <w:rsid w:val="00F11E5E"/>
    <w:rsid w:val="00F2219D"/>
    <w:rsid w:val="00F22E5E"/>
    <w:rsid w:val="00F24A5B"/>
    <w:rsid w:val="00F24E13"/>
    <w:rsid w:val="00F33040"/>
    <w:rsid w:val="00F35BF2"/>
    <w:rsid w:val="00F36338"/>
    <w:rsid w:val="00F40261"/>
    <w:rsid w:val="00F428C5"/>
    <w:rsid w:val="00F42977"/>
    <w:rsid w:val="00F45DAF"/>
    <w:rsid w:val="00F46B8C"/>
    <w:rsid w:val="00F46EE7"/>
    <w:rsid w:val="00F53DEC"/>
    <w:rsid w:val="00F540AB"/>
    <w:rsid w:val="00F55400"/>
    <w:rsid w:val="00F57FE1"/>
    <w:rsid w:val="00F6006D"/>
    <w:rsid w:val="00F632B2"/>
    <w:rsid w:val="00F659E8"/>
    <w:rsid w:val="00F67DDF"/>
    <w:rsid w:val="00F73BF4"/>
    <w:rsid w:val="00F73EFE"/>
    <w:rsid w:val="00F750F3"/>
    <w:rsid w:val="00F756EC"/>
    <w:rsid w:val="00F77ED0"/>
    <w:rsid w:val="00F80AC4"/>
    <w:rsid w:val="00F8151C"/>
    <w:rsid w:val="00F8290C"/>
    <w:rsid w:val="00F82A17"/>
    <w:rsid w:val="00F840CB"/>
    <w:rsid w:val="00F86D40"/>
    <w:rsid w:val="00F87B5E"/>
    <w:rsid w:val="00F9072C"/>
    <w:rsid w:val="00F915D5"/>
    <w:rsid w:val="00F9245F"/>
    <w:rsid w:val="00F93A4A"/>
    <w:rsid w:val="00F949D0"/>
    <w:rsid w:val="00F96116"/>
    <w:rsid w:val="00F96A80"/>
    <w:rsid w:val="00F96AC1"/>
    <w:rsid w:val="00F9744E"/>
    <w:rsid w:val="00FA2F66"/>
    <w:rsid w:val="00FA4F71"/>
    <w:rsid w:val="00FA7DA6"/>
    <w:rsid w:val="00FB0336"/>
    <w:rsid w:val="00FB0B1C"/>
    <w:rsid w:val="00FB1C36"/>
    <w:rsid w:val="00FC46F9"/>
    <w:rsid w:val="00FC787B"/>
    <w:rsid w:val="00FC7EC8"/>
    <w:rsid w:val="00FD231F"/>
    <w:rsid w:val="00FD3772"/>
    <w:rsid w:val="00FD4FBD"/>
    <w:rsid w:val="00FD6D10"/>
    <w:rsid w:val="00FD7159"/>
    <w:rsid w:val="00FE04E1"/>
    <w:rsid w:val="00FE0E36"/>
    <w:rsid w:val="00FE1B26"/>
    <w:rsid w:val="00FE283A"/>
    <w:rsid w:val="00FE2D11"/>
    <w:rsid w:val="00FE6DA3"/>
    <w:rsid w:val="00FE6DE2"/>
    <w:rsid w:val="00FE7AF8"/>
    <w:rsid w:val="00FF49D4"/>
    <w:rsid w:val="00FF658A"/>
    <w:rsid w:val="00FF692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83A11"/>
  <w14:defaultImageDpi w14:val="300"/>
  <w15:docId w15:val="{35B88CD1-3570-9C41-9A07-5DE78F30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519"/>
    <w:rPr>
      <w:rFonts w:ascii="Times New Roman" w:eastAsia="Times New Roman" w:hAnsi="Times New Roman" w:cs="Times New Roman"/>
      <w:lang w:val="es-ES" w:eastAsia="es-ES_tradnl"/>
    </w:rPr>
  </w:style>
  <w:style w:type="paragraph" w:styleId="Ttulo2">
    <w:name w:val="heading 2"/>
    <w:basedOn w:val="Normal"/>
    <w:next w:val="Normal"/>
    <w:link w:val="Ttulo2Car"/>
    <w:semiHidden/>
    <w:unhideWhenUsed/>
    <w:qFormat/>
    <w:rsid w:val="00C057D7"/>
    <w:pPr>
      <w:keepNext/>
      <w:spacing w:before="240" w:after="60"/>
      <w:outlineLvl w:val="1"/>
    </w:pPr>
    <w:rPr>
      <w:rFonts w:asciiTheme="majorHAnsi" w:eastAsiaTheme="majorEastAsia" w:hAnsiTheme="majorHAnsi" w:cstheme="majorBidi"/>
      <w:b/>
      <w:bCs/>
      <w:i/>
      <w:iCs/>
      <w:sz w:val="28"/>
      <w:szCs w:val="28"/>
      <w:lang w:val="en-GB" w:eastAsia="es-ES"/>
    </w:rPr>
  </w:style>
  <w:style w:type="paragraph" w:styleId="Ttulo3">
    <w:name w:val="heading 3"/>
    <w:basedOn w:val="Normal"/>
    <w:next w:val="Normal"/>
    <w:link w:val="Ttulo3Car"/>
    <w:qFormat/>
    <w:rsid w:val="00C057D7"/>
    <w:pPr>
      <w:keepNext/>
      <w:spacing w:line="240" w:lineRule="exact"/>
      <w:jc w:val="center"/>
      <w:outlineLvl w:val="2"/>
    </w:pPr>
    <w:rPr>
      <w:b/>
      <w:szCs w:val="20"/>
      <w:lang w:val="en-US" w:eastAsia="es-ES"/>
    </w:rPr>
  </w:style>
  <w:style w:type="paragraph" w:styleId="Ttulo4">
    <w:name w:val="heading 4"/>
    <w:basedOn w:val="Normal"/>
    <w:next w:val="Normal"/>
    <w:link w:val="Ttulo4Car"/>
    <w:qFormat/>
    <w:rsid w:val="00C057D7"/>
    <w:pPr>
      <w:keepNext/>
      <w:spacing w:line="240" w:lineRule="exact"/>
      <w:jc w:val="center"/>
      <w:outlineLvl w:val="3"/>
    </w:pPr>
    <w:rPr>
      <w:b/>
      <w:szCs w:val="20"/>
      <w:u w:val="single"/>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semiHidden/>
    <w:rsid w:val="00C057D7"/>
    <w:rPr>
      <w:rFonts w:asciiTheme="majorHAnsi" w:eastAsiaTheme="majorEastAsia" w:hAnsiTheme="majorHAnsi" w:cstheme="majorBidi"/>
      <w:b/>
      <w:bCs/>
      <w:i/>
      <w:iCs/>
      <w:sz w:val="28"/>
      <w:szCs w:val="28"/>
      <w:lang w:val="en-GB"/>
    </w:rPr>
  </w:style>
  <w:style w:type="character" w:customStyle="1" w:styleId="Ttulo3Car">
    <w:name w:val="Título 3 Car"/>
    <w:basedOn w:val="Fuentedeprrafopredeter"/>
    <w:link w:val="Ttulo3"/>
    <w:rsid w:val="00C057D7"/>
    <w:rPr>
      <w:rFonts w:ascii="Times New Roman" w:eastAsia="Times New Roman" w:hAnsi="Times New Roman" w:cs="Times New Roman"/>
      <w:b/>
      <w:szCs w:val="20"/>
      <w:lang w:val="en-US"/>
    </w:rPr>
  </w:style>
  <w:style w:type="character" w:customStyle="1" w:styleId="Ttulo4Car">
    <w:name w:val="Título 4 Car"/>
    <w:basedOn w:val="Fuentedeprrafopredeter"/>
    <w:link w:val="Ttulo4"/>
    <w:rsid w:val="00C057D7"/>
    <w:rPr>
      <w:rFonts w:ascii="Times New Roman" w:eastAsia="Times New Roman" w:hAnsi="Times New Roman" w:cs="Times New Roman"/>
      <w:b/>
      <w:szCs w:val="20"/>
      <w:u w:val="single"/>
      <w:lang w:val="en-US"/>
    </w:rPr>
  </w:style>
  <w:style w:type="paragraph" w:styleId="Piedepgina">
    <w:name w:val="footer"/>
    <w:basedOn w:val="Normal"/>
    <w:link w:val="PiedepginaCar"/>
    <w:rsid w:val="00C057D7"/>
    <w:pPr>
      <w:tabs>
        <w:tab w:val="center" w:pos="4252"/>
        <w:tab w:val="right" w:pos="8504"/>
      </w:tabs>
    </w:pPr>
    <w:rPr>
      <w:lang w:val="en-GB" w:eastAsia="es-ES"/>
    </w:rPr>
  </w:style>
  <w:style w:type="character" w:customStyle="1" w:styleId="PiedepginaCar">
    <w:name w:val="Pie de página Car"/>
    <w:basedOn w:val="Fuentedeprrafopredeter"/>
    <w:link w:val="Piedepgina"/>
    <w:rsid w:val="00C057D7"/>
    <w:rPr>
      <w:rFonts w:ascii="Times New Roman" w:eastAsia="Times New Roman" w:hAnsi="Times New Roman" w:cs="Times New Roman"/>
      <w:lang w:val="en-GB"/>
    </w:rPr>
  </w:style>
  <w:style w:type="character" w:styleId="Nmerodepgina">
    <w:name w:val="page number"/>
    <w:rsid w:val="00C057D7"/>
  </w:style>
  <w:style w:type="paragraph" w:styleId="Textonotapie">
    <w:name w:val="footnote text"/>
    <w:basedOn w:val="Normal"/>
    <w:link w:val="TextonotapieCar"/>
    <w:rsid w:val="00C057D7"/>
    <w:rPr>
      <w:lang w:val="en-GB" w:eastAsia="es-ES"/>
    </w:rPr>
  </w:style>
  <w:style w:type="character" w:customStyle="1" w:styleId="TextonotapieCar">
    <w:name w:val="Texto nota pie Car"/>
    <w:basedOn w:val="Fuentedeprrafopredeter"/>
    <w:link w:val="Textonotapie"/>
    <w:rsid w:val="00C057D7"/>
    <w:rPr>
      <w:rFonts w:ascii="Times New Roman" w:eastAsia="Times New Roman" w:hAnsi="Times New Roman" w:cs="Times New Roman"/>
      <w:lang w:val="en-GB"/>
    </w:rPr>
  </w:style>
  <w:style w:type="character" w:styleId="Refdenotaalpie">
    <w:name w:val="footnote reference"/>
    <w:rsid w:val="00C057D7"/>
    <w:rPr>
      <w:vertAlign w:val="superscript"/>
    </w:rPr>
  </w:style>
  <w:style w:type="table" w:styleId="Tablaconcuadrcula">
    <w:name w:val="Table Grid"/>
    <w:basedOn w:val="Tablanormal"/>
    <w:rsid w:val="00C057D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C057D7"/>
    <w:rPr>
      <w:color w:val="0000FF"/>
      <w:u w:val="single"/>
    </w:rPr>
  </w:style>
  <w:style w:type="paragraph" w:styleId="Textoindependiente3">
    <w:name w:val="Body Text 3"/>
    <w:basedOn w:val="Normal"/>
    <w:link w:val="Textoindependiente3Car"/>
    <w:rsid w:val="00C057D7"/>
    <w:pPr>
      <w:spacing w:line="240" w:lineRule="exact"/>
      <w:jc w:val="center"/>
    </w:pPr>
    <w:rPr>
      <w:b/>
      <w:i/>
      <w:iCs/>
      <w:szCs w:val="20"/>
      <w:lang w:val="en-US" w:eastAsia="es-ES"/>
    </w:rPr>
  </w:style>
  <w:style w:type="character" w:customStyle="1" w:styleId="Textoindependiente3Car">
    <w:name w:val="Texto independiente 3 Car"/>
    <w:basedOn w:val="Fuentedeprrafopredeter"/>
    <w:link w:val="Textoindependiente3"/>
    <w:rsid w:val="00C057D7"/>
    <w:rPr>
      <w:rFonts w:ascii="Times New Roman" w:eastAsia="Times New Roman" w:hAnsi="Times New Roman" w:cs="Times New Roman"/>
      <w:b/>
      <w:i/>
      <w:iCs/>
      <w:szCs w:val="20"/>
      <w:lang w:val="en-US"/>
    </w:rPr>
  </w:style>
  <w:style w:type="paragraph" w:styleId="Textodeglobo">
    <w:name w:val="Balloon Text"/>
    <w:basedOn w:val="Normal"/>
    <w:link w:val="TextodegloboCar"/>
    <w:rsid w:val="00C057D7"/>
    <w:rPr>
      <w:rFonts w:ascii="Lucida Grande" w:hAnsi="Lucida Grande" w:cs="Lucida Grande"/>
      <w:sz w:val="18"/>
      <w:szCs w:val="18"/>
      <w:lang w:val="en-GB" w:eastAsia="es-ES"/>
    </w:rPr>
  </w:style>
  <w:style w:type="character" w:customStyle="1" w:styleId="TextodegloboCar">
    <w:name w:val="Texto de globo Car"/>
    <w:basedOn w:val="Fuentedeprrafopredeter"/>
    <w:link w:val="Textodeglobo"/>
    <w:rsid w:val="00C057D7"/>
    <w:rPr>
      <w:rFonts w:ascii="Lucida Grande" w:eastAsia="Times New Roman" w:hAnsi="Lucida Grande" w:cs="Lucida Grande"/>
      <w:sz w:val="18"/>
      <w:szCs w:val="18"/>
      <w:lang w:val="en-GB"/>
    </w:rPr>
  </w:style>
  <w:style w:type="character" w:styleId="Hipervnculovisitado">
    <w:name w:val="FollowedHyperlink"/>
    <w:rsid w:val="00C057D7"/>
    <w:rPr>
      <w:color w:val="800080"/>
      <w:u w:val="single"/>
    </w:rPr>
  </w:style>
  <w:style w:type="paragraph" w:styleId="Prrafodelista">
    <w:name w:val="List Paragraph"/>
    <w:basedOn w:val="Normal"/>
    <w:uiPriority w:val="34"/>
    <w:qFormat/>
    <w:rsid w:val="00C057D7"/>
    <w:pPr>
      <w:ind w:left="720"/>
      <w:contextualSpacing/>
    </w:pPr>
    <w:rPr>
      <w:lang w:val="en-GB" w:eastAsia="es-ES"/>
    </w:rPr>
  </w:style>
  <w:style w:type="character" w:styleId="nfasis">
    <w:name w:val="Emphasis"/>
    <w:basedOn w:val="Fuentedeprrafopredeter"/>
    <w:uiPriority w:val="20"/>
    <w:qFormat/>
    <w:rsid w:val="004F6E86"/>
    <w:rPr>
      <w:i/>
      <w:iCs/>
    </w:rPr>
  </w:style>
  <w:style w:type="character" w:styleId="Mencinsinresolver">
    <w:name w:val="Unresolved Mention"/>
    <w:basedOn w:val="Fuentedeprrafopredeter"/>
    <w:uiPriority w:val="99"/>
    <w:semiHidden/>
    <w:unhideWhenUsed/>
    <w:rsid w:val="00910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270">
      <w:bodyDiv w:val="1"/>
      <w:marLeft w:val="0"/>
      <w:marRight w:val="0"/>
      <w:marTop w:val="0"/>
      <w:marBottom w:val="0"/>
      <w:divBdr>
        <w:top w:val="none" w:sz="0" w:space="0" w:color="auto"/>
        <w:left w:val="none" w:sz="0" w:space="0" w:color="auto"/>
        <w:bottom w:val="none" w:sz="0" w:space="0" w:color="auto"/>
        <w:right w:val="none" w:sz="0" w:space="0" w:color="auto"/>
      </w:divBdr>
    </w:div>
    <w:div w:id="72941771">
      <w:bodyDiv w:val="1"/>
      <w:marLeft w:val="0"/>
      <w:marRight w:val="0"/>
      <w:marTop w:val="0"/>
      <w:marBottom w:val="0"/>
      <w:divBdr>
        <w:top w:val="none" w:sz="0" w:space="0" w:color="auto"/>
        <w:left w:val="none" w:sz="0" w:space="0" w:color="auto"/>
        <w:bottom w:val="none" w:sz="0" w:space="0" w:color="auto"/>
        <w:right w:val="none" w:sz="0" w:space="0" w:color="auto"/>
      </w:divBdr>
    </w:div>
    <w:div w:id="80879217">
      <w:bodyDiv w:val="1"/>
      <w:marLeft w:val="0"/>
      <w:marRight w:val="0"/>
      <w:marTop w:val="0"/>
      <w:marBottom w:val="0"/>
      <w:divBdr>
        <w:top w:val="none" w:sz="0" w:space="0" w:color="auto"/>
        <w:left w:val="none" w:sz="0" w:space="0" w:color="auto"/>
        <w:bottom w:val="none" w:sz="0" w:space="0" w:color="auto"/>
        <w:right w:val="none" w:sz="0" w:space="0" w:color="auto"/>
      </w:divBdr>
    </w:div>
    <w:div w:id="207845043">
      <w:bodyDiv w:val="1"/>
      <w:marLeft w:val="0"/>
      <w:marRight w:val="0"/>
      <w:marTop w:val="0"/>
      <w:marBottom w:val="0"/>
      <w:divBdr>
        <w:top w:val="none" w:sz="0" w:space="0" w:color="auto"/>
        <w:left w:val="none" w:sz="0" w:space="0" w:color="auto"/>
        <w:bottom w:val="none" w:sz="0" w:space="0" w:color="auto"/>
        <w:right w:val="none" w:sz="0" w:space="0" w:color="auto"/>
      </w:divBdr>
    </w:div>
    <w:div w:id="259265627">
      <w:bodyDiv w:val="1"/>
      <w:marLeft w:val="0"/>
      <w:marRight w:val="0"/>
      <w:marTop w:val="0"/>
      <w:marBottom w:val="0"/>
      <w:divBdr>
        <w:top w:val="none" w:sz="0" w:space="0" w:color="auto"/>
        <w:left w:val="none" w:sz="0" w:space="0" w:color="auto"/>
        <w:bottom w:val="none" w:sz="0" w:space="0" w:color="auto"/>
        <w:right w:val="none" w:sz="0" w:space="0" w:color="auto"/>
      </w:divBdr>
    </w:div>
    <w:div w:id="336813001">
      <w:bodyDiv w:val="1"/>
      <w:marLeft w:val="0"/>
      <w:marRight w:val="0"/>
      <w:marTop w:val="0"/>
      <w:marBottom w:val="0"/>
      <w:divBdr>
        <w:top w:val="none" w:sz="0" w:space="0" w:color="auto"/>
        <w:left w:val="none" w:sz="0" w:space="0" w:color="auto"/>
        <w:bottom w:val="none" w:sz="0" w:space="0" w:color="auto"/>
        <w:right w:val="none" w:sz="0" w:space="0" w:color="auto"/>
      </w:divBdr>
    </w:div>
    <w:div w:id="504321688">
      <w:bodyDiv w:val="1"/>
      <w:marLeft w:val="0"/>
      <w:marRight w:val="0"/>
      <w:marTop w:val="0"/>
      <w:marBottom w:val="0"/>
      <w:divBdr>
        <w:top w:val="none" w:sz="0" w:space="0" w:color="auto"/>
        <w:left w:val="none" w:sz="0" w:space="0" w:color="auto"/>
        <w:bottom w:val="none" w:sz="0" w:space="0" w:color="auto"/>
        <w:right w:val="none" w:sz="0" w:space="0" w:color="auto"/>
      </w:divBdr>
    </w:div>
    <w:div w:id="607932835">
      <w:bodyDiv w:val="1"/>
      <w:marLeft w:val="0"/>
      <w:marRight w:val="0"/>
      <w:marTop w:val="0"/>
      <w:marBottom w:val="0"/>
      <w:divBdr>
        <w:top w:val="none" w:sz="0" w:space="0" w:color="auto"/>
        <w:left w:val="none" w:sz="0" w:space="0" w:color="auto"/>
        <w:bottom w:val="none" w:sz="0" w:space="0" w:color="auto"/>
        <w:right w:val="none" w:sz="0" w:space="0" w:color="auto"/>
      </w:divBdr>
    </w:div>
    <w:div w:id="680084743">
      <w:bodyDiv w:val="1"/>
      <w:marLeft w:val="0"/>
      <w:marRight w:val="0"/>
      <w:marTop w:val="0"/>
      <w:marBottom w:val="0"/>
      <w:divBdr>
        <w:top w:val="none" w:sz="0" w:space="0" w:color="auto"/>
        <w:left w:val="none" w:sz="0" w:space="0" w:color="auto"/>
        <w:bottom w:val="none" w:sz="0" w:space="0" w:color="auto"/>
        <w:right w:val="none" w:sz="0" w:space="0" w:color="auto"/>
      </w:divBdr>
    </w:div>
    <w:div w:id="835459108">
      <w:bodyDiv w:val="1"/>
      <w:marLeft w:val="0"/>
      <w:marRight w:val="0"/>
      <w:marTop w:val="0"/>
      <w:marBottom w:val="0"/>
      <w:divBdr>
        <w:top w:val="none" w:sz="0" w:space="0" w:color="auto"/>
        <w:left w:val="none" w:sz="0" w:space="0" w:color="auto"/>
        <w:bottom w:val="none" w:sz="0" w:space="0" w:color="auto"/>
        <w:right w:val="none" w:sz="0" w:space="0" w:color="auto"/>
      </w:divBdr>
    </w:div>
    <w:div w:id="945501610">
      <w:bodyDiv w:val="1"/>
      <w:marLeft w:val="0"/>
      <w:marRight w:val="0"/>
      <w:marTop w:val="0"/>
      <w:marBottom w:val="0"/>
      <w:divBdr>
        <w:top w:val="none" w:sz="0" w:space="0" w:color="auto"/>
        <w:left w:val="none" w:sz="0" w:space="0" w:color="auto"/>
        <w:bottom w:val="none" w:sz="0" w:space="0" w:color="auto"/>
        <w:right w:val="none" w:sz="0" w:space="0" w:color="auto"/>
      </w:divBdr>
    </w:div>
    <w:div w:id="969047774">
      <w:bodyDiv w:val="1"/>
      <w:marLeft w:val="0"/>
      <w:marRight w:val="0"/>
      <w:marTop w:val="0"/>
      <w:marBottom w:val="0"/>
      <w:divBdr>
        <w:top w:val="none" w:sz="0" w:space="0" w:color="auto"/>
        <w:left w:val="none" w:sz="0" w:space="0" w:color="auto"/>
        <w:bottom w:val="none" w:sz="0" w:space="0" w:color="auto"/>
        <w:right w:val="none" w:sz="0" w:space="0" w:color="auto"/>
      </w:divBdr>
    </w:div>
    <w:div w:id="1170676590">
      <w:bodyDiv w:val="1"/>
      <w:marLeft w:val="0"/>
      <w:marRight w:val="0"/>
      <w:marTop w:val="0"/>
      <w:marBottom w:val="0"/>
      <w:divBdr>
        <w:top w:val="none" w:sz="0" w:space="0" w:color="auto"/>
        <w:left w:val="none" w:sz="0" w:space="0" w:color="auto"/>
        <w:bottom w:val="none" w:sz="0" w:space="0" w:color="auto"/>
        <w:right w:val="none" w:sz="0" w:space="0" w:color="auto"/>
      </w:divBdr>
    </w:div>
    <w:div w:id="1289704608">
      <w:bodyDiv w:val="1"/>
      <w:marLeft w:val="0"/>
      <w:marRight w:val="0"/>
      <w:marTop w:val="0"/>
      <w:marBottom w:val="0"/>
      <w:divBdr>
        <w:top w:val="none" w:sz="0" w:space="0" w:color="auto"/>
        <w:left w:val="none" w:sz="0" w:space="0" w:color="auto"/>
        <w:bottom w:val="none" w:sz="0" w:space="0" w:color="auto"/>
        <w:right w:val="none" w:sz="0" w:space="0" w:color="auto"/>
      </w:divBdr>
    </w:div>
    <w:div w:id="1344481140">
      <w:bodyDiv w:val="1"/>
      <w:marLeft w:val="0"/>
      <w:marRight w:val="0"/>
      <w:marTop w:val="0"/>
      <w:marBottom w:val="0"/>
      <w:divBdr>
        <w:top w:val="none" w:sz="0" w:space="0" w:color="auto"/>
        <w:left w:val="none" w:sz="0" w:space="0" w:color="auto"/>
        <w:bottom w:val="none" w:sz="0" w:space="0" w:color="auto"/>
        <w:right w:val="none" w:sz="0" w:space="0" w:color="auto"/>
      </w:divBdr>
    </w:div>
    <w:div w:id="1533805202">
      <w:bodyDiv w:val="1"/>
      <w:marLeft w:val="0"/>
      <w:marRight w:val="0"/>
      <w:marTop w:val="0"/>
      <w:marBottom w:val="0"/>
      <w:divBdr>
        <w:top w:val="none" w:sz="0" w:space="0" w:color="auto"/>
        <w:left w:val="none" w:sz="0" w:space="0" w:color="auto"/>
        <w:bottom w:val="none" w:sz="0" w:space="0" w:color="auto"/>
        <w:right w:val="none" w:sz="0" w:space="0" w:color="auto"/>
      </w:divBdr>
    </w:div>
    <w:div w:id="1733649538">
      <w:bodyDiv w:val="1"/>
      <w:marLeft w:val="0"/>
      <w:marRight w:val="0"/>
      <w:marTop w:val="0"/>
      <w:marBottom w:val="0"/>
      <w:divBdr>
        <w:top w:val="none" w:sz="0" w:space="0" w:color="auto"/>
        <w:left w:val="none" w:sz="0" w:space="0" w:color="auto"/>
        <w:bottom w:val="none" w:sz="0" w:space="0" w:color="auto"/>
        <w:right w:val="none" w:sz="0" w:space="0" w:color="auto"/>
      </w:divBdr>
    </w:div>
    <w:div w:id="1800564683">
      <w:bodyDiv w:val="1"/>
      <w:marLeft w:val="0"/>
      <w:marRight w:val="0"/>
      <w:marTop w:val="0"/>
      <w:marBottom w:val="0"/>
      <w:divBdr>
        <w:top w:val="none" w:sz="0" w:space="0" w:color="auto"/>
        <w:left w:val="none" w:sz="0" w:space="0" w:color="auto"/>
        <w:bottom w:val="none" w:sz="0" w:space="0" w:color="auto"/>
        <w:right w:val="none" w:sz="0" w:space="0" w:color="auto"/>
      </w:divBdr>
    </w:div>
    <w:div w:id="1871917780">
      <w:bodyDiv w:val="1"/>
      <w:marLeft w:val="0"/>
      <w:marRight w:val="0"/>
      <w:marTop w:val="0"/>
      <w:marBottom w:val="0"/>
      <w:divBdr>
        <w:top w:val="none" w:sz="0" w:space="0" w:color="auto"/>
        <w:left w:val="none" w:sz="0" w:space="0" w:color="auto"/>
        <w:bottom w:val="none" w:sz="0" w:space="0" w:color="auto"/>
        <w:right w:val="none" w:sz="0" w:space="0" w:color="auto"/>
      </w:divBdr>
    </w:div>
    <w:div w:id="1998266520">
      <w:bodyDiv w:val="1"/>
      <w:marLeft w:val="0"/>
      <w:marRight w:val="0"/>
      <w:marTop w:val="0"/>
      <w:marBottom w:val="0"/>
      <w:divBdr>
        <w:top w:val="none" w:sz="0" w:space="0" w:color="auto"/>
        <w:left w:val="none" w:sz="0" w:space="0" w:color="auto"/>
        <w:bottom w:val="none" w:sz="0" w:space="0" w:color="auto"/>
        <w:right w:val="none" w:sz="0" w:space="0" w:color="auto"/>
      </w:divBdr>
    </w:div>
    <w:div w:id="2007056303">
      <w:bodyDiv w:val="1"/>
      <w:marLeft w:val="0"/>
      <w:marRight w:val="0"/>
      <w:marTop w:val="0"/>
      <w:marBottom w:val="0"/>
      <w:divBdr>
        <w:top w:val="none" w:sz="0" w:space="0" w:color="auto"/>
        <w:left w:val="none" w:sz="0" w:space="0" w:color="auto"/>
        <w:bottom w:val="none" w:sz="0" w:space="0" w:color="auto"/>
        <w:right w:val="none" w:sz="0" w:space="0" w:color="auto"/>
      </w:divBdr>
    </w:div>
    <w:div w:id="2011444054">
      <w:bodyDiv w:val="1"/>
      <w:marLeft w:val="0"/>
      <w:marRight w:val="0"/>
      <w:marTop w:val="0"/>
      <w:marBottom w:val="0"/>
      <w:divBdr>
        <w:top w:val="none" w:sz="0" w:space="0" w:color="auto"/>
        <w:left w:val="none" w:sz="0" w:space="0" w:color="auto"/>
        <w:bottom w:val="none" w:sz="0" w:space="0" w:color="auto"/>
        <w:right w:val="none" w:sz="0" w:space="0" w:color="auto"/>
      </w:divBdr>
    </w:div>
    <w:div w:id="2074427165">
      <w:bodyDiv w:val="1"/>
      <w:marLeft w:val="0"/>
      <w:marRight w:val="0"/>
      <w:marTop w:val="0"/>
      <w:marBottom w:val="0"/>
      <w:divBdr>
        <w:top w:val="none" w:sz="0" w:space="0" w:color="auto"/>
        <w:left w:val="none" w:sz="0" w:space="0" w:color="auto"/>
        <w:bottom w:val="none" w:sz="0" w:space="0" w:color="auto"/>
        <w:right w:val="none" w:sz="0" w:space="0" w:color="auto"/>
      </w:divBdr>
    </w:div>
    <w:div w:id="2144343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orges-bank.no/contentassets/040cc5261ff74feca3af4b7b0ea46dc4/occ-papers-57-2022-hmfs.pdf?v=04/28/2023154520" TargetMode="External"/><Relationship Id="rId21" Type="http://schemas.openxmlformats.org/officeDocument/2006/relationships/hyperlink" Target="https://www.conference-board.org/data/economydatabase/total-economy-database-productivity" TargetMode="External"/><Relationship Id="rId34" Type="http://schemas.openxmlformats.org/officeDocument/2006/relationships/hyperlink" Target="http://www.ine.es/" TargetMode="External"/><Relationship Id="rId42" Type="http://schemas.openxmlformats.org/officeDocument/2006/relationships/hyperlink" Target="http://www.oecd-ilibrary.org/statistics" TargetMode="External"/><Relationship Id="rId47" Type="http://schemas.openxmlformats.org/officeDocument/2006/relationships/hyperlink" Target="http://www.rba.gov.au/statistics/by-subject.html" TargetMode="External"/><Relationship Id="rId50" Type="http://schemas.openxmlformats.org/officeDocument/2006/relationships/hyperlink" Target="http://www.stat.go.jp/english/data/chouki/03.htm" TargetMode="External"/><Relationship Id="rId55" Type="http://schemas.openxmlformats.org/officeDocument/2006/relationships/hyperlink" Target="http://www.snb.ch/en/iabout/stat/statpub/histz/id/statpub_histz_actual" TargetMode="External"/><Relationship Id="rId63" Type="http://schemas.openxmlformats.org/officeDocument/2006/relationships/footer" Target="footer2.xml"/><Relationship Id="rId7" Type="http://schemas.openxmlformats.org/officeDocument/2006/relationships/hyperlink" Target="https://frdelpino.es/investigacion/en_gb/economia-mundial/global-economic-freedom/" TargetMode="External"/><Relationship Id="rId2" Type="http://schemas.openxmlformats.org/officeDocument/2006/relationships/styles" Target="styles.xml"/><Relationship Id="rId16" Type="http://schemas.openxmlformats.org/officeDocument/2006/relationships/hyperlink" Target="https://www.bankofengland.co.uk/statistics/research-datasets" TargetMode="External"/><Relationship Id="rId29" Type="http://schemas.openxmlformats.org/officeDocument/2006/relationships/hyperlink" Target="http://www.bankofengland.co.uk/publications/.../threecenturiesofdata.xls" TargetMode="External"/><Relationship Id="rId11" Type="http://schemas.openxmlformats.org/officeDocument/2006/relationships/hyperlink" Target="http://www.ine.es/" TargetMode="External"/><Relationship Id="rId24" Type="http://schemas.openxmlformats.org/officeDocument/2006/relationships/hyperlink" Target="http://www.riksbank.se/en/The-Riksbank/Research/Historical-Monetary-Statistics-/Prices/" TargetMode="External"/><Relationship Id="rId32" Type="http://schemas.openxmlformats.org/officeDocument/2006/relationships/hyperlink" Target="http://www.measuringworth.com/australiadata/" TargetMode="External"/><Relationship Id="rId37" Type="http://schemas.openxmlformats.org/officeDocument/2006/relationships/hyperlink" Target="https://www.macrohistory.net/database/" TargetMode="External"/><Relationship Id="rId40" Type="http://schemas.openxmlformats.org/officeDocument/2006/relationships/hyperlink" Target="http://www.systemicpeace.org/polity/polity4.htm" TargetMode="External"/><Relationship Id="rId45" Type="http://schemas.openxmlformats.org/officeDocument/2006/relationships/hyperlink" Target="http://www.puaf.umd.edu/faculty/papers/reinhart/reinhart.htm" TargetMode="External"/><Relationship Id="rId53" Type="http://schemas.openxmlformats.org/officeDocument/2006/relationships/hyperlink" Target="http://www.stats.govt.nz/browse_for_stats/economic_indicators/NationalAccounts/long-term-data-series/finance.aspx" TargetMode="External"/><Relationship Id="rId58" Type="http://schemas.openxmlformats.org/officeDocument/2006/relationships/hyperlink" Target="http://www.riksbank.se/en/The-Riksbank/Research/Historical-Monetary-Statistics-/Interest-and-stock-returns/" TargetMode="External"/><Relationship Id="rId5" Type="http://schemas.openxmlformats.org/officeDocument/2006/relationships/footnotes" Target="footnotes.xml"/><Relationship Id="rId61" Type="http://schemas.openxmlformats.org/officeDocument/2006/relationships/hyperlink" Target="http://data.worldbank.org/data-catalog/world-development-indicator" TargetMode="External"/><Relationship Id="rId19" Type="http://schemas.openxmlformats.org/officeDocument/2006/relationships/hyperlink" Target="http://www.bancaditalia.it/statistiche/storiche" TargetMode="External"/><Relationship Id="rId14" Type="http://schemas.openxmlformats.org/officeDocument/2006/relationships/hyperlink" Target="http://www.ipw.unibe.ch/content/team/klaus_armingeon/comparative_political_data_sets/index_eng.html" TargetMode="External"/><Relationship Id="rId22" Type="http://schemas.openxmlformats.org/officeDocument/2006/relationships/hyperlink" Target="https://doi.org/10.23696/vdemds22" TargetMode="External"/><Relationship Id="rId27" Type="http://schemas.openxmlformats.org/officeDocument/2006/relationships/hyperlink" Target="http://www2.fdic.gov/hsob/index.asp" TargetMode="External"/><Relationship Id="rId30" Type="http://schemas.openxmlformats.org/officeDocument/2006/relationships/hyperlink" Target="https://www150.statcan.gc.ca/n1/en/catalogue/11-516-X" TargetMode="External"/><Relationship Id="rId35" Type="http://schemas.openxmlformats.org/officeDocument/2006/relationships/hyperlink" Target="http://seriestoriche.istat.it/index.php?id=7&amp;user_100ind_pi1%5bid_pagina%5d=55&amp;cHash=0620098d1bf4a155ae2299430ca60fe6" TargetMode="External"/><Relationship Id="rId43" Type="http://schemas.openxmlformats.org/officeDocument/2006/relationships/hyperlink" Target="http://www.measuringworth.com/interestrates/" TargetMode="External"/><Relationship Id="rId48" Type="http://schemas.openxmlformats.org/officeDocument/2006/relationships/hyperlink" Target="http://www.rbnz.govt.nz/statistics/tables/c1/" TargetMode="External"/><Relationship Id="rId56" Type="http://schemas.openxmlformats.org/officeDocument/2006/relationships/hyperlink" Target="https://data.snb.ch/en/topics/snb/cube/snbmonagg?fromDate=1984-01&amp;toDate=2023-03&amp;dimSel=D0(B),D1(B,S0,ET,GM1,S1,GM2,T,GM3)" TargetMode="External"/><Relationship Id="rId64" Type="http://schemas.openxmlformats.org/officeDocument/2006/relationships/fontTable" Target="fontTable.xml"/><Relationship Id="rId8" Type="http://schemas.openxmlformats.org/officeDocument/2006/relationships/hyperlink" Target="https://www.oenb.at/isaweb/report.do?lang=EN&amp;report=1.3.2" TargetMode="External"/><Relationship Id="rId51" Type="http://schemas.openxmlformats.org/officeDocument/2006/relationships/hyperlink" Target="http://www.statcan.ca/" TargetMode="External"/><Relationship Id="rId3" Type="http://schemas.openxmlformats.org/officeDocument/2006/relationships/settings" Target="settings.xml"/><Relationship Id="rId12" Type="http://schemas.openxmlformats.org/officeDocument/2006/relationships/hyperlink" Target="http://www.nationalbanken.dk/C1256BE9004F6416/side/WP_242005_A_historical_perspective_on_interestrates_in_Denmark_1875-2003/$file/WP_24.pdf" TargetMode="External"/><Relationship Id="rId17" Type="http://schemas.openxmlformats.org/officeDocument/2006/relationships/hyperlink" Target="http://www.suomenpankki.fi/en/tilastot/tase_ja_korko/pages/tilastot_markkina-_ja_hallinnolliset_korot_peruskoron_muutokset_en.aspx" TargetMode="External"/><Relationship Id="rId25" Type="http://schemas.openxmlformats.org/officeDocument/2006/relationships/hyperlink" Target="http://www.riksbank.se/en/The-Riksbank/Research/Historical-Monetary-Statistics-/Money-supply/" TargetMode="External"/><Relationship Id="rId33" Type="http://schemas.openxmlformats.org/officeDocument/2006/relationships/hyperlink" Target="http://elibrary-data.imf.org/" TargetMode="External"/><Relationship Id="rId38" Type="http://schemas.openxmlformats.org/officeDocument/2006/relationships/hyperlink" Target="http://www.ggdc.net/maddison/" TargetMode="External"/><Relationship Id="rId46" Type="http://schemas.openxmlformats.org/officeDocument/2006/relationships/hyperlink" Target="http://www.carmenreinhart.com/data/" TargetMode="External"/><Relationship Id="rId59" Type="http://schemas.openxmlformats.org/officeDocument/2006/relationships/hyperlink" Target="http://www.measuringworth.org/usgdp/" TargetMode="External"/><Relationship Id="rId20" Type="http://schemas.openxmlformats.org/officeDocument/2006/relationships/hyperlink" Target="http://web.pdx.edu/~ito/Chinn-Ito_website.htm" TargetMode="External"/><Relationship Id="rId41" Type="http://schemas.openxmlformats.org/officeDocument/2006/relationships/hyperlink" Target="http://www.systemicpeace.org/inscr/p4manualv2012.pdf" TargetMode="External"/><Relationship Id="rId54" Type="http://schemas.openxmlformats.org/officeDocument/2006/relationships/hyperlink" Target="http://www.riksbank.se/en/The-Riksbank/Research/Historical-Monetary-Statistics-/"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bs.gov.au/AUSSTATS/abs@.nsf/DetailsPage/5204.02012-13?OpenDocument" TargetMode="External"/><Relationship Id="rId23" Type="http://schemas.openxmlformats.org/officeDocument/2006/relationships/hyperlink" Target="http://www.destatis.de" TargetMode="External"/><Relationship Id="rId28" Type="http://schemas.openxmlformats.org/officeDocument/2006/relationships/hyperlink" Target="https://fred.stlouisfed.org/searchresults?st=Monetary+aggregates" TargetMode="External"/><Relationship Id="rId36" Type="http://schemas.openxmlformats.org/officeDocument/2006/relationships/hyperlink" Target="http://www.measuringworth.org/usgdp/" TargetMode="External"/><Relationship Id="rId49" Type="http://schemas.openxmlformats.org/officeDocument/2006/relationships/hyperlink" Target="http://www.ekh.lu.se/en/research/shna1560-2010" TargetMode="External"/><Relationship Id="rId57" Type="http://schemas.openxmlformats.org/officeDocument/2006/relationships/hyperlink" Target="http://www.scb.se/Pages/TableAndChart____282808.aspx" TargetMode="External"/><Relationship Id="rId10" Type="http://schemas.openxmlformats.org/officeDocument/2006/relationships/hyperlink" Target="http://www.destatis.de" TargetMode="External"/><Relationship Id="rId31" Type="http://schemas.openxmlformats.org/officeDocument/2006/relationships/hyperlink" Target="https://www.stat.go.jp/english/data/index.html" TargetMode="External"/><Relationship Id="rId44" Type="http://schemas.openxmlformats.org/officeDocument/2006/relationships/hyperlink" Target="http://www.bportugal.pt/pt-PT/Estatisticas/PublicacoesEstatisticas/SLEPort/Paginas/SeriesLongasEconomiaPortuguesaposIIGuerraMundial.aspx" TargetMode="External"/><Relationship Id="rId52" Type="http://schemas.openxmlformats.org/officeDocument/2006/relationships/hyperlink" Target="http://www.cbs.nl/en-GB/menu/themas/dossiers/historische-reeksen/cijfers/extra/historische-reeksen.htm" TargetMode="External"/><Relationship Id="rId60" Type="http://schemas.openxmlformats.org/officeDocument/2006/relationships/hyperlink" Target="http://www.measuringworth.com/uscpi/"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enb.at/isaweb/report.do?lang=EN&amp;report=13.7" TargetMode="External"/><Relationship Id="rId13" Type="http://schemas.openxmlformats.org/officeDocument/2006/relationships/hyperlink" Target="http://research.stlouisfed.org/wp/2003/2003-006.pdf" TargetMode="External"/><Relationship Id="rId18" Type="http://schemas.openxmlformats.org/officeDocument/2006/relationships/hyperlink" Target="http://www.databanksinternational.com/" TargetMode="External"/><Relationship Id="rId39" Type="http://schemas.openxmlformats.org/officeDocument/2006/relationships/hyperlink" Target="http://www4.fe.uc.pt/carlosm/research/pdf/Data-CMarinheiro2006-Update2011.xls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6650</Words>
  <Characters>42201</Characters>
  <Application>Microsoft Office Word</Application>
  <DocSecurity>0</DocSecurity>
  <Lines>751</Lines>
  <Paragraphs>312</Paragraphs>
  <ScaleCrop>false</ScaleCrop>
  <HeadingPairs>
    <vt:vector size="2" baseType="variant">
      <vt:variant>
        <vt:lpstr>Título</vt:lpstr>
      </vt:variant>
      <vt:variant>
        <vt:i4>1</vt:i4>
      </vt:variant>
    </vt:vector>
  </HeadingPairs>
  <TitlesOfParts>
    <vt:vector size="1" baseType="lpstr">
      <vt:lpstr/>
    </vt:vector>
  </TitlesOfParts>
  <Company>Univ. Carlos III de Madrid</Company>
  <LinksUpToDate>false</LinksUpToDate>
  <CharactersWithSpaces>48631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Prados de la Escosura</dc:creator>
  <cp:keywords/>
  <dc:description/>
  <cp:lastModifiedBy>Leandro Prados de la Escosura</cp:lastModifiedBy>
  <cp:revision>2</cp:revision>
  <cp:lastPrinted>2023-05-25T14:50:00Z</cp:lastPrinted>
  <dcterms:created xsi:type="dcterms:W3CDTF">2025-12-23T19:26:00Z</dcterms:created>
  <dcterms:modified xsi:type="dcterms:W3CDTF">2025-12-23T19:26:00Z</dcterms:modified>
</cp:coreProperties>
</file>