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5A15A" w14:textId="77777777" w:rsidR="00D2365E" w:rsidRDefault="00D2365E" w:rsidP="00D2365E">
      <w:pPr>
        <w:widowControl/>
        <w:rPr>
          <w:rFonts w:ascii="Palatino Linotype" w:hAnsi="Palatino Linotype" w:cs="Arial"/>
          <w:color w:val="000000"/>
          <w:kern w:val="0"/>
          <w:sz w:val="18"/>
          <w:lang w:bidi="en-US"/>
          <w14:ligatures w14:val="standardContextual"/>
        </w:rPr>
      </w:pPr>
    </w:p>
    <w:p w14:paraId="12ABE3F2" w14:textId="77777777" w:rsidR="00D2365E" w:rsidRPr="001830B6" w:rsidRDefault="00D2365E" w:rsidP="00D2365E">
      <w:pPr>
        <w:widowControl/>
        <w:rPr>
          <w:rFonts w:ascii="Palatino Linotype" w:hAnsi="Palatino Linotype" w:cs="Arial"/>
          <w:color w:val="000000"/>
          <w:kern w:val="0"/>
          <w:sz w:val="18"/>
          <w:lang w:bidi="en-US"/>
          <w14:ligatures w14:val="standardContextual"/>
        </w:rPr>
      </w:pPr>
      <w:r w:rsidRPr="001830B6">
        <w:rPr>
          <w:rFonts w:ascii="Palatino Linotype" w:hAnsi="Palatino Linotype" w:cs="Arial"/>
          <w:color w:val="000000"/>
          <w:kern w:val="0"/>
          <w:sz w:val="18"/>
          <w:lang w:bidi="en-US"/>
          <w14:ligatures w14:val="standardContextual"/>
        </w:rPr>
        <w:t>Supplementary Materials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2365E" w:rsidRPr="001830B6" w14:paraId="39F05E5B" w14:textId="77777777" w:rsidTr="00EA7B62">
        <w:tc>
          <w:tcPr>
            <w:tcW w:w="2765" w:type="dxa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54841E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</w:p>
        </w:tc>
        <w:tc>
          <w:tcPr>
            <w:tcW w:w="2765" w:type="dxa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5D5E7F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rPr>
                <w:b/>
              </w:rPr>
              <w:t>Equianalgesic Dose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FF01AF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rPr>
                <w:b/>
              </w:rPr>
              <w:t>Conversion Ratio</w:t>
            </w:r>
          </w:p>
        </w:tc>
      </w:tr>
      <w:tr w:rsidR="00D2365E" w:rsidRPr="001830B6" w14:paraId="1FAFFB63" w14:textId="77777777" w:rsidTr="00EA7B62">
        <w:tc>
          <w:tcPr>
            <w:tcW w:w="27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0A359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Oral morphine</w:t>
            </w:r>
          </w:p>
        </w:tc>
        <w:tc>
          <w:tcPr>
            <w:tcW w:w="27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676273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1 mg</w:t>
            </w:r>
          </w:p>
        </w:tc>
        <w:tc>
          <w:tcPr>
            <w:tcW w:w="276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8BCCE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1</w:t>
            </w:r>
          </w:p>
        </w:tc>
      </w:tr>
      <w:tr w:rsidR="00D2365E" w:rsidRPr="001830B6" w14:paraId="3F21692E" w14:textId="77777777" w:rsidTr="00EA7B62">
        <w:tc>
          <w:tcPr>
            <w:tcW w:w="2765" w:type="dxa"/>
            <w:shd w:val="clear" w:color="auto" w:fill="auto"/>
            <w:vAlign w:val="center"/>
          </w:tcPr>
          <w:p w14:paraId="3D4BC28E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Parenteral morphine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E73A744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0.333 mg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55E4A1D6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3</w:t>
            </w:r>
          </w:p>
        </w:tc>
      </w:tr>
      <w:tr w:rsidR="00D2365E" w:rsidRPr="001830B6" w14:paraId="25D83E3E" w14:textId="77777777" w:rsidTr="00EA7B62">
        <w:tc>
          <w:tcPr>
            <w:tcW w:w="2765" w:type="dxa"/>
            <w:shd w:val="clear" w:color="auto" w:fill="auto"/>
            <w:vAlign w:val="center"/>
          </w:tcPr>
          <w:p w14:paraId="7FCCECC3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Fentanyl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3A3F9FC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0.005 mg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4BA3034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200</w:t>
            </w:r>
          </w:p>
        </w:tc>
      </w:tr>
      <w:tr w:rsidR="00D2365E" w:rsidRPr="001830B6" w14:paraId="4E52DAFE" w14:textId="77777777" w:rsidTr="00EA7B62">
        <w:tc>
          <w:tcPr>
            <w:tcW w:w="2765" w:type="dxa"/>
            <w:shd w:val="clear" w:color="auto" w:fill="auto"/>
            <w:vAlign w:val="center"/>
          </w:tcPr>
          <w:p w14:paraId="73D89408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Oral tramadol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6B3E9FF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10 mg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F24B57A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0.1</w:t>
            </w:r>
          </w:p>
        </w:tc>
      </w:tr>
      <w:tr w:rsidR="00D2365E" w:rsidRPr="001830B6" w14:paraId="6A898EF3" w14:textId="77777777" w:rsidTr="00EA7B62">
        <w:tc>
          <w:tcPr>
            <w:tcW w:w="27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BA81BA9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Parenteral tramadol</w:t>
            </w:r>
          </w:p>
        </w:tc>
        <w:tc>
          <w:tcPr>
            <w:tcW w:w="27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B3A16FB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3.333 mg</w:t>
            </w:r>
          </w:p>
        </w:tc>
        <w:tc>
          <w:tcPr>
            <w:tcW w:w="276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908D4C" w14:textId="77777777" w:rsidR="00D2365E" w:rsidRPr="001830B6" w:rsidRDefault="00D2365E" w:rsidP="00EA7B62">
            <w:pPr>
              <w:widowControl/>
              <w:rPr>
                <w:rFonts w:cs="Arial"/>
                <w:sz w:val="18"/>
                <w:lang w:bidi="en-US"/>
                <w14:ligatures w14:val="standardContextual"/>
              </w:rPr>
            </w:pPr>
            <w:r w:rsidRPr="001830B6">
              <w:t>0.3</w:t>
            </w:r>
          </w:p>
        </w:tc>
      </w:tr>
    </w:tbl>
    <w:p w14:paraId="3A3DE129" w14:textId="77777777" w:rsidR="00D2365E" w:rsidRDefault="00D2365E" w:rsidP="00D2365E">
      <w:pPr>
        <w:spacing w:line="240" w:lineRule="exact"/>
        <w:contextualSpacing/>
        <w:rPr>
          <w:rFonts w:ascii="Times New Roman" w:eastAsia="Times New Roman Uni" w:hAnsi="Times New Roman" w:cs="Times New Roman"/>
          <w:sz w:val="20"/>
          <w:szCs w:val="20"/>
          <w14:ligatures w14:val="standardContextual"/>
        </w:rPr>
      </w:pPr>
      <w:r w:rsidRPr="001830B6">
        <w:rPr>
          <w:rFonts w:ascii="Times New Roman" w:eastAsia="Times New Roman Uni" w:hAnsi="Times New Roman" w:cs="Times New Roman"/>
          <w:sz w:val="20"/>
          <w:szCs w:val="20"/>
          <w14:ligatures w14:val="standardContextual"/>
        </w:rPr>
        <w:t>The equianalgesic dose conversion ratios used in this study were referenced from the standard conversion tables provided by the European Society of Anaesthesiology and Intensive Care (ESAIC).</w:t>
      </w:r>
      <w:bookmarkStart w:id="0" w:name="_GoBack"/>
      <w:bookmarkEnd w:id="0"/>
    </w:p>
    <w:p w14:paraId="57173AAD" w14:textId="77777777" w:rsidR="00603F3C" w:rsidRPr="00D2365E" w:rsidRDefault="00603F3C"/>
    <w:sectPr w:rsidR="00603F3C" w:rsidRPr="00D2365E" w:rsidSect="001830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ABDD4" w14:textId="77777777" w:rsidR="00D2365E" w:rsidRDefault="00D2365E" w:rsidP="00D2365E">
      <w:r>
        <w:separator/>
      </w:r>
    </w:p>
  </w:endnote>
  <w:endnote w:type="continuationSeparator" w:id="0">
    <w:p w14:paraId="7E29A88D" w14:textId="77777777" w:rsidR="00D2365E" w:rsidRDefault="00D2365E" w:rsidP="00D2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Arial Unicode MS"/>
    <w:charset w:val="88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B3FE1" w14:textId="77777777" w:rsidR="00D2365E" w:rsidRDefault="00D2365E" w:rsidP="00D2365E">
      <w:r>
        <w:separator/>
      </w:r>
    </w:p>
  </w:footnote>
  <w:footnote w:type="continuationSeparator" w:id="0">
    <w:p w14:paraId="3B8FD0DA" w14:textId="77777777" w:rsidR="00D2365E" w:rsidRDefault="00D2365E" w:rsidP="00D23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21"/>
    <w:rsid w:val="001539C9"/>
    <w:rsid w:val="001830B6"/>
    <w:rsid w:val="00320B21"/>
    <w:rsid w:val="005B7BCA"/>
    <w:rsid w:val="00603F3C"/>
    <w:rsid w:val="00D2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96153"/>
  <w15:chartTrackingRefBased/>
  <w15:docId w15:val="{6082AA9B-913D-4168-99CA-5C492B76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65E"/>
    <w:pPr>
      <w:widowControl w:val="0"/>
      <w:spacing w:after="0" w:line="240" w:lineRule="auto"/>
    </w:pPr>
    <w:rPr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B21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B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B21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B21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B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B21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B21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B21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B21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B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B2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B21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B21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B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0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B2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0B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B21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0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B21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0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B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365E"/>
    <w:pPr>
      <w:tabs>
        <w:tab w:val="center" w:pos="4153"/>
        <w:tab w:val="right" w:pos="8306"/>
      </w:tabs>
      <w:snapToGrid w:val="0"/>
      <w:spacing w:after="160" w:line="278" w:lineRule="auto"/>
    </w:pPr>
    <w:rPr>
      <w:sz w:val="20"/>
      <w:szCs w:val="2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2365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365E"/>
    <w:pPr>
      <w:tabs>
        <w:tab w:val="center" w:pos="4153"/>
        <w:tab w:val="right" w:pos="8306"/>
      </w:tabs>
      <w:snapToGrid w:val="0"/>
      <w:spacing w:after="160" w:line="278" w:lineRule="auto"/>
    </w:pPr>
    <w:rPr>
      <w:sz w:val="20"/>
      <w:szCs w:val="2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2365E"/>
    <w:rPr>
      <w:sz w:val="20"/>
      <w:szCs w:val="20"/>
    </w:rPr>
  </w:style>
  <w:style w:type="table" w:styleId="TableGrid">
    <w:name w:val="Table Grid"/>
    <w:basedOn w:val="TableNormal"/>
    <w:uiPriority w:val="59"/>
    <w:rsid w:val="00D2365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傑漢</dc:creator>
  <cp:keywords/>
  <dc:description/>
  <cp:lastModifiedBy>Swetha Pandiyan</cp:lastModifiedBy>
  <cp:revision>4</cp:revision>
  <dcterms:created xsi:type="dcterms:W3CDTF">2025-06-10T09:26:00Z</dcterms:created>
  <dcterms:modified xsi:type="dcterms:W3CDTF">2025-09-23T08:43:00Z</dcterms:modified>
</cp:coreProperties>
</file>