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1CD4A" w14:textId="77777777" w:rsidR="00F40121" w:rsidRPr="00F40121" w:rsidRDefault="00F40121" w:rsidP="00F40121">
      <w:pPr>
        <w:widowControl/>
        <w:tabs>
          <w:tab w:val="left" w:pos="2760"/>
        </w:tabs>
        <w:spacing w:line="480" w:lineRule="auto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</w:t>
      </w:r>
      <w:r>
        <w:rPr>
          <w:rFonts w:ascii="Times New Roman" w:hAnsi="Times New Roman" w:cs="Times New Roman" w:hint="eastAsia"/>
          <w:b/>
          <w:bCs/>
          <w:color w:val="000000"/>
        </w:rPr>
        <w:t xml:space="preserve">upplemental </w:t>
      </w:r>
      <w:r w:rsidR="00A779D5" w:rsidRPr="00BD7504">
        <w:rPr>
          <w:rFonts w:ascii="Times New Roman" w:hAnsi="Times New Roman" w:cs="Times New Roman"/>
          <w:b/>
          <w:bCs/>
          <w:color w:val="000000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/>
        </w:rPr>
        <w:t>1</w:t>
      </w:r>
      <w:r w:rsidR="00D13782">
        <w:rPr>
          <w:rFonts w:ascii="Times New Roman" w:hAnsi="Times New Roman" w:cs="Times New Roman" w:hint="eastAsia"/>
          <w:b/>
          <w:bCs/>
          <w:color w:val="000000"/>
        </w:rPr>
        <w:t>a</w:t>
      </w:r>
      <w:r w:rsidR="00A779D5" w:rsidRPr="00BD7504">
        <w:rPr>
          <w:rFonts w:ascii="Times New Roman" w:hAnsi="Times New Roman" w:cs="Times New Roman"/>
          <w:b/>
          <w:bCs/>
          <w:color w:val="000000"/>
        </w:rPr>
        <w:t>.</w:t>
      </w:r>
      <w:r w:rsidRPr="00F40121">
        <w:rPr>
          <w:rFonts w:ascii="Times New Roman" w:hAnsi="Times New Roman" w:cs="Times New Roman" w:hint="eastAsia"/>
          <w:color w:val="000000"/>
        </w:rPr>
        <w:t xml:space="preserve"> </w:t>
      </w:r>
      <w:r w:rsidRPr="00F40121">
        <w:rPr>
          <w:rFonts w:ascii="Times New Roman" w:hAnsi="Times New Roman" w:cs="Times New Roman"/>
          <w:color w:val="000000"/>
        </w:rPr>
        <w:t>Perioperative outcomes of patients undergoing robot-assisted and laparoscopic radical nephrectomy before propensity score matching.</w:t>
      </w:r>
    </w:p>
    <w:p w14:paraId="3EDDCEBE" w14:textId="77777777" w:rsidR="00A271D5" w:rsidRDefault="00A271D5" w:rsidP="00A271D5">
      <w:pPr>
        <w:widowControl/>
        <w:tabs>
          <w:tab w:val="left" w:pos="2760"/>
        </w:tabs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tbl>
      <w:tblPr>
        <w:tblStyle w:val="20"/>
        <w:tblW w:w="0" w:type="auto"/>
        <w:tblLook w:val="06A0" w:firstRow="1" w:lastRow="0" w:firstColumn="1" w:lastColumn="0" w:noHBand="1" w:noVBand="1"/>
      </w:tblPr>
      <w:tblGrid>
        <w:gridCol w:w="3114"/>
        <w:gridCol w:w="2126"/>
        <w:gridCol w:w="2126"/>
        <w:gridCol w:w="1128"/>
      </w:tblGrid>
      <w:tr w:rsidR="00331EF5" w:rsidRPr="00331EF5" w14:paraId="58FC9FC0" w14:textId="77777777" w:rsidTr="00331E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99C9561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126" w:type="dxa"/>
          </w:tcPr>
          <w:p w14:paraId="271B782A" w14:textId="77777777" w:rsidR="00F40121" w:rsidRPr="00331EF5" w:rsidRDefault="00F40121" w:rsidP="00331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RARN (n = 35)</w:t>
            </w:r>
          </w:p>
        </w:tc>
        <w:tc>
          <w:tcPr>
            <w:tcW w:w="2126" w:type="dxa"/>
          </w:tcPr>
          <w:p w14:paraId="63DDB980" w14:textId="77777777" w:rsidR="00F40121" w:rsidRPr="00331EF5" w:rsidRDefault="00F40121" w:rsidP="00331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LRN (n = 96)</w:t>
            </w:r>
          </w:p>
        </w:tc>
        <w:tc>
          <w:tcPr>
            <w:tcW w:w="1128" w:type="dxa"/>
          </w:tcPr>
          <w:p w14:paraId="4C223FF6" w14:textId="77777777" w:rsidR="00F40121" w:rsidRPr="00331EF5" w:rsidRDefault="00F40121" w:rsidP="00331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p-value</w:t>
            </w:r>
          </w:p>
        </w:tc>
      </w:tr>
      <w:tr w:rsidR="00331EF5" w:rsidRPr="00331EF5" w14:paraId="61516530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1B2FD8C" w14:textId="0247F6D9" w:rsidR="00331EF5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Surgical</w:t>
            </w:r>
            <w:r w:rsidR="00331EF5" w:rsidRPr="00331EF5">
              <w:rPr>
                <w:rFonts w:ascii="Times New Roman" w:hAnsi="Times New Roman" w:cs="Times New Roman"/>
              </w:rPr>
              <w:t xml:space="preserve"> </w:t>
            </w:r>
            <w:r w:rsidRPr="00331EF5">
              <w:rPr>
                <w:rFonts w:ascii="Times New Roman" w:hAnsi="Times New Roman" w:cs="Times New Roman"/>
              </w:rPr>
              <w:t>approach (Transperitoneal/</w:t>
            </w:r>
          </w:p>
          <w:p w14:paraId="6E896B5A" w14:textId="5FB36EEA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Retroperitoneal)</w:t>
            </w:r>
          </w:p>
        </w:tc>
        <w:tc>
          <w:tcPr>
            <w:tcW w:w="2126" w:type="dxa"/>
          </w:tcPr>
          <w:p w14:paraId="28E85D66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35 / 1</w:t>
            </w:r>
          </w:p>
        </w:tc>
        <w:tc>
          <w:tcPr>
            <w:tcW w:w="2126" w:type="dxa"/>
          </w:tcPr>
          <w:p w14:paraId="7553D5B6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91 / 5</w:t>
            </w:r>
          </w:p>
        </w:tc>
        <w:tc>
          <w:tcPr>
            <w:tcW w:w="1128" w:type="dxa"/>
          </w:tcPr>
          <w:p w14:paraId="2C3AA825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0.101</w:t>
            </w:r>
          </w:p>
        </w:tc>
      </w:tr>
      <w:tr w:rsidR="00331EF5" w:rsidRPr="00331EF5" w14:paraId="45CAC6C4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AA3C2CD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Operative time (min), median (IQR)</w:t>
            </w:r>
          </w:p>
        </w:tc>
        <w:tc>
          <w:tcPr>
            <w:tcW w:w="2126" w:type="dxa"/>
          </w:tcPr>
          <w:p w14:paraId="4774D637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180.0 (136.5–225.5)</w:t>
            </w:r>
          </w:p>
        </w:tc>
        <w:tc>
          <w:tcPr>
            <w:tcW w:w="2126" w:type="dxa"/>
          </w:tcPr>
          <w:p w14:paraId="684AC81B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151.5 (129.0–180.3)</w:t>
            </w:r>
          </w:p>
        </w:tc>
        <w:tc>
          <w:tcPr>
            <w:tcW w:w="1128" w:type="dxa"/>
          </w:tcPr>
          <w:p w14:paraId="17EBA2A1" w14:textId="1D5CAE00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0.012</w:t>
            </w:r>
          </w:p>
        </w:tc>
      </w:tr>
      <w:tr w:rsidR="00331EF5" w:rsidRPr="00331EF5" w14:paraId="62DDC893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F382399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Pneumoperitoneum time (min), median (IQR)</w:t>
            </w:r>
          </w:p>
        </w:tc>
        <w:tc>
          <w:tcPr>
            <w:tcW w:w="2126" w:type="dxa"/>
          </w:tcPr>
          <w:p w14:paraId="77BA689D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126" w:type="dxa"/>
          </w:tcPr>
          <w:p w14:paraId="454C4C8A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113.5 (94–133.5)</w:t>
            </w:r>
          </w:p>
        </w:tc>
        <w:tc>
          <w:tcPr>
            <w:tcW w:w="1128" w:type="dxa"/>
          </w:tcPr>
          <w:p w14:paraId="1B212D91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–</w:t>
            </w:r>
          </w:p>
        </w:tc>
      </w:tr>
      <w:tr w:rsidR="00331EF5" w:rsidRPr="00331EF5" w14:paraId="6606EF55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1649261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Console time (min), median (IQR)</w:t>
            </w:r>
          </w:p>
        </w:tc>
        <w:tc>
          <w:tcPr>
            <w:tcW w:w="2126" w:type="dxa"/>
          </w:tcPr>
          <w:p w14:paraId="3A50916B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100.0 (77.5–159.5)</w:t>
            </w:r>
          </w:p>
        </w:tc>
        <w:tc>
          <w:tcPr>
            <w:tcW w:w="2126" w:type="dxa"/>
          </w:tcPr>
          <w:p w14:paraId="3FE78B37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28" w:type="dxa"/>
          </w:tcPr>
          <w:p w14:paraId="30D4928D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–</w:t>
            </w:r>
          </w:p>
        </w:tc>
      </w:tr>
      <w:tr w:rsidR="00331EF5" w:rsidRPr="00331EF5" w14:paraId="769B99F3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3186DFD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Estimated blood loss (mL), median (IQR)</w:t>
            </w:r>
          </w:p>
        </w:tc>
        <w:tc>
          <w:tcPr>
            <w:tcW w:w="2126" w:type="dxa"/>
          </w:tcPr>
          <w:p w14:paraId="4B406225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58.0 (5.0–155.5)</w:t>
            </w:r>
          </w:p>
        </w:tc>
        <w:tc>
          <w:tcPr>
            <w:tcW w:w="2126" w:type="dxa"/>
          </w:tcPr>
          <w:p w14:paraId="0001FA1D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11.5 (4.0–40.0)</w:t>
            </w:r>
          </w:p>
        </w:tc>
        <w:tc>
          <w:tcPr>
            <w:tcW w:w="1128" w:type="dxa"/>
          </w:tcPr>
          <w:p w14:paraId="66E4E7C0" w14:textId="7FDF2E0B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0.018</w:t>
            </w:r>
          </w:p>
        </w:tc>
      </w:tr>
      <w:tr w:rsidR="00331EF5" w:rsidRPr="00331EF5" w14:paraId="32E91DA0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A6DE7E0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Lymph node dissection, n</w:t>
            </w:r>
          </w:p>
        </w:tc>
        <w:tc>
          <w:tcPr>
            <w:tcW w:w="2126" w:type="dxa"/>
          </w:tcPr>
          <w:p w14:paraId="75656C17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4EF0A7E3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</w:tcPr>
          <w:p w14:paraId="0165A149" w14:textId="3348833B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0.032</w:t>
            </w:r>
          </w:p>
        </w:tc>
      </w:tr>
      <w:tr w:rsidR="00331EF5" w:rsidRPr="00331EF5" w14:paraId="60051969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4224E21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Complications (≥ grade 3), n</w:t>
            </w:r>
          </w:p>
        </w:tc>
        <w:tc>
          <w:tcPr>
            <w:tcW w:w="2126" w:type="dxa"/>
          </w:tcPr>
          <w:p w14:paraId="231C2683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09FE3B9C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</w:tcPr>
          <w:p w14:paraId="79417A7D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0.609</w:t>
            </w:r>
          </w:p>
        </w:tc>
      </w:tr>
      <w:tr w:rsidR="00331EF5" w:rsidRPr="00331EF5" w14:paraId="2A9A482C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EACCD73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 xml:space="preserve">Postoperative hospital </w:t>
            </w:r>
            <w:proofErr w:type="gramStart"/>
            <w:r w:rsidRPr="00331EF5">
              <w:rPr>
                <w:rFonts w:ascii="Times New Roman" w:hAnsi="Times New Roman" w:cs="Times New Roman"/>
              </w:rPr>
              <w:t>stay</w:t>
            </w:r>
            <w:proofErr w:type="gramEnd"/>
            <w:r w:rsidRPr="00331EF5">
              <w:rPr>
                <w:rFonts w:ascii="Times New Roman" w:hAnsi="Times New Roman" w:cs="Times New Roman"/>
              </w:rPr>
              <w:t xml:space="preserve"> (days), median (IQR)</w:t>
            </w:r>
          </w:p>
        </w:tc>
        <w:tc>
          <w:tcPr>
            <w:tcW w:w="2126" w:type="dxa"/>
          </w:tcPr>
          <w:p w14:paraId="06529BBC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6.5 (5–10)</w:t>
            </w:r>
          </w:p>
        </w:tc>
        <w:tc>
          <w:tcPr>
            <w:tcW w:w="2126" w:type="dxa"/>
          </w:tcPr>
          <w:p w14:paraId="2A2D1E71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5.0 (4–6)</w:t>
            </w:r>
          </w:p>
        </w:tc>
        <w:tc>
          <w:tcPr>
            <w:tcW w:w="1128" w:type="dxa"/>
          </w:tcPr>
          <w:p w14:paraId="1FF58FCC" w14:textId="4CDFD0A8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&lt;0.001</w:t>
            </w:r>
          </w:p>
        </w:tc>
      </w:tr>
      <w:tr w:rsidR="00331EF5" w:rsidRPr="00331EF5" w14:paraId="5D01464D" w14:textId="77777777" w:rsidTr="00331E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BCF8943" w14:textId="77777777" w:rsidR="00F40121" w:rsidRPr="00331EF5" w:rsidRDefault="00F40121" w:rsidP="00331EF5">
            <w:pPr>
              <w:jc w:val="center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Postoperative recurrence/metastasis, n</w:t>
            </w:r>
          </w:p>
        </w:tc>
        <w:tc>
          <w:tcPr>
            <w:tcW w:w="2126" w:type="dxa"/>
          </w:tcPr>
          <w:p w14:paraId="63D1C1E7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14:paraId="0108B0C9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28" w:type="dxa"/>
          </w:tcPr>
          <w:p w14:paraId="4572B7C8" w14:textId="77777777" w:rsidR="00F40121" w:rsidRPr="00331EF5" w:rsidRDefault="00F40121" w:rsidP="00331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1EF5">
              <w:rPr>
                <w:rFonts w:ascii="Times New Roman" w:hAnsi="Times New Roman" w:cs="Times New Roman"/>
              </w:rPr>
              <w:t>0.158</w:t>
            </w:r>
          </w:p>
        </w:tc>
      </w:tr>
    </w:tbl>
    <w:p w14:paraId="1F22FBC0" w14:textId="77777777" w:rsidR="00D6067B" w:rsidRDefault="00D6067B" w:rsidP="00D6067B">
      <w:pPr>
        <w:spacing w:line="480" w:lineRule="auto"/>
      </w:pPr>
    </w:p>
    <w:p w14:paraId="18E2F666" w14:textId="77777777" w:rsidR="00F40121" w:rsidRDefault="00F40121" w:rsidP="00BD3AD9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  <w:r w:rsidRPr="00F40121">
        <w:rPr>
          <w:rFonts w:ascii="Times New Roman" w:hAnsi="Times New Roman" w:cs="Times New Roman"/>
          <w:color w:val="000000"/>
        </w:rPr>
        <w:t xml:space="preserve">Data are presented as median (interquartile range) or number. </w:t>
      </w:r>
    </w:p>
    <w:p w14:paraId="4B986CAC" w14:textId="04785F0C" w:rsidR="00F40121" w:rsidRDefault="00F40121" w:rsidP="00BD3AD9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  <w:r w:rsidRPr="00F40121">
        <w:rPr>
          <w:rFonts w:ascii="Times New Roman" w:hAnsi="Times New Roman" w:cs="Times New Roman"/>
          <w:color w:val="000000"/>
        </w:rPr>
        <w:t>Pneumoperitoneum and console times were not applicable in some approaches.</w:t>
      </w:r>
    </w:p>
    <w:p w14:paraId="5041B98E" w14:textId="77777777" w:rsidR="00F40121" w:rsidRDefault="00F40121">
      <w:pPr>
        <w:widowControl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17056E45" w14:textId="77777777" w:rsidR="00743290" w:rsidRDefault="00743290" w:rsidP="0074329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S</w:t>
      </w:r>
      <w:r>
        <w:rPr>
          <w:rFonts w:ascii="Times New Roman" w:hAnsi="Times New Roman" w:cs="Times New Roman" w:hint="eastAsia"/>
          <w:b/>
          <w:bCs/>
          <w:color w:val="000000"/>
        </w:rPr>
        <w:t>upplemental</w:t>
      </w:r>
      <w:r w:rsidRPr="00BD750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1B44A3" w:rsidRPr="00BD7504">
        <w:rPr>
          <w:rFonts w:ascii="Times New Roman" w:hAnsi="Times New Roman" w:cs="Times New Roman"/>
          <w:b/>
          <w:bCs/>
          <w:color w:val="000000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/>
        </w:rPr>
        <w:t>1</w:t>
      </w:r>
      <w:r w:rsidR="00B64697">
        <w:rPr>
          <w:rFonts w:ascii="Times New Roman" w:hAnsi="Times New Roman" w:cs="Times New Roman" w:hint="eastAsia"/>
          <w:b/>
          <w:bCs/>
          <w:color w:val="000000"/>
        </w:rPr>
        <w:t>b</w:t>
      </w:r>
      <w:r w:rsidR="001B44A3" w:rsidRPr="00BD7504">
        <w:rPr>
          <w:rFonts w:ascii="Times New Roman" w:hAnsi="Times New Roman" w:cs="Times New Roman"/>
          <w:b/>
          <w:bCs/>
          <w:color w:val="000000"/>
        </w:rPr>
        <w:t>.</w:t>
      </w:r>
      <w:r w:rsidR="001B44A3" w:rsidRPr="001B44A3">
        <w:rPr>
          <w:rFonts w:ascii="Times New Roman" w:hAnsi="Times New Roman" w:cs="Times New Roman" w:hint="eastAsia"/>
          <w:color w:val="000000"/>
        </w:rPr>
        <w:t xml:space="preserve"> </w:t>
      </w:r>
      <w:r w:rsidRPr="00743290">
        <w:rPr>
          <w:rFonts w:ascii="Times New Roman" w:hAnsi="Times New Roman" w:cs="Times New Roman"/>
          <w:color w:val="000000"/>
        </w:rPr>
        <w:t>Perioperative outcomes of patients undergoing robot-assisted and open radical nephrectomy before propensity score matching.</w:t>
      </w:r>
    </w:p>
    <w:p w14:paraId="32AF8C30" w14:textId="77777777" w:rsidR="00743290" w:rsidRDefault="00743290" w:rsidP="0074329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tbl>
      <w:tblPr>
        <w:tblStyle w:val="20"/>
        <w:tblW w:w="8500" w:type="dxa"/>
        <w:tblLook w:val="06A0" w:firstRow="1" w:lastRow="0" w:firstColumn="1" w:lastColumn="0" w:noHBand="1" w:noVBand="1"/>
      </w:tblPr>
      <w:tblGrid>
        <w:gridCol w:w="3112"/>
        <w:gridCol w:w="2060"/>
        <w:gridCol w:w="2061"/>
        <w:gridCol w:w="1267"/>
      </w:tblGrid>
      <w:tr w:rsidR="00F81735" w14:paraId="36A0B226" w14:textId="77777777" w:rsidTr="00F81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3CB75788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060" w:type="dxa"/>
            <w:vAlign w:val="center"/>
          </w:tcPr>
          <w:p w14:paraId="60A5BE57" w14:textId="77777777" w:rsidR="00743290" w:rsidRPr="00F81735" w:rsidRDefault="00743290" w:rsidP="00F81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RARN (n = 35)</w:t>
            </w:r>
          </w:p>
        </w:tc>
        <w:tc>
          <w:tcPr>
            <w:tcW w:w="2061" w:type="dxa"/>
            <w:vAlign w:val="center"/>
          </w:tcPr>
          <w:p w14:paraId="518409D0" w14:textId="77777777" w:rsidR="00743290" w:rsidRPr="00F81735" w:rsidRDefault="00743290" w:rsidP="00F81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ORN (n = 33)</w:t>
            </w:r>
          </w:p>
        </w:tc>
        <w:tc>
          <w:tcPr>
            <w:tcW w:w="1267" w:type="dxa"/>
            <w:vAlign w:val="center"/>
          </w:tcPr>
          <w:p w14:paraId="51795437" w14:textId="77777777" w:rsidR="00743290" w:rsidRPr="00F81735" w:rsidRDefault="00743290" w:rsidP="00F81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p-value</w:t>
            </w:r>
          </w:p>
        </w:tc>
      </w:tr>
      <w:tr w:rsidR="00F81735" w14:paraId="6440509C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4DDF326C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Surgical approach (Transperitoneal / Retroperitoneal)</w:t>
            </w:r>
          </w:p>
        </w:tc>
        <w:tc>
          <w:tcPr>
            <w:tcW w:w="2060" w:type="dxa"/>
            <w:vAlign w:val="center"/>
          </w:tcPr>
          <w:p w14:paraId="069E322E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35 / 1</w:t>
            </w:r>
          </w:p>
        </w:tc>
        <w:tc>
          <w:tcPr>
            <w:tcW w:w="2061" w:type="dxa"/>
            <w:vAlign w:val="center"/>
          </w:tcPr>
          <w:p w14:paraId="7DF7B31F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32 / 1</w:t>
            </w:r>
          </w:p>
        </w:tc>
        <w:tc>
          <w:tcPr>
            <w:tcW w:w="1267" w:type="dxa"/>
            <w:vAlign w:val="center"/>
          </w:tcPr>
          <w:p w14:paraId="229FB71B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0.739</w:t>
            </w:r>
          </w:p>
        </w:tc>
      </w:tr>
      <w:tr w:rsidR="00F81735" w14:paraId="454768B5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12616DA8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Operative time (min), median (IQR)</w:t>
            </w:r>
          </w:p>
        </w:tc>
        <w:tc>
          <w:tcPr>
            <w:tcW w:w="2060" w:type="dxa"/>
            <w:vAlign w:val="center"/>
          </w:tcPr>
          <w:p w14:paraId="465F94E6" w14:textId="77777777" w:rsidR="00F81735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180.0</w:t>
            </w:r>
          </w:p>
          <w:p w14:paraId="3EB8789C" w14:textId="53C4F7B4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 xml:space="preserve"> (136.5–225.5)</w:t>
            </w:r>
          </w:p>
        </w:tc>
        <w:tc>
          <w:tcPr>
            <w:tcW w:w="2061" w:type="dxa"/>
            <w:vAlign w:val="center"/>
          </w:tcPr>
          <w:p w14:paraId="3E5C9878" w14:textId="77777777" w:rsidR="00F81735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 xml:space="preserve">235.0 </w:t>
            </w:r>
          </w:p>
          <w:p w14:paraId="45F7C373" w14:textId="5BE01398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(177.0–375.0)</w:t>
            </w:r>
          </w:p>
        </w:tc>
        <w:tc>
          <w:tcPr>
            <w:tcW w:w="1267" w:type="dxa"/>
            <w:vAlign w:val="center"/>
          </w:tcPr>
          <w:p w14:paraId="4D11F741" w14:textId="24B65B60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0.01</w:t>
            </w:r>
            <w:r w:rsidR="00F81735" w:rsidRPr="00F81735">
              <w:rPr>
                <w:rFonts w:ascii="Times New Roman" w:hAnsi="Times New Roman" w:cs="Times New Roman"/>
              </w:rPr>
              <w:t>8</w:t>
            </w:r>
          </w:p>
        </w:tc>
      </w:tr>
      <w:tr w:rsidR="00F81735" w14:paraId="5E6C199B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5F88B767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Console time (min), median (IQR)</w:t>
            </w:r>
          </w:p>
        </w:tc>
        <w:tc>
          <w:tcPr>
            <w:tcW w:w="2060" w:type="dxa"/>
            <w:vAlign w:val="center"/>
          </w:tcPr>
          <w:p w14:paraId="1AF0C77B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100.0 (77.5–159.5)</w:t>
            </w:r>
          </w:p>
        </w:tc>
        <w:tc>
          <w:tcPr>
            <w:tcW w:w="2061" w:type="dxa"/>
            <w:vAlign w:val="center"/>
          </w:tcPr>
          <w:p w14:paraId="22218417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67" w:type="dxa"/>
            <w:vAlign w:val="center"/>
          </w:tcPr>
          <w:p w14:paraId="7AD527FD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–</w:t>
            </w:r>
          </w:p>
        </w:tc>
      </w:tr>
      <w:tr w:rsidR="00F81735" w14:paraId="38CB0643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741F4385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Estimated blood loss (mL), median (IQR)</w:t>
            </w:r>
          </w:p>
        </w:tc>
        <w:tc>
          <w:tcPr>
            <w:tcW w:w="2060" w:type="dxa"/>
            <w:vAlign w:val="center"/>
          </w:tcPr>
          <w:p w14:paraId="6E6E3AF4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58.0 (5.0–155.5)</w:t>
            </w:r>
          </w:p>
        </w:tc>
        <w:tc>
          <w:tcPr>
            <w:tcW w:w="2061" w:type="dxa"/>
            <w:vAlign w:val="center"/>
          </w:tcPr>
          <w:p w14:paraId="15D88360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1187 (752–2649)</w:t>
            </w:r>
          </w:p>
        </w:tc>
        <w:tc>
          <w:tcPr>
            <w:tcW w:w="1267" w:type="dxa"/>
            <w:vAlign w:val="center"/>
          </w:tcPr>
          <w:p w14:paraId="2E34C089" w14:textId="308185BB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&lt;0.00</w:t>
            </w:r>
            <w:r w:rsidR="00F81735" w:rsidRPr="00F81735">
              <w:rPr>
                <w:rFonts w:ascii="Times New Roman" w:hAnsi="Times New Roman" w:cs="Times New Roman"/>
              </w:rPr>
              <w:t>1</w:t>
            </w:r>
          </w:p>
        </w:tc>
      </w:tr>
      <w:tr w:rsidR="00F81735" w14:paraId="58533DB9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5FBBFE8C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Lymph node dissection, n</w:t>
            </w:r>
          </w:p>
        </w:tc>
        <w:tc>
          <w:tcPr>
            <w:tcW w:w="2060" w:type="dxa"/>
            <w:vAlign w:val="center"/>
          </w:tcPr>
          <w:p w14:paraId="4A212244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1" w:type="dxa"/>
            <w:vAlign w:val="center"/>
          </w:tcPr>
          <w:p w14:paraId="742C69A2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7" w:type="dxa"/>
            <w:vAlign w:val="center"/>
          </w:tcPr>
          <w:p w14:paraId="66DD715F" w14:textId="73F42648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0.050</w:t>
            </w:r>
          </w:p>
        </w:tc>
      </w:tr>
      <w:tr w:rsidR="00F81735" w14:paraId="1E11C665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0C73D7D9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Complications (≥ grade 3), n</w:t>
            </w:r>
          </w:p>
        </w:tc>
        <w:tc>
          <w:tcPr>
            <w:tcW w:w="2060" w:type="dxa"/>
            <w:vAlign w:val="center"/>
          </w:tcPr>
          <w:p w14:paraId="532C5A0D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1" w:type="dxa"/>
            <w:vAlign w:val="center"/>
          </w:tcPr>
          <w:p w14:paraId="678783BB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7" w:type="dxa"/>
            <w:vAlign w:val="center"/>
          </w:tcPr>
          <w:p w14:paraId="54D5830F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0.144</w:t>
            </w:r>
          </w:p>
        </w:tc>
      </w:tr>
      <w:tr w:rsidR="00F81735" w14:paraId="3B559AEA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2AF4D268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 xml:space="preserve">Postoperative hospital </w:t>
            </w:r>
            <w:proofErr w:type="gramStart"/>
            <w:r w:rsidRPr="00F81735">
              <w:rPr>
                <w:rFonts w:ascii="Times New Roman" w:hAnsi="Times New Roman" w:cs="Times New Roman"/>
              </w:rPr>
              <w:t>stay</w:t>
            </w:r>
            <w:proofErr w:type="gramEnd"/>
            <w:r w:rsidRPr="00F81735">
              <w:rPr>
                <w:rFonts w:ascii="Times New Roman" w:hAnsi="Times New Roman" w:cs="Times New Roman"/>
              </w:rPr>
              <w:t xml:space="preserve"> (days), median (IQR)</w:t>
            </w:r>
          </w:p>
        </w:tc>
        <w:tc>
          <w:tcPr>
            <w:tcW w:w="2060" w:type="dxa"/>
            <w:vAlign w:val="center"/>
          </w:tcPr>
          <w:p w14:paraId="0D389EB9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6.5 (5–10)</w:t>
            </w:r>
          </w:p>
        </w:tc>
        <w:tc>
          <w:tcPr>
            <w:tcW w:w="2061" w:type="dxa"/>
            <w:vAlign w:val="center"/>
          </w:tcPr>
          <w:p w14:paraId="502DE8DC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10 (9–16)</w:t>
            </w:r>
          </w:p>
        </w:tc>
        <w:tc>
          <w:tcPr>
            <w:tcW w:w="1267" w:type="dxa"/>
            <w:vAlign w:val="center"/>
          </w:tcPr>
          <w:p w14:paraId="0C4B2EF8" w14:textId="52A9B657" w:rsidR="00743290" w:rsidRPr="00F81735" w:rsidRDefault="00F81735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&lt;</w:t>
            </w:r>
            <w:r w:rsidR="00743290" w:rsidRPr="00F81735">
              <w:rPr>
                <w:rFonts w:ascii="Times New Roman" w:hAnsi="Times New Roman" w:cs="Times New Roman"/>
              </w:rPr>
              <w:t>0.00</w:t>
            </w:r>
            <w:r w:rsidRPr="00F81735">
              <w:rPr>
                <w:rFonts w:ascii="Times New Roman" w:hAnsi="Times New Roman" w:cs="Times New Roman"/>
              </w:rPr>
              <w:t>1</w:t>
            </w:r>
          </w:p>
        </w:tc>
      </w:tr>
      <w:tr w:rsidR="00F81735" w14:paraId="3A566800" w14:textId="77777777" w:rsidTr="00F817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vAlign w:val="center"/>
          </w:tcPr>
          <w:p w14:paraId="5E24CD09" w14:textId="77777777" w:rsidR="00743290" w:rsidRPr="00F81735" w:rsidRDefault="00743290" w:rsidP="00F81735">
            <w:pPr>
              <w:jc w:val="center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Postoperative recurrence/metastasis, n</w:t>
            </w:r>
          </w:p>
        </w:tc>
        <w:tc>
          <w:tcPr>
            <w:tcW w:w="2060" w:type="dxa"/>
            <w:vAlign w:val="center"/>
          </w:tcPr>
          <w:p w14:paraId="44DABDCB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61" w:type="dxa"/>
            <w:vAlign w:val="center"/>
          </w:tcPr>
          <w:p w14:paraId="16AFE153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7" w:type="dxa"/>
            <w:vAlign w:val="center"/>
          </w:tcPr>
          <w:p w14:paraId="7463F90D" w14:textId="77777777" w:rsidR="00743290" w:rsidRPr="00F81735" w:rsidRDefault="00743290" w:rsidP="00F81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81735">
              <w:rPr>
                <w:rFonts w:ascii="Times New Roman" w:hAnsi="Times New Roman" w:cs="Times New Roman"/>
              </w:rPr>
              <w:t>0.012</w:t>
            </w:r>
          </w:p>
        </w:tc>
      </w:tr>
    </w:tbl>
    <w:p w14:paraId="7145551C" w14:textId="77777777" w:rsidR="00743290" w:rsidRPr="00743290" w:rsidRDefault="00743290" w:rsidP="00F81735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p w14:paraId="50292758" w14:textId="466407F6" w:rsidR="000512F1" w:rsidRDefault="00743290" w:rsidP="00743290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  <w:r w:rsidRPr="00743290">
        <w:rPr>
          <w:rFonts w:ascii="Times New Roman" w:hAnsi="Times New Roman" w:cs="Times New Roman"/>
          <w:color w:val="000000"/>
        </w:rPr>
        <w:t>Data are presented as median (interquartile range) or number. Console time was not applicable for open surgery.</w:t>
      </w:r>
    </w:p>
    <w:p w14:paraId="6B354A8F" w14:textId="77777777" w:rsidR="000512F1" w:rsidRDefault="000512F1" w:rsidP="000512F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p w14:paraId="7ED2C8CE" w14:textId="77777777" w:rsidR="00D6067B" w:rsidRPr="000512F1" w:rsidRDefault="00D6067B" w:rsidP="000512F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p w14:paraId="6D15F34B" w14:textId="77777777" w:rsidR="001B44A3" w:rsidRDefault="001B44A3" w:rsidP="007670E9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</w:p>
    <w:p w14:paraId="4CFCDFBC" w14:textId="77777777" w:rsidR="001B44A3" w:rsidRPr="00C62695" w:rsidRDefault="001B44A3" w:rsidP="007670E9">
      <w:pPr>
        <w:widowControl/>
        <w:spacing w:line="480" w:lineRule="auto"/>
        <w:jc w:val="left"/>
        <w:rPr>
          <w:rFonts w:ascii="Times New Roman" w:hAnsi="Times New Roman" w:cs="Times New Roman" w:hint="eastAsia"/>
          <w:color w:val="000000"/>
        </w:rPr>
      </w:pPr>
    </w:p>
    <w:sectPr w:rsidR="001B44A3" w:rsidRPr="00C626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5119F" w14:textId="77777777" w:rsidR="00281489" w:rsidRDefault="00281489" w:rsidP="006A3A79">
      <w:r>
        <w:separator/>
      </w:r>
    </w:p>
  </w:endnote>
  <w:endnote w:type="continuationSeparator" w:id="0">
    <w:p w14:paraId="03C04132" w14:textId="77777777" w:rsidR="00281489" w:rsidRDefault="00281489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CE9B" w14:textId="77777777" w:rsidR="00281489" w:rsidRDefault="00281489" w:rsidP="006A3A79">
      <w:r>
        <w:separator/>
      </w:r>
    </w:p>
  </w:footnote>
  <w:footnote w:type="continuationSeparator" w:id="0">
    <w:p w14:paraId="45C59F3B" w14:textId="77777777" w:rsidR="00281489" w:rsidRDefault="00281489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44A3"/>
    <w:rsid w:val="001D4DE8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A3A79"/>
    <w:rsid w:val="006D58AC"/>
    <w:rsid w:val="00743290"/>
    <w:rsid w:val="007670E9"/>
    <w:rsid w:val="007938E5"/>
    <w:rsid w:val="007C4E0E"/>
    <w:rsid w:val="00834DCA"/>
    <w:rsid w:val="00885578"/>
    <w:rsid w:val="008F060A"/>
    <w:rsid w:val="00937CF6"/>
    <w:rsid w:val="009747E3"/>
    <w:rsid w:val="00A271D5"/>
    <w:rsid w:val="00A47C4A"/>
    <w:rsid w:val="00A779D5"/>
    <w:rsid w:val="00AD05EF"/>
    <w:rsid w:val="00B24DF9"/>
    <w:rsid w:val="00B37756"/>
    <w:rsid w:val="00B64697"/>
    <w:rsid w:val="00BA33CE"/>
    <w:rsid w:val="00BB1DB2"/>
    <w:rsid w:val="00BD3AD9"/>
    <w:rsid w:val="00BD42FB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4</cp:revision>
  <dcterms:created xsi:type="dcterms:W3CDTF">2025-06-18T02:17:00Z</dcterms:created>
  <dcterms:modified xsi:type="dcterms:W3CDTF">2025-09-12T14:40:00Z</dcterms:modified>
</cp:coreProperties>
</file>