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Supplementary Table S1. Multivariable regression analyses of perioperative outcomes adjusted for calendar year and ERAS protocol (N=109).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rtl w:val="0"/>
        </w:rPr>
        <w:t xml:space="preserve">Models were fit using a forced-entry approach (all covariates entered simultaneously). Blood loss and hospital stay were analyzed using linear regression on log-transformed outcomes; effect estimates are presented as adjusted ratios (expβ). Conversion and any complication (Clavien–Dindo ≥ 1) were analyzed using logistic regression; effect estimates are presented as odds ratios (OR). Calendar year was modeled as a continuous variable (per +1 year). Conversion was analyzed using Firth penalized logistic regression due to sparse events/quasi-separation.</w:t>
      </w:r>
    </w:p>
    <w:tbl>
      <w:tblPr>
        <w:tblStyle w:val="Table1"/>
        <w:tblW w:w="8640.0" w:type="dxa"/>
        <w:jc w:val="left"/>
        <w:tblInd w:w="-115.0" w:type="dxa"/>
        <w:tblLayout w:type="fixed"/>
        <w:tblLook w:val="0400"/>
      </w:tblPr>
      <w:tblGrid>
        <w:gridCol w:w="1728"/>
        <w:gridCol w:w="1728"/>
        <w:gridCol w:w="1728"/>
        <w:gridCol w:w="1728"/>
        <w:gridCol w:w="1728"/>
        <w:tblGridChange w:id="0">
          <w:tblGrid>
            <w:gridCol w:w="1728"/>
            <w:gridCol w:w="1728"/>
            <w:gridCol w:w="1728"/>
            <w:gridCol w:w="1728"/>
            <w:gridCol w:w="17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Outcome (model)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R-TME vs TaTME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Calendar year (per +1)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ERAS protocol (yes vs no)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Blood loss</w:t>
              <w:br w:type="textWrapping"/>
              <w:t xml:space="preserve">Linear regression on ln(Blood loss)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1.34 (0.65–2.77)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 (0.81–1.12)</w:t>
              <w:br w:type="textWrapping"/>
              <w:t xml:space="preserve">P=0.537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0.42 (0.27–0.66)</w:t>
              <w:br w:type="textWrapping"/>
              <w:t xml:space="preserve">P =&lt; 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Hospital stay</w:t>
              <w:br w:type="textWrapping"/>
              <w:t xml:space="preserve">Linear regression on ln(Hospital stay)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0.94 (0.67–1.31)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0.98 (0.89–1.07)</w:t>
              <w:br w:type="textWrapping"/>
              <w:t xml:space="preserve">P=0.654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0.75 (0.55–1.04)</w:t>
              <w:br w:type="textWrapping"/>
              <w:t xml:space="preserve">P=0.086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Conversion</w:t>
              <w:br w:type="textWrapping"/>
              <w:t xml:space="preserve">Firth penalized logistic regression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0.08 (0.00–3.15)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1.41 (0.65–3.06)</w:t>
              <w:br w:type="textWrapping"/>
              <w:t xml:space="preserve">P=0.383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0.84 (0.03–21.96)</w:t>
              <w:br w:type="textWrapping"/>
              <w:t xml:space="preserve">P=0.918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complication</w:t>
              <w:br w:type="textWrapping"/>
              <w:t xml:space="preserve">Logistic regression (CD ≥1)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0.53 (0.08–3.66)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 (0.53–1.19)</w:t>
              <w:br w:type="textWrapping"/>
              <w:t xml:space="preserve">P=0.261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2.12 (0.42–10.74)</w:t>
              <w:br w:type="textWrapping"/>
              <w:t xml:space="preserve">P=0.363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icnN6H4vPNUb/URj6ey3y3UIbg==">CgMxLjA4AHIhMVZEMnpaT01XaXA2ZG1nVTZOZ3dvdUxaaUJJSkRaaTVE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