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080" w:type="dxa"/>
        <w:tblLayout w:type="fixed"/>
        <w:tblLook w:val="04A0" w:firstRow="1" w:lastRow="0" w:firstColumn="1" w:lastColumn="0" w:noHBand="0" w:noVBand="1"/>
      </w:tblPr>
      <w:tblGrid>
        <w:gridCol w:w="1560"/>
        <w:gridCol w:w="1417"/>
        <w:gridCol w:w="1134"/>
        <w:gridCol w:w="1418"/>
        <w:gridCol w:w="1275"/>
        <w:gridCol w:w="1134"/>
        <w:gridCol w:w="1418"/>
        <w:gridCol w:w="4252"/>
        <w:gridCol w:w="1132"/>
        <w:gridCol w:w="286"/>
        <w:gridCol w:w="54"/>
      </w:tblGrid>
      <w:tr w:rsidR="00EB38AB" w:rsidRPr="00EB38AB" w14:paraId="66968492" w14:textId="77777777" w:rsidTr="00E3500D">
        <w:trPr>
          <w:gridAfter w:val="2"/>
          <w:wAfter w:w="340" w:type="dxa"/>
          <w:trHeight w:val="750"/>
        </w:trPr>
        <w:tc>
          <w:tcPr>
            <w:tcW w:w="14740" w:type="dxa"/>
            <w:gridSpan w:val="9"/>
            <w:tcBorders>
              <w:top w:val="nil"/>
              <w:left w:val="nil"/>
              <w:bottom w:val="nil"/>
              <w:right w:val="nil"/>
            </w:tcBorders>
            <w:vAlign w:val="center"/>
            <w:hideMark/>
          </w:tcPr>
          <w:p w14:paraId="330875A8" w14:textId="7E815B65" w:rsidR="00EB38AB" w:rsidRPr="00EB38AB" w:rsidRDefault="00EB38AB" w:rsidP="00EB38AB">
            <w:pPr>
              <w:spacing w:after="0" w:line="240" w:lineRule="auto"/>
              <w:rPr>
                <w:rFonts w:ascii="Arial" w:eastAsia="Times New Roman" w:hAnsi="Arial" w:cs="Arial"/>
                <w:b/>
                <w:bCs/>
                <w:kern w:val="0"/>
                <w:sz w:val="22"/>
                <w:szCs w:val="22"/>
                <w:lang w:eastAsia="en-GB"/>
                <w14:ligatures w14:val="none"/>
              </w:rPr>
            </w:pPr>
            <w:r w:rsidRPr="00EB38AB">
              <w:rPr>
                <w:rFonts w:ascii="Arial" w:eastAsia="Times New Roman" w:hAnsi="Arial" w:cs="Arial"/>
                <w:b/>
                <w:bCs/>
                <w:kern w:val="0"/>
                <w:sz w:val="22"/>
                <w:szCs w:val="22"/>
                <w:lang w:eastAsia="en-GB"/>
                <w14:ligatures w14:val="none"/>
              </w:rPr>
              <w:t>Supplementary Appendix S2. GRADE Summary of Findings — Technology-enhanced training adjunct vs standard simulator-based training in basic robotic surgical skills acquisition (novices)</w:t>
            </w:r>
          </w:p>
        </w:tc>
      </w:tr>
      <w:tr w:rsidR="00EB38AB" w:rsidRPr="00EB38AB" w14:paraId="4A9BAAC6" w14:textId="77777777" w:rsidTr="00E3500D">
        <w:trPr>
          <w:gridAfter w:val="2"/>
          <w:wAfter w:w="340" w:type="dxa"/>
          <w:trHeight w:val="1110"/>
        </w:trPr>
        <w:tc>
          <w:tcPr>
            <w:tcW w:w="14740" w:type="dxa"/>
            <w:gridSpan w:val="9"/>
            <w:tcBorders>
              <w:top w:val="nil"/>
              <w:left w:val="nil"/>
              <w:bottom w:val="nil"/>
              <w:right w:val="nil"/>
            </w:tcBorders>
            <w:vAlign w:val="center"/>
            <w:hideMark/>
          </w:tcPr>
          <w:p w14:paraId="3768CD60" w14:textId="77777777" w:rsidR="00EB38AB" w:rsidRPr="00EB38AB" w:rsidRDefault="00EB38AB" w:rsidP="00EB38AB">
            <w:pPr>
              <w:spacing w:after="0" w:line="240" w:lineRule="auto"/>
              <w:rPr>
                <w:rFonts w:ascii="Arial" w:eastAsia="Times New Roman" w:hAnsi="Arial" w:cs="Arial"/>
                <w:i/>
                <w:iCs/>
                <w:kern w:val="0"/>
                <w:sz w:val="16"/>
                <w:szCs w:val="16"/>
                <w:lang w:eastAsia="en-GB"/>
                <w14:ligatures w14:val="none"/>
              </w:rPr>
            </w:pPr>
            <w:r w:rsidRPr="00EB38AB">
              <w:rPr>
                <w:rFonts w:ascii="Arial" w:eastAsia="Times New Roman" w:hAnsi="Arial" w:cs="Arial"/>
                <w:i/>
                <w:iCs/>
                <w:kern w:val="0"/>
                <w:sz w:val="16"/>
                <w:szCs w:val="16"/>
                <w:lang w:eastAsia="en-GB"/>
                <w14:ligatures w14:val="none"/>
              </w:rPr>
              <w:t>Patient or population: novices in robotic surgery (medical students, surgical residents, fellows, or consultants without prior robotic experience). Intervention: technology-enhanced training adjunct (VR, AR, sensor-based, video review, or performance feedback). Comparator: standard simulator-based training (typically da Vinci Skills Simulator or Fundamentals of Robotic Surgery dry-lab). Setting: 17 studies, predominantly single-centre, all from high-income countries.</w:t>
            </w:r>
          </w:p>
        </w:tc>
      </w:tr>
      <w:tr w:rsidR="00EB38AB" w:rsidRPr="00EB38AB" w14:paraId="5D415A18" w14:textId="77777777" w:rsidTr="003528C9">
        <w:trPr>
          <w:gridAfter w:val="1"/>
          <w:wAfter w:w="54" w:type="dxa"/>
          <w:trHeight w:val="870"/>
        </w:trPr>
        <w:tc>
          <w:tcPr>
            <w:tcW w:w="1560" w:type="dxa"/>
            <w:tcBorders>
              <w:top w:val="single" w:sz="4" w:space="0" w:color="BFBFBF"/>
              <w:left w:val="single" w:sz="4" w:space="0" w:color="BFBFBF"/>
              <w:bottom w:val="single" w:sz="4" w:space="0" w:color="BFBFBF"/>
              <w:right w:val="single" w:sz="4" w:space="0" w:color="BFBFBF"/>
            </w:tcBorders>
            <w:shd w:val="clear" w:color="003366" w:fill="1F4E78"/>
            <w:vAlign w:val="center"/>
            <w:hideMark/>
          </w:tcPr>
          <w:p w14:paraId="6158EFB8" w14:textId="77777777" w:rsidR="00EB38AB" w:rsidRPr="00EB38AB" w:rsidRDefault="00EB38AB" w:rsidP="00EB38AB">
            <w:pPr>
              <w:spacing w:after="0" w:line="240" w:lineRule="auto"/>
              <w:jc w:val="center"/>
              <w:rPr>
                <w:rFonts w:ascii="Arial" w:eastAsia="Times New Roman" w:hAnsi="Arial" w:cs="Arial"/>
                <w:b/>
                <w:bCs/>
                <w:color w:val="FFFFFF"/>
                <w:kern w:val="0"/>
                <w:sz w:val="16"/>
                <w:szCs w:val="16"/>
                <w:lang w:eastAsia="en-GB"/>
                <w14:ligatures w14:val="none"/>
              </w:rPr>
            </w:pPr>
            <w:r w:rsidRPr="00EB38AB">
              <w:rPr>
                <w:rFonts w:ascii="Arial" w:eastAsia="Times New Roman" w:hAnsi="Arial" w:cs="Arial"/>
                <w:b/>
                <w:bCs/>
                <w:color w:val="FFFFFF"/>
                <w:kern w:val="0"/>
                <w:sz w:val="16"/>
                <w:szCs w:val="16"/>
                <w:lang w:eastAsia="en-GB"/>
                <w14:ligatures w14:val="none"/>
              </w:rPr>
              <w:t>Outcome</w:t>
            </w:r>
          </w:p>
        </w:tc>
        <w:tc>
          <w:tcPr>
            <w:tcW w:w="1417" w:type="dxa"/>
            <w:tcBorders>
              <w:top w:val="single" w:sz="4" w:space="0" w:color="BFBFBF"/>
              <w:left w:val="nil"/>
              <w:bottom w:val="single" w:sz="4" w:space="0" w:color="BFBFBF"/>
              <w:right w:val="single" w:sz="4" w:space="0" w:color="BFBFBF"/>
            </w:tcBorders>
            <w:shd w:val="clear" w:color="003366" w:fill="1F4E78"/>
            <w:vAlign w:val="center"/>
            <w:hideMark/>
          </w:tcPr>
          <w:p w14:paraId="2BF145E8" w14:textId="06628617" w:rsidR="00EB38AB" w:rsidRPr="00EB38AB" w:rsidRDefault="00A57B75" w:rsidP="00EB38AB">
            <w:pPr>
              <w:spacing w:after="0" w:line="240" w:lineRule="auto"/>
              <w:jc w:val="center"/>
              <w:rPr>
                <w:rFonts w:ascii="Arial" w:eastAsia="Times New Roman" w:hAnsi="Arial" w:cs="Arial"/>
                <w:b/>
                <w:bCs/>
                <w:color w:val="FFFFFF"/>
                <w:kern w:val="0"/>
                <w:sz w:val="16"/>
                <w:szCs w:val="16"/>
                <w:lang w:eastAsia="en-GB"/>
                <w14:ligatures w14:val="none"/>
              </w:rPr>
            </w:pPr>
            <w:r>
              <w:rPr>
                <w:rFonts w:ascii="Arial" w:eastAsia="Times New Roman" w:hAnsi="Arial" w:cs="Arial"/>
                <w:b/>
                <w:bCs/>
                <w:color w:val="FFFFFF"/>
                <w:kern w:val="0"/>
                <w:sz w:val="16"/>
                <w:szCs w:val="16"/>
                <w:lang w:eastAsia="en-GB"/>
                <w14:ligatures w14:val="none"/>
              </w:rPr>
              <w:t>Number</w:t>
            </w:r>
            <w:r w:rsidR="00EB38AB" w:rsidRPr="00EB38AB">
              <w:rPr>
                <w:rFonts w:ascii="Arial" w:eastAsia="Times New Roman" w:hAnsi="Arial" w:cs="Arial"/>
                <w:b/>
                <w:bCs/>
                <w:color w:val="FFFFFF"/>
                <w:kern w:val="0"/>
                <w:sz w:val="16"/>
                <w:szCs w:val="16"/>
                <w:lang w:eastAsia="en-GB"/>
                <w14:ligatures w14:val="none"/>
              </w:rPr>
              <w:t xml:space="preserve"> of participants</w:t>
            </w:r>
            <w:r w:rsidR="00EB38AB" w:rsidRPr="00EB38AB">
              <w:rPr>
                <w:rFonts w:ascii="Arial" w:eastAsia="Times New Roman" w:hAnsi="Arial" w:cs="Arial"/>
                <w:b/>
                <w:bCs/>
                <w:color w:val="FFFFFF"/>
                <w:kern w:val="0"/>
                <w:sz w:val="16"/>
                <w:szCs w:val="16"/>
                <w:lang w:eastAsia="en-GB"/>
                <w14:ligatures w14:val="none"/>
              </w:rPr>
              <w:br/>
              <w:t>(studies)</w:t>
            </w:r>
          </w:p>
        </w:tc>
        <w:tc>
          <w:tcPr>
            <w:tcW w:w="1134" w:type="dxa"/>
            <w:tcBorders>
              <w:top w:val="single" w:sz="4" w:space="0" w:color="BFBFBF"/>
              <w:left w:val="nil"/>
              <w:bottom w:val="single" w:sz="4" w:space="0" w:color="BFBFBF"/>
              <w:right w:val="single" w:sz="4" w:space="0" w:color="BFBFBF"/>
            </w:tcBorders>
            <w:shd w:val="clear" w:color="003366" w:fill="1F4E78"/>
            <w:vAlign w:val="center"/>
            <w:hideMark/>
          </w:tcPr>
          <w:p w14:paraId="62139A83" w14:textId="77777777" w:rsidR="00EB38AB" w:rsidRPr="00EB38AB" w:rsidRDefault="00EB38AB" w:rsidP="00EB38AB">
            <w:pPr>
              <w:spacing w:after="0" w:line="240" w:lineRule="auto"/>
              <w:jc w:val="center"/>
              <w:rPr>
                <w:rFonts w:ascii="Arial" w:eastAsia="Times New Roman" w:hAnsi="Arial" w:cs="Arial"/>
                <w:b/>
                <w:bCs/>
                <w:color w:val="FFFFFF"/>
                <w:kern w:val="0"/>
                <w:sz w:val="16"/>
                <w:szCs w:val="16"/>
                <w:lang w:eastAsia="en-GB"/>
                <w14:ligatures w14:val="none"/>
              </w:rPr>
            </w:pPr>
            <w:r w:rsidRPr="00EB38AB">
              <w:rPr>
                <w:rFonts w:ascii="Arial" w:eastAsia="Times New Roman" w:hAnsi="Arial" w:cs="Arial"/>
                <w:b/>
                <w:bCs/>
                <w:color w:val="FFFFFF"/>
                <w:kern w:val="0"/>
                <w:sz w:val="16"/>
                <w:szCs w:val="16"/>
                <w:lang w:eastAsia="en-GB"/>
                <w14:ligatures w14:val="none"/>
              </w:rPr>
              <w:t>Risk of bias</w:t>
            </w:r>
          </w:p>
        </w:tc>
        <w:tc>
          <w:tcPr>
            <w:tcW w:w="1418" w:type="dxa"/>
            <w:tcBorders>
              <w:top w:val="single" w:sz="4" w:space="0" w:color="BFBFBF"/>
              <w:left w:val="nil"/>
              <w:bottom w:val="single" w:sz="4" w:space="0" w:color="BFBFBF"/>
              <w:right w:val="single" w:sz="4" w:space="0" w:color="BFBFBF"/>
            </w:tcBorders>
            <w:shd w:val="clear" w:color="003366" w:fill="1F4E78"/>
            <w:vAlign w:val="center"/>
            <w:hideMark/>
          </w:tcPr>
          <w:p w14:paraId="251B8D80" w14:textId="77777777" w:rsidR="00EB38AB" w:rsidRPr="00EB38AB" w:rsidRDefault="00EB38AB" w:rsidP="00EB38AB">
            <w:pPr>
              <w:spacing w:after="0" w:line="240" w:lineRule="auto"/>
              <w:jc w:val="center"/>
              <w:rPr>
                <w:rFonts w:ascii="Arial" w:eastAsia="Times New Roman" w:hAnsi="Arial" w:cs="Arial"/>
                <w:b/>
                <w:bCs/>
                <w:color w:val="FFFFFF"/>
                <w:kern w:val="0"/>
                <w:sz w:val="16"/>
                <w:szCs w:val="16"/>
                <w:lang w:eastAsia="en-GB"/>
                <w14:ligatures w14:val="none"/>
              </w:rPr>
            </w:pPr>
            <w:r w:rsidRPr="00EB38AB">
              <w:rPr>
                <w:rFonts w:ascii="Arial" w:eastAsia="Times New Roman" w:hAnsi="Arial" w:cs="Arial"/>
                <w:b/>
                <w:bCs/>
                <w:color w:val="FFFFFF"/>
                <w:kern w:val="0"/>
                <w:sz w:val="16"/>
                <w:szCs w:val="16"/>
                <w:lang w:eastAsia="en-GB"/>
                <w14:ligatures w14:val="none"/>
              </w:rPr>
              <w:t>Inconsistency</w:t>
            </w:r>
          </w:p>
        </w:tc>
        <w:tc>
          <w:tcPr>
            <w:tcW w:w="1275" w:type="dxa"/>
            <w:tcBorders>
              <w:top w:val="single" w:sz="4" w:space="0" w:color="BFBFBF"/>
              <w:left w:val="nil"/>
              <w:bottom w:val="single" w:sz="4" w:space="0" w:color="BFBFBF"/>
              <w:right w:val="single" w:sz="4" w:space="0" w:color="BFBFBF"/>
            </w:tcBorders>
            <w:shd w:val="clear" w:color="003366" w:fill="1F4E78"/>
            <w:vAlign w:val="center"/>
            <w:hideMark/>
          </w:tcPr>
          <w:p w14:paraId="2D102F48" w14:textId="77777777" w:rsidR="00EB38AB" w:rsidRPr="00EB38AB" w:rsidRDefault="00EB38AB" w:rsidP="00EB38AB">
            <w:pPr>
              <w:spacing w:after="0" w:line="240" w:lineRule="auto"/>
              <w:jc w:val="center"/>
              <w:rPr>
                <w:rFonts w:ascii="Arial" w:eastAsia="Times New Roman" w:hAnsi="Arial" w:cs="Arial"/>
                <w:b/>
                <w:bCs/>
                <w:color w:val="FFFFFF"/>
                <w:kern w:val="0"/>
                <w:sz w:val="16"/>
                <w:szCs w:val="16"/>
                <w:lang w:eastAsia="en-GB"/>
                <w14:ligatures w14:val="none"/>
              </w:rPr>
            </w:pPr>
            <w:r w:rsidRPr="00EB38AB">
              <w:rPr>
                <w:rFonts w:ascii="Arial" w:eastAsia="Times New Roman" w:hAnsi="Arial" w:cs="Arial"/>
                <w:b/>
                <w:bCs/>
                <w:color w:val="FFFFFF"/>
                <w:kern w:val="0"/>
                <w:sz w:val="16"/>
                <w:szCs w:val="16"/>
                <w:lang w:eastAsia="en-GB"/>
                <w14:ligatures w14:val="none"/>
              </w:rPr>
              <w:t>Indirectness</w:t>
            </w:r>
          </w:p>
        </w:tc>
        <w:tc>
          <w:tcPr>
            <w:tcW w:w="1134" w:type="dxa"/>
            <w:tcBorders>
              <w:top w:val="single" w:sz="4" w:space="0" w:color="BFBFBF"/>
              <w:left w:val="nil"/>
              <w:bottom w:val="single" w:sz="4" w:space="0" w:color="BFBFBF"/>
              <w:right w:val="single" w:sz="4" w:space="0" w:color="BFBFBF"/>
            </w:tcBorders>
            <w:shd w:val="clear" w:color="003366" w:fill="1F4E78"/>
            <w:vAlign w:val="center"/>
            <w:hideMark/>
          </w:tcPr>
          <w:p w14:paraId="60F2B771" w14:textId="77777777" w:rsidR="00EB38AB" w:rsidRPr="00EB38AB" w:rsidRDefault="00EB38AB" w:rsidP="00EB38AB">
            <w:pPr>
              <w:spacing w:after="0" w:line="240" w:lineRule="auto"/>
              <w:jc w:val="center"/>
              <w:rPr>
                <w:rFonts w:ascii="Arial" w:eastAsia="Times New Roman" w:hAnsi="Arial" w:cs="Arial"/>
                <w:b/>
                <w:bCs/>
                <w:color w:val="FFFFFF"/>
                <w:kern w:val="0"/>
                <w:sz w:val="16"/>
                <w:szCs w:val="16"/>
                <w:lang w:eastAsia="en-GB"/>
                <w14:ligatures w14:val="none"/>
              </w:rPr>
            </w:pPr>
            <w:r w:rsidRPr="00EB38AB">
              <w:rPr>
                <w:rFonts w:ascii="Arial" w:eastAsia="Times New Roman" w:hAnsi="Arial" w:cs="Arial"/>
                <w:b/>
                <w:bCs/>
                <w:color w:val="FFFFFF"/>
                <w:kern w:val="0"/>
                <w:sz w:val="16"/>
                <w:szCs w:val="16"/>
                <w:lang w:eastAsia="en-GB"/>
                <w14:ligatures w14:val="none"/>
              </w:rPr>
              <w:t>Imprecision</w:t>
            </w:r>
          </w:p>
        </w:tc>
        <w:tc>
          <w:tcPr>
            <w:tcW w:w="1418" w:type="dxa"/>
            <w:tcBorders>
              <w:top w:val="single" w:sz="4" w:space="0" w:color="BFBFBF"/>
              <w:left w:val="nil"/>
              <w:bottom w:val="single" w:sz="4" w:space="0" w:color="BFBFBF"/>
              <w:right w:val="single" w:sz="4" w:space="0" w:color="BFBFBF"/>
            </w:tcBorders>
            <w:shd w:val="clear" w:color="003366" w:fill="1F4E78"/>
            <w:vAlign w:val="center"/>
            <w:hideMark/>
          </w:tcPr>
          <w:p w14:paraId="5A746588" w14:textId="77777777" w:rsidR="00EB38AB" w:rsidRPr="00EB38AB" w:rsidRDefault="00EB38AB" w:rsidP="00EB38AB">
            <w:pPr>
              <w:spacing w:after="0" w:line="240" w:lineRule="auto"/>
              <w:jc w:val="center"/>
              <w:rPr>
                <w:rFonts w:ascii="Arial" w:eastAsia="Times New Roman" w:hAnsi="Arial" w:cs="Arial"/>
                <w:b/>
                <w:bCs/>
                <w:color w:val="FFFFFF"/>
                <w:kern w:val="0"/>
                <w:sz w:val="16"/>
                <w:szCs w:val="16"/>
                <w:lang w:eastAsia="en-GB"/>
                <w14:ligatures w14:val="none"/>
              </w:rPr>
            </w:pPr>
            <w:r w:rsidRPr="00EB38AB">
              <w:rPr>
                <w:rFonts w:ascii="Arial" w:eastAsia="Times New Roman" w:hAnsi="Arial" w:cs="Arial"/>
                <w:b/>
                <w:bCs/>
                <w:color w:val="FFFFFF"/>
                <w:kern w:val="0"/>
                <w:sz w:val="16"/>
                <w:szCs w:val="16"/>
                <w:lang w:eastAsia="en-GB"/>
                <w14:ligatures w14:val="none"/>
              </w:rPr>
              <w:t>Other considerations</w:t>
            </w:r>
          </w:p>
        </w:tc>
        <w:tc>
          <w:tcPr>
            <w:tcW w:w="4252" w:type="dxa"/>
            <w:tcBorders>
              <w:top w:val="single" w:sz="4" w:space="0" w:color="BFBFBF"/>
              <w:left w:val="nil"/>
              <w:bottom w:val="single" w:sz="4" w:space="0" w:color="BFBFBF"/>
              <w:right w:val="single" w:sz="4" w:space="0" w:color="BFBFBF"/>
            </w:tcBorders>
            <w:shd w:val="clear" w:color="003366" w:fill="1F4E78"/>
            <w:vAlign w:val="center"/>
            <w:hideMark/>
          </w:tcPr>
          <w:p w14:paraId="3E67F96F" w14:textId="0417F055" w:rsidR="00EB38AB" w:rsidRPr="00EB38AB" w:rsidRDefault="00EB38AB" w:rsidP="00EB38AB">
            <w:pPr>
              <w:spacing w:after="0" w:line="240" w:lineRule="auto"/>
              <w:jc w:val="center"/>
              <w:rPr>
                <w:rFonts w:ascii="Arial" w:eastAsia="Times New Roman" w:hAnsi="Arial" w:cs="Arial"/>
                <w:b/>
                <w:bCs/>
                <w:color w:val="FFFFFF"/>
                <w:kern w:val="0"/>
                <w:sz w:val="16"/>
                <w:szCs w:val="16"/>
                <w:lang w:eastAsia="en-GB"/>
                <w14:ligatures w14:val="none"/>
              </w:rPr>
            </w:pPr>
            <w:r w:rsidRPr="00EB38AB">
              <w:rPr>
                <w:rFonts w:ascii="Arial" w:eastAsia="Times New Roman" w:hAnsi="Arial" w:cs="Arial"/>
                <w:b/>
                <w:bCs/>
                <w:color w:val="FFFFFF"/>
                <w:kern w:val="0"/>
                <w:sz w:val="16"/>
                <w:szCs w:val="16"/>
                <w:lang w:eastAsia="en-GB"/>
                <w14:ligatures w14:val="none"/>
              </w:rPr>
              <w:t>Effect / Direction</w:t>
            </w:r>
          </w:p>
        </w:tc>
        <w:tc>
          <w:tcPr>
            <w:tcW w:w="1418" w:type="dxa"/>
            <w:gridSpan w:val="2"/>
            <w:tcBorders>
              <w:top w:val="single" w:sz="4" w:space="0" w:color="BFBFBF"/>
              <w:left w:val="nil"/>
              <w:bottom w:val="single" w:sz="4" w:space="0" w:color="BFBFBF"/>
              <w:right w:val="single" w:sz="4" w:space="0" w:color="BFBFBF"/>
            </w:tcBorders>
            <w:shd w:val="clear" w:color="003366" w:fill="1F4E78"/>
            <w:vAlign w:val="center"/>
            <w:hideMark/>
          </w:tcPr>
          <w:p w14:paraId="35D8E7CC" w14:textId="77777777" w:rsidR="00EB38AB" w:rsidRPr="00EB38AB" w:rsidRDefault="00EB38AB" w:rsidP="00EB38AB">
            <w:pPr>
              <w:spacing w:after="0" w:line="240" w:lineRule="auto"/>
              <w:jc w:val="center"/>
              <w:rPr>
                <w:rFonts w:ascii="Arial" w:eastAsia="Times New Roman" w:hAnsi="Arial" w:cs="Arial"/>
                <w:b/>
                <w:bCs/>
                <w:color w:val="FFFFFF"/>
                <w:kern w:val="0"/>
                <w:sz w:val="16"/>
                <w:szCs w:val="16"/>
                <w:lang w:eastAsia="en-GB"/>
                <w14:ligatures w14:val="none"/>
              </w:rPr>
            </w:pPr>
            <w:r w:rsidRPr="00EB38AB">
              <w:rPr>
                <w:rFonts w:ascii="Arial" w:eastAsia="Times New Roman" w:hAnsi="Arial" w:cs="Arial"/>
                <w:b/>
                <w:bCs/>
                <w:color w:val="FFFFFF"/>
                <w:kern w:val="0"/>
                <w:sz w:val="16"/>
                <w:szCs w:val="16"/>
                <w:lang w:eastAsia="en-GB"/>
                <w14:ligatures w14:val="none"/>
              </w:rPr>
              <w:t>Certainty of evidence (GRADE)</w:t>
            </w:r>
          </w:p>
        </w:tc>
      </w:tr>
      <w:tr w:rsidR="00EB38AB" w:rsidRPr="00EB38AB" w14:paraId="2ACB3473" w14:textId="77777777" w:rsidTr="003528C9">
        <w:trPr>
          <w:gridAfter w:val="1"/>
          <w:wAfter w:w="54" w:type="dxa"/>
          <w:trHeight w:val="2595"/>
        </w:trPr>
        <w:tc>
          <w:tcPr>
            <w:tcW w:w="1560" w:type="dxa"/>
            <w:tcBorders>
              <w:top w:val="nil"/>
              <w:left w:val="single" w:sz="4" w:space="0" w:color="BFBFBF"/>
              <w:bottom w:val="single" w:sz="4" w:space="0" w:color="BFBFBF"/>
              <w:right w:val="single" w:sz="4" w:space="0" w:color="BFBFBF"/>
            </w:tcBorders>
            <w:hideMark/>
          </w:tcPr>
          <w:p w14:paraId="2F2A3485" w14:textId="77777777" w:rsidR="00EB38AB" w:rsidRPr="00EB38AB" w:rsidRDefault="00EB38AB" w:rsidP="00EB38AB">
            <w:pPr>
              <w:spacing w:after="0" w:line="240" w:lineRule="auto"/>
              <w:rPr>
                <w:rFonts w:ascii="Arial" w:eastAsia="Times New Roman" w:hAnsi="Arial" w:cs="Arial"/>
                <w:b/>
                <w:bCs/>
                <w:kern w:val="0"/>
                <w:sz w:val="15"/>
                <w:szCs w:val="15"/>
                <w:lang w:eastAsia="en-GB"/>
                <w14:ligatures w14:val="none"/>
              </w:rPr>
            </w:pPr>
            <w:r w:rsidRPr="00EB38AB">
              <w:rPr>
                <w:rFonts w:ascii="Arial" w:eastAsia="Times New Roman" w:hAnsi="Arial" w:cs="Arial"/>
                <w:b/>
                <w:bCs/>
                <w:kern w:val="0"/>
                <w:sz w:val="15"/>
                <w:szCs w:val="15"/>
                <w:lang w:eastAsia="en-GB"/>
                <w14:ligatures w14:val="none"/>
              </w:rPr>
              <w:t>Composite simulator score (overall performance)</w:t>
            </w:r>
          </w:p>
        </w:tc>
        <w:tc>
          <w:tcPr>
            <w:tcW w:w="1417" w:type="dxa"/>
            <w:tcBorders>
              <w:top w:val="nil"/>
              <w:left w:val="nil"/>
              <w:bottom w:val="single" w:sz="4" w:space="0" w:color="BFBFBF"/>
              <w:right w:val="single" w:sz="4" w:space="0" w:color="BFBFBF"/>
            </w:tcBorders>
            <w:hideMark/>
          </w:tcPr>
          <w:p w14:paraId="012D9814" w14:textId="77777777" w:rsidR="00EB38AB" w:rsidRPr="00EB38AB" w:rsidRDefault="00EB38AB" w:rsidP="00EB38AB">
            <w:pPr>
              <w:spacing w:after="0" w:line="240" w:lineRule="auto"/>
              <w:rPr>
                <w:rFonts w:ascii="Arial" w:eastAsia="Times New Roman" w:hAnsi="Arial" w:cs="Arial"/>
                <w:kern w:val="0"/>
                <w:sz w:val="13"/>
                <w:szCs w:val="13"/>
                <w:lang w:eastAsia="en-GB"/>
                <w14:ligatures w14:val="none"/>
              </w:rPr>
            </w:pPr>
            <w:r w:rsidRPr="00EB38AB">
              <w:rPr>
                <w:rFonts w:ascii="Arial" w:eastAsia="Times New Roman" w:hAnsi="Arial" w:cs="Arial"/>
                <w:kern w:val="0"/>
                <w:sz w:val="13"/>
                <w:szCs w:val="13"/>
                <w:lang w:eastAsia="en-GB"/>
                <w14:ligatures w14:val="none"/>
              </w:rPr>
              <w:t>n = 120 (4 RCTs)</w:t>
            </w:r>
            <w:r w:rsidRPr="00EB38AB">
              <w:rPr>
                <w:rFonts w:ascii="Arial" w:eastAsia="Times New Roman" w:hAnsi="Arial" w:cs="Arial"/>
                <w:kern w:val="0"/>
                <w:sz w:val="13"/>
                <w:szCs w:val="13"/>
                <w:lang w:eastAsia="en-GB"/>
                <w14:ligatures w14:val="none"/>
              </w:rPr>
              <w:br/>
              <w:t>Feifer 2011; Yang 2017a; Yang 2017b; Takagi 2023</w:t>
            </w:r>
          </w:p>
        </w:tc>
        <w:tc>
          <w:tcPr>
            <w:tcW w:w="1134" w:type="dxa"/>
            <w:tcBorders>
              <w:top w:val="nil"/>
              <w:left w:val="nil"/>
              <w:bottom w:val="single" w:sz="4" w:space="0" w:color="BFBFBF"/>
              <w:right w:val="single" w:sz="4" w:space="0" w:color="BFBFBF"/>
            </w:tcBorders>
            <w:shd w:val="clear" w:color="D9D9D9" w:fill="C6EFCE"/>
            <w:vAlign w:val="center"/>
            <w:hideMark/>
          </w:tcPr>
          <w:p w14:paraId="4D2FEEDD"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Not serious</w:t>
            </w:r>
          </w:p>
        </w:tc>
        <w:tc>
          <w:tcPr>
            <w:tcW w:w="1418" w:type="dxa"/>
            <w:tcBorders>
              <w:top w:val="nil"/>
              <w:left w:val="nil"/>
              <w:bottom w:val="single" w:sz="4" w:space="0" w:color="BFBFBF"/>
              <w:right w:val="single" w:sz="4" w:space="0" w:color="BFBFBF"/>
            </w:tcBorders>
            <w:shd w:val="clear" w:color="D9D9D9" w:fill="C6EFCE"/>
            <w:vAlign w:val="center"/>
            <w:hideMark/>
          </w:tcPr>
          <w:p w14:paraId="42EB6595"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Not serious (e)</w:t>
            </w:r>
          </w:p>
        </w:tc>
        <w:tc>
          <w:tcPr>
            <w:tcW w:w="1275" w:type="dxa"/>
            <w:tcBorders>
              <w:top w:val="nil"/>
              <w:left w:val="nil"/>
              <w:bottom w:val="single" w:sz="4" w:space="0" w:color="BFBFBF"/>
              <w:right w:val="single" w:sz="4" w:space="0" w:color="BFBFBF"/>
            </w:tcBorders>
            <w:shd w:val="clear" w:color="F2F2F2" w:fill="FFEB9C"/>
            <w:vAlign w:val="center"/>
            <w:hideMark/>
          </w:tcPr>
          <w:p w14:paraId="5BA4ED81"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Serious (a)(b)</w:t>
            </w:r>
          </w:p>
        </w:tc>
        <w:tc>
          <w:tcPr>
            <w:tcW w:w="1134" w:type="dxa"/>
            <w:tcBorders>
              <w:top w:val="nil"/>
              <w:left w:val="nil"/>
              <w:bottom w:val="single" w:sz="4" w:space="0" w:color="BFBFBF"/>
              <w:right w:val="single" w:sz="4" w:space="0" w:color="BFBFBF"/>
            </w:tcBorders>
            <w:shd w:val="clear" w:color="F2F2F2" w:fill="FFEB9C"/>
            <w:vAlign w:val="center"/>
            <w:hideMark/>
          </w:tcPr>
          <w:p w14:paraId="613848AD"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Serious (c)</w:t>
            </w:r>
          </w:p>
        </w:tc>
        <w:tc>
          <w:tcPr>
            <w:tcW w:w="1418" w:type="dxa"/>
            <w:tcBorders>
              <w:top w:val="nil"/>
              <w:left w:val="nil"/>
              <w:bottom w:val="single" w:sz="4" w:space="0" w:color="BFBFBF"/>
              <w:right w:val="single" w:sz="4" w:space="0" w:color="BFBFBF"/>
            </w:tcBorders>
            <w:shd w:val="clear" w:color="C6EFCE" w:fill="D9D9D9"/>
            <w:vAlign w:val="center"/>
            <w:hideMark/>
          </w:tcPr>
          <w:p w14:paraId="4748F462"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Publication bias</w:t>
            </w:r>
            <w:r w:rsidRPr="00EB38AB">
              <w:rPr>
                <w:rFonts w:ascii="Arial" w:eastAsia="Times New Roman" w:hAnsi="Arial" w:cs="Arial"/>
                <w:kern w:val="0"/>
                <w:sz w:val="15"/>
                <w:szCs w:val="15"/>
                <w:lang w:eastAsia="en-GB"/>
                <w14:ligatures w14:val="none"/>
              </w:rPr>
              <w:br/>
              <w:t>undetected (h)</w:t>
            </w:r>
          </w:p>
        </w:tc>
        <w:tc>
          <w:tcPr>
            <w:tcW w:w="4252" w:type="dxa"/>
            <w:tcBorders>
              <w:top w:val="nil"/>
              <w:left w:val="nil"/>
              <w:bottom w:val="single" w:sz="4" w:space="0" w:color="BFBFBF"/>
              <w:right w:val="single" w:sz="4" w:space="0" w:color="BFBFBF"/>
            </w:tcBorders>
            <w:hideMark/>
          </w:tcPr>
          <w:p w14:paraId="54D41DC8" w14:textId="77777777" w:rsidR="00EB38AB" w:rsidRPr="00EB38AB" w:rsidRDefault="00EB38AB" w:rsidP="00EB38AB">
            <w:pPr>
              <w:spacing w:after="0" w:line="240" w:lineRule="auto"/>
              <w:rPr>
                <w:rFonts w:ascii="Arial" w:eastAsia="Times New Roman" w:hAnsi="Arial" w:cs="Arial"/>
                <w:kern w:val="0"/>
                <w:sz w:val="16"/>
                <w:szCs w:val="16"/>
                <w:lang w:eastAsia="en-GB"/>
                <w14:ligatures w14:val="none"/>
              </w:rPr>
            </w:pPr>
            <w:r w:rsidRPr="00EB38AB">
              <w:rPr>
                <w:rFonts w:ascii="Arial" w:eastAsia="Times New Roman" w:hAnsi="Arial" w:cs="Arial"/>
                <w:kern w:val="0"/>
                <w:sz w:val="16"/>
                <w:szCs w:val="16"/>
                <w:lang w:eastAsia="en-GB"/>
                <w14:ligatures w14:val="none"/>
              </w:rPr>
              <w:t>Technology-enhanced adjuncts associated with statistically significant gains in simulator composite scores compared with standard simulator training. Magnitudes range from a 27.9% improvement in normalised composite score (Feifer 2011) to absolute mean differences of 64→91 vs 63→79 (CESIR; Yang 2017b) and 90.8 vs 72.4 (Takagi 2023). Effect sizes and 95% CIs were not reported by source studies.</w:t>
            </w:r>
          </w:p>
        </w:tc>
        <w:tc>
          <w:tcPr>
            <w:tcW w:w="1418" w:type="dxa"/>
            <w:gridSpan w:val="2"/>
            <w:tcBorders>
              <w:top w:val="nil"/>
              <w:left w:val="nil"/>
              <w:bottom w:val="single" w:sz="4" w:space="0" w:color="BFBFBF"/>
              <w:right w:val="single" w:sz="4" w:space="0" w:color="BFBFBF"/>
            </w:tcBorders>
            <w:shd w:val="clear" w:color="FF9900" w:fill="FFC000"/>
            <w:vAlign w:val="center"/>
            <w:hideMark/>
          </w:tcPr>
          <w:p w14:paraId="688754C0" w14:textId="77777777" w:rsidR="00EB38AB" w:rsidRPr="00EB38AB" w:rsidRDefault="00EB38AB" w:rsidP="00EB38AB">
            <w:pPr>
              <w:spacing w:after="0" w:line="240" w:lineRule="auto"/>
              <w:jc w:val="center"/>
              <w:rPr>
                <w:rFonts w:ascii="Arial" w:eastAsia="Times New Roman" w:hAnsi="Arial" w:cs="Arial"/>
                <w:b/>
                <w:bCs/>
                <w:color w:val="000000"/>
                <w:kern w:val="0"/>
                <w:sz w:val="15"/>
                <w:szCs w:val="15"/>
                <w:lang w:eastAsia="en-GB"/>
                <w14:ligatures w14:val="none"/>
              </w:rPr>
            </w:pPr>
            <w:r w:rsidRPr="00EB38AB">
              <w:rPr>
                <w:rFonts w:ascii="Cambria Math" w:eastAsia="Times New Roman" w:hAnsi="Cambria Math" w:cs="Cambria Math"/>
                <w:b/>
                <w:bCs/>
                <w:color w:val="000000"/>
                <w:kern w:val="0"/>
                <w:sz w:val="15"/>
                <w:szCs w:val="15"/>
                <w:lang w:eastAsia="en-GB"/>
                <w14:ligatures w14:val="none"/>
              </w:rPr>
              <w:t>⊕⊕</w:t>
            </w:r>
            <w:r w:rsidRPr="00EB38AB">
              <w:rPr>
                <w:rFonts w:ascii="Arial" w:eastAsia="Times New Roman" w:hAnsi="Arial" w:cs="Arial"/>
                <w:b/>
                <w:bCs/>
                <w:color w:val="000000"/>
                <w:kern w:val="0"/>
                <w:sz w:val="15"/>
                <w:szCs w:val="15"/>
                <w:lang w:eastAsia="en-GB"/>
                <w14:ligatures w14:val="none"/>
              </w:rPr>
              <w:t>○○  Low</w:t>
            </w:r>
          </w:p>
        </w:tc>
      </w:tr>
      <w:tr w:rsidR="00EB38AB" w:rsidRPr="00EB38AB" w14:paraId="43867327" w14:textId="77777777" w:rsidTr="003528C9">
        <w:trPr>
          <w:gridAfter w:val="1"/>
          <w:wAfter w:w="54" w:type="dxa"/>
          <w:trHeight w:val="2595"/>
        </w:trPr>
        <w:tc>
          <w:tcPr>
            <w:tcW w:w="1560" w:type="dxa"/>
            <w:tcBorders>
              <w:top w:val="nil"/>
              <w:left w:val="single" w:sz="4" w:space="0" w:color="BFBFBF"/>
              <w:bottom w:val="single" w:sz="4" w:space="0" w:color="BFBFBF"/>
              <w:right w:val="single" w:sz="4" w:space="0" w:color="BFBFBF"/>
            </w:tcBorders>
            <w:hideMark/>
          </w:tcPr>
          <w:p w14:paraId="50A7EC6E" w14:textId="77777777" w:rsidR="00EB38AB" w:rsidRPr="00EB38AB" w:rsidRDefault="00EB38AB" w:rsidP="00EB38AB">
            <w:pPr>
              <w:spacing w:after="0" w:line="240" w:lineRule="auto"/>
              <w:rPr>
                <w:rFonts w:ascii="Arial" w:eastAsia="Times New Roman" w:hAnsi="Arial" w:cs="Arial"/>
                <w:b/>
                <w:bCs/>
                <w:kern w:val="0"/>
                <w:sz w:val="15"/>
                <w:szCs w:val="15"/>
                <w:lang w:eastAsia="en-GB"/>
                <w14:ligatures w14:val="none"/>
              </w:rPr>
            </w:pPr>
            <w:r w:rsidRPr="00EB38AB">
              <w:rPr>
                <w:rFonts w:ascii="Arial" w:eastAsia="Times New Roman" w:hAnsi="Arial" w:cs="Arial"/>
                <w:b/>
                <w:bCs/>
                <w:kern w:val="0"/>
                <w:sz w:val="15"/>
                <w:szCs w:val="15"/>
                <w:lang w:eastAsia="en-GB"/>
                <w14:ligatures w14:val="none"/>
              </w:rPr>
              <w:t>Time-to-completion (TTC)</w:t>
            </w:r>
          </w:p>
        </w:tc>
        <w:tc>
          <w:tcPr>
            <w:tcW w:w="1417" w:type="dxa"/>
            <w:tcBorders>
              <w:top w:val="nil"/>
              <w:left w:val="nil"/>
              <w:bottom w:val="single" w:sz="4" w:space="0" w:color="BFBFBF"/>
              <w:right w:val="single" w:sz="4" w:space="0" w:color="BFBFBF"/>
            </w:tcBorders>
            <w:hideMark/>
          </w:tcPr>
          <w:p w14:paraId="55260AD5" w14:textId="77777777" w:rsidR="00EB38AB" w:rsidRPr="00EB38AB" w:rsidRDefault="00EB38AB" w:rsidP="00EB38AB">
            <w:pPr>
              <w:spacing w:after="0" w:line="240" w:lineRule="auto"/>
              <w:rPr>
                <w:rFonts w:ascii="Arial" w:eastAsia="Times New Roman" w:hAnsi="Arial" w:cs="Arial"/>
                <w:kern w:val="0"/>
                <w:sz w:val="13"/>
                <w:szCs w:val="13"/>
                <w:lang w:eastAsia="en-GB"/>
                <w14:ligatures w14:val="none"/>
              </w:rPr>
            </w:pPr>
            <w:r w:rsidRPr="00EB38AB">
              <w:rPr>
                <w:rFonts w:ascii="Arial" w:eastAsia="Times New Roman" w:hAnsi="Arial" w:cs="Arial"/>
                <w:kern w:val="0"/>
                <w:sz w:val="13"/>
                <w:szCs w:val="13"/>
                <w:lang w:eastAsia="en-GB"/>
                <w14:ligatures w14:val="none"/>
              </w:rPr>
              <w:t>n ≈ 184 (5 RCTs)</w:t>
            </w:r>
            <w:r w:rsidRPr="00EB38AB">
              <w:rPr>
                <w:rFonts w:ascii="Arial" w:eastAsia="Times New Roman" w:hAnsi="Arial" w:cs="Arial"/>
                <w:kern w:val="0"/>
                <w:sz w:val="13"/>
                <w:szCs w:val="13"/>
                <w:lang w:eastAsia="en-GB"/>
                <w14:ligatures w14:val="none"/>
              </w:rPr>
              <w:br/>
              <w:t>Chien 2012; Hardon 2022; Eley 2024; Postema 2024; Bechtolsheim 2024</w:t>
            </w:r>
          </w:p>
        </w:tc>
        <w:tc>
          <w:tcPr>
            <w:tcW w:w="1134" w:type="dxa"/>
            <w:tcBorders>
              <w:top w:val="nil"/>
              <w:left w:val="nil"/>
              <w:bottom w:val="single" w:sz="4" w:space="0" w:color="BFBFBF"/>
              <w:right w:val="single" w:sz="4" w:space="0" w:color="BFBFBF"/>
            </w:tcBorders>
            <w:shd w:val="clear" w:color="D9D9D9" w:fill="C6EFCE"/>
            <w:vAlign w:val="center"/>
            <w:hideMark/>
          </w:tcPr>
          <w:p w14:paraId="2F7A632C"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Not serious</w:t>
            </w:r>
          </w:p>
        </w:tc>
        <w:tc>
          <w:tcPr>
            <w:tcW w:w="1418" w:type="dxa"/>
            <w:tcBorders>
              <w:top w:val="nil"/>
              <w:left w:val="nil"/>
              <w:bottom w:val="single" w:sz="4" w:space="0" w:color="BFBFBF"/>
              <w:right w:val="single" w:sz="4" w:space="0" w:color="BFBFBF"/>
            </w:tcBorders>
            <w:shd w:val="clear" w:color="F2F2F2" w:fill="FFEB9C"/>
            <w:vAlign w:val="center"/>
            <w:hideMark/>
          </w:tcPr>
          <w:p w14:paraId="053B6801"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Serious (d)</w:t>
            </w:r>
          </w:p>
        </w:tc>
        <w:tc>
          <w:tcPr>
            <w:tcW w:w="1275" w:type="dxa"/>
            <w:tcBorders>
              <w:top w:val="nil"/>
              <w:left w:val="nil"/>
              <w:bottom w:val="single" w:sz="4" w:space="0" w:color="BFBFBF"/>
              <w:right w:val="single" w:sz="4" w:space="0" w:color="BFBFBF"/>
            </w:tcBorders>
            <w:shd w:val="clear" w:color="F2F2F2" w:fill="FFEB9C"/>
            <w:vAlign w:val="center"/>
            <w:hideMark/>
          </w:tcPr>
          <w:p w14:paraId="531199BF"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Serious (a)(b)</w:t>
            </w:r>
          </w:p>
        </w:tc>
        <w:tc>
          <w:tcPr>
            <w:tcW w:w="1134" w:type="dxa"/>
            <w:tcBorders>
              <w:top w:val="nil"/>
              <w:left w:val="nil"/>
              <w:bottom w:val="single" w:sz="4" w:space="0" w:color="BFBFBF"/>
              <w:right w:val="single" w:sz="4" w:space="0" w:color="BFBFBF"/>
            </w:tcBorders>
            <w:shd w:val="clear" w:color="F2F2F2" w:fill="FFEB9C"/>
            <w:vAlign w:val="center"/>
            <w:hideMark/>
          </w:tcPr>
          <w:p w14:paraId="654414BE"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Serious (c)</w:t>
            </w:r>
          </w:p>
        </w:tc>
        <w:tc>
          <w:tcPr>
            <w:tcW w:w="1418" w:type="dxa"/>
            <w:tcBorders>
              <w:top w:val="nil"/>
              <w:left w:val="nil"/>
              <w:bottom w:val="single" w:sz="4" w:space="0" w:color="BFBFBF"/>
              <w:right w:val="single" w:sz="4" w:space="0" w:color="BFBFBF"/>
            </w:tcBorders>
            <w:shd w:val="clear" w:color="C6EFCE" w:fill="D9D9D9"/>
            <w:vAlign w:val="center"/>
            <w:hideMark/>
          </w:tcPr>
          <w:p w14:paraId="7FDCAD7D"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Publication bias</w:t>
            </w:r>
            <w:r w:rsidRPr="00EB38AB">
              <w:rPr>
                <w:rFonts w:ascii="Arial" w:eastAsia="Times New Roman" w:hAnsi="Arial" w:cs="Arial"/>
                <w:kern w:val="0"/>
                <w:sz w:val="15"/>
                <w:szCs w:val="15"/>
                <w:lang w:eastAsia="en-GB"/>
                <w14:ligatures w14:val="none"/>
              </w:rPr>
              <w:br/>
              <w:t>undetected (h)</w:t>
            </w:r>
          </w:p>
        </w:tc>
        <w:tc>
          <w:tcPr>
            <w:tcW w:w="4252" w:type="dxa"/>
            <w:tcBorders>
              <w:top w:val="nil"/>
              <w:left w:val="nil"/>
              <w:bottom w:val="single" w:sz="4" w:space="0" w:color="BFBFBF"/>
              <w:right w:val="single" w:sz="4" w:space="0" w:color="BFBFBF"/>
            </w:tcBorders>
            <w:hideMark/>
          </w:tcPr>
          <w:p w14:paraId="4FF886E6" w14:textId="0F859EA5" w:rsidR="00EB38AB" w:rsidRPr="00EB38AB" w:rsidRDefault="00EB38AB" w:rsidP="00EB38AB">
            <w:pPr>
              <w:spacing w:after="0" w:line="240" w:lineRule="auto"/>
              <w:rPr>
                <w:rFonts w:ascii="Arial" w:eastAsia="Times New Roman" w:hAnsi="Arial" w:cs="Arial"/>
                <w:kern w:val="0"/>
                <w:sz w:val="16"/>
                <w:szCs w:val="16"/>
                <w:lang w:eastAsia="en-GB"/>
                <w14:ligatures w14:val="none"/>
              </w:rPr>
            </w:pPr>
            <w:r w:rsidRPr="00EB38AB">
              <w:rPr>
                <w:rFonts w:ascii="Arial" w:eastAsia="Times New Roman" w:hAnsi="Arial" w:cs="Arial"/>
                <w:kern w:val="0"/>
                <w:sz w:val="16"/>
                <w:szCs w:val="16"/>
                <w:lang w:eastAsia="en-GB"/>
                <w14:ligatures w14:val="none"/>
              </w:rPr>
              <w:t>Direction of effect inconsistent across studies. One RCT favours technology (Chien 2012, p=0.002); three show no between-arm difference (Hardon 2022; Eley 2024: 22 vs 22.5 min, p=0.880; Postema 2024). Bechtolsheim 2024 showed faster TTC for console-trained vs VR-trained arm at midpoint (59.2 vs 73.4 s, p=0.007) but not at endpoint. CIs not reported.</w:t>
            </w:r>
          </w:p>
        </w:tc>
        <w:tc>
          <w:tcPr>
            <w:tcW w:w="1418" w:type="dxa"/>
            <w:gridSpan w:val="2"/>
            <w:tcBorders>
              <w:top w:val="nil"/>
              <w:left w:val="nil"/>
              <w:bottom w:val="single" w:sz="4" w:space="0" w:color="BFBFBF"/>
              <w:right w:val="single" w:sz="4" w:space="0" w:color="BFBFBF"/>
            </w:tcBorders>
            <w:shd w:val="clear" w:color="FF6600" w:fill="FF6B6B"/>
            <w:vAlign w:val="center"/>
            <w:hideMark/>
          </w:tcPr>
          <w:p w14:paraId="0C5C1461" w14:textId="77777777" w:rsidR="00EB38AB" w:rsidRPr="00EB38AB" w:rsidRDefault="00EB38AB" w:rsidP="00EB38AB">
            <w:pPr>
              <w:spacing w:after="0" w:line="240" w:lineRule="auto"/>
              <w:jc w:val="center"/>
              <w:rPr>
                <w:rFonts w:ascii="Arial" w:eastAsia="Times New Roman" w:hAnsi="Arial" w:cs="Arial"/>
                <w:b/>
                <w:bCs/>
                <w:color w:val="FFFFFF"/>
                <w:kern w:val="0"/>
                <w:sz w:val="15"/>
                <w:szCs w:val="15"/>
                <w:lang w:eastAsia="en-GB"/>
                <w14:ligatures w14:val="none"/>
              </w:rPr>
            </w:pPr>
            <w:r w:rsidRPr="00EB38AB">
              <w:rPr>
                <w:rFonts w:ascii="Cambria Math" w:eastAsia="Times New Roman" w:hAnsi="Cambria Math" w:cs="Cambria Math"/>
                <w:b/>
                <w:bCs/>
                <w:color w:val="FFFFFF"/>
                <w:kern w:val="0"/>
                <w:sz w:val="15"/>
                <w:szCs w:val="15"/>
                <w:lang w:eastAsia="en-GB"/>
                <w14:ligatures w14:val="none"/>
              </w:rPr>
              <w:t>⊕</w:t>
            </w:r>
            <w:r w:rsidRPr="00EB38AB">
              <w:rPr>
                <w:rFonts w:ascii="Arial" w:eastAsia="Times New Roman" w:hAnsi="Arial" w:cs="Arial"/>
                <w:b/>
                <w:bCs/>
                <w:color w:val="FFFFFF"/>
                <w:kern w:val="0"/>
                <w:sz w:val="15"/>
                <w:szCs w:val="15"/>
                <w:lang w:eastAsia="en-GB"/>
                <w14:ligatures w14:val="none"/>
              </w:rPr>
              <w:t>○○○  Very low</w:t>
            </w:r>
          </w:p>
        </w:tc>
      </w:tr>
      <w:tr w:rsidR="00EB38AB" w:rsidRPr="00EB38AB" w14:paraId="4155DCC9" w14:textId="77777777" w:rsidTr="003528C9">
        <w:trPr>
          <w:gridAfter w:val="1"/>
          <w:wAfter w:w="54" w:type="dxa"/>
          <w:trHeight w:val="2595"/>
        </w:trPr>
        <w:tc>
          <w:tcPr>
            <w:tcW w:w="1560" w:type="dxa"/>
            <w:tcBorders>
              <w:top w:val="nil"/>
              <w:left w:val="single" w:sz="4" w:space="0" w:color="BFBFBF"/>
              <w:bottom w:val="single" w:sz="4" w:space="0" w:color="BFBFBF"/>
              <w:right w:val="single" w:sz="4" w:space="0" w:color="BFBFBF"/>
            </w:tcBorders>
            <w:hideMark/>
          </w:tcPr>
          <w:p w14:paraId="17FC7590" w14:textId="77777777" w:rsidR="00EB38AB" w:rsidRPr="00EB38AB" w:rsidRDefault="00EB38AB" w:rsidP="00EB38AB">
            <w:pPr>
              <w:spacing w:after="0" w:line="240" w:lineRule="auto"/>
              <w:rPr>
                <w:rFonts w:ascii="Arial" w:eastAsia="Times New Roman" w:hAnsi="Arial" w:cs="Arial"/>
                <w:b/>
                <w:bCs/>
                <w:kern w:val="0"/>
                <w:sz w:val="15"/>
                <w:szCs w:val="15"/>
                <w:lang w:eastAsia="en-GB"/>
                <w14:ligatures w14:val="none"/>
              </w:rPr>
            </w:pPr>
            <w:r w:rsidRPr="00EB38AB">
              <w:rPr>
                <w:rFonts w:ascii="Arial" w:eastAsia="Times New Roman" w:hAnsi="Arial" w:cs="Arial"/>
                <w:b/>
                <w:bCs/>
                <w:kern w:val="0"/>
                <w:sz w:val="15"/>
                <w:szCs w:val="15"/>
                <w:lang w:eastAsia="en-GB"/>
                <w14:ligatures w14:val="none"/>
              </w:rPr>
              <w:lastRenderedPageBreak/>
              <w:t>Kinematic precision (path length, instrument velocity, economy of movement)</w:t>
            </w:r>
          </w:p>
        </w:tc>
        <w:tc>
          <w:tcPr>
            <w:tcW w:w="1417" w:type="dxa"/>
            <w:tcBorders>
              <w:top w:val="nil"/>
              <w:left w:val="nil"/>
              <w:bottom w:val="single" w:sz="4" w:space="0" w:color="BFBFBF"/>
              <w:right w:val="single" w:sz="4" w:space="0" w:color="BFBFBF"/>
            </w:tcBorders>
            <w:hideMark/>
          </w:tcPr>
          <w:p w14:paraId="4B36D959" w14:textId="77777777" w:rsidR="00EB38AB" w:rsidRPr="00EB38AB" w:rsidRDefault="00EB38AB" w:rsidP="00EB38AB">
            <w:pPr>
              <w:spacing w:after="0" w:line="240" w:lineRule="auto"/>
              <w:rPr>
                <w:rFonts w:ascii="Arial" w:eastAsia="Times New Roman" w:hAnsi="Arial" w:cs="Arial"/>
                <w:kern w:val="0"/>
                <w:sz w:val="13"/>
                <w:szCs w:val="13"/>
                <w:lang w:eastAsia="en-GB"/>
                <w14:ligatures w14:val="none"/>
              </w:rPr>
            </w:pPr>
            <w:r w:rsidRPr="00EB38AB">
              <w:rPr>
                <w:rFonts w:ascii="Arial" w:eastAsia="Times New Roman" w:hAnsi="Arial" w:cs="Arial"/>
                <w:kern w:val="0"/>
                <w:sz w:val="13"/>
                <w:szCs w:val="13"/>
                <w:lang w:eastAsia="en-GB"/>
                <w14:ligatures w14:val="none"/>
              </w:rPr>
              <w:t>n ≈ 104 (3 RCTs, 1 prospective cohort)</w:t>
            </w:r>
            <w:r w:rsidRPr="00EB38AB">
              <w:rPr>
                <w:rFonts w:ascii="Arial" w:eastAsia="Times New Roman" w:hAnsi="Arial" w:cs="Arial"/>
                <w:kern w:val="0"/>
                <w:sz w:val="13"/>
                <w:szCs w:val="13"/>
                <w:lang w:eastAsia="en-GB"/>
                <w14:ligatures w14:val="none"/>
              </w:rPr>
              <w:br/>
              <w:t>Chien 2012; Hardon 2022; Judkins 2008; Postema 2024</w:t>
            </w:r>
          </w:p>
        </w:tc>
        <w:tc>
          <w:tcPr>
            <w:tcW w:w="1134" w:type="dxa"/>
            <w:tcBorders>
              <w:top w:val="nil"/>
              <w:left w:val="nil"/>
              <w:bottom w:val="single" w:sz="4" w:space="0" w:color="BFBFBF"/>
              <w:right w:val="single" w:sz="4" w:space="0" w:color="BFBFBF"/>
            </w:tcBorders>
            <w:shd w:val="clear" w:color="D9D9D9" w:fill="C6EFCE"/>
            <w:vAlign w:val="center"/>
            <w:hideMark/>
          </w:tcPr>
          <w:p w14:paraId="123D027A"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Not serious</w:t>
            </w:r>
          </w:p>
        </w:tc>
        <w:tc>
          <w:tcPr>
            <w:tcW w:w="1418" w:type="dxa"/>
            <w:tcBorders>
              <w:top w:val="nil"/>
              <w:left w:val="nil"/>
              <w:bottom w:val="single" w:sz="4" w:space="0" w:color="BFBFBF"/>
              <w:right w:val="single" w:sz="4" w:space="0" w:color="BFBFBF"/>
            </w:tcBorders>
            <w:shd w:val="clear" w:color="F2F2F2" w:fill="FFEB9C"/>
            <w:vAlign w:val="center"/>
            <w:hideMark/>
          </w:tcPr>
          <w:p w14:paraId="4994BF50"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Serious (d)</w:t>
            </w:r>
          </w:p>
        </w:tc>
        <w:tc>
          <w:tcPr>
            <w:tcW w:w="1275" w:type="dxa"/>
            <w:tcBorders>
              <w:top w:val="nil"/>
              <w:left w:val="nil"/>
              <w:bottom w:val="single" w:sz="4" w:space="0" w:color="BFBFBF"/>
              <w:right w:val="single" w:sz="4" w:space="0" w:color="BFBFBF"/>
            </w:tcBorders>
            <w:shd w:val="clear" w:color="F2F2F2" w:fill="FFEB9C"/>
            <w:vAlign w:val="center"/>
            <w:hideMark/>
          </w:tcPr>
          <w:p w14:paraId="6A7C345B"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Serious (a)(b)</w:t>
            </w:r>
          </w:p>
        </w:tc>
        <w:tc>
          <w:tcPr>
            <w:tcW w:w="1134" w:type="dxa"/>
            <w:tcBorders>
              <w:top w:val="nil"/>
              <w:left w:val="nil"/>
              <w:bottom w:val="single" w:sz="4" w:space="0" w:color="BFBFBF"/>
              <w:right w:val="single" w:sz="4" w:space="0" w:color="BFBFBF"/>
            </w:tcBorders>
            <w:shd w:val="clear" w:color="F2F2F2" w:fill="FFEB9C"/>
            <w:vAlign w:val="center"/>
            <w:hideMark/>
          </w:tcPr>
          <w:p w14:paraId="39F16E29"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Serious (c)</w:t>
            </w:r>
          </w:p>
        </w:tc>
        <w:tc>
          <w:tcPr>
            <w:tcW w:w="1418" w:type="dxa"/>
            <w:tcBorders>
              <w:top w:val="nil"/>
              <w:left w:val="nil"/>
              <w:bottom w:val="single" w:sz="4" w:space="0" w:color="BFBFBF"/>
              <w:right w:val="single" w:sz="4" w:space="0" w:color="BFBFBF"/>
            </w:tcBorders>
            <w:shd w:val="clear" w:color="C6EFCE" w:fill="D9D9D9"/>
            <w:vAlign w:val="center"/>
            <w:hideMark/>
          </w:tcPr>
          <w:p w14:paraId="7E1BF255"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Publication bias</w:t>
            </w:r>
            <w:r w:rsidRPr="00EB38AB">
              <w:rPr>
                <w:rFonts w:ascii="Arial" w:eastAsia="Times New Roman" w:hAnsi="Arial" w:cs="Arial"/>
                <w:kern w:val="0"/>
                <w:sz w:val="15"/>
                <w:szCs w:val="15"/>
                <w:lang w:eastAsia="en-GB"/>
                <w14:ligatures w14:val="none"/>
              </w:rPr>
              <w:br/>
              <w:t>undetected (h)</w:t>
            </w:r>
          </w:p>
        </w:tc>
        <w:tc>
          <w:tcPr>
            <w:tcW w:w="4252" w:type="dxa"/>
            <w:tcBorders>
              <w:top w:val="nil"/>
              <w:left w:val="nil"/>
              <w:bottom w:val="single" w:sz="4" w:space="0" w:color="BFBFBF"/>
              <w:right w:val="single" w:sz="4" w:space="0" w:color="BFBFBF"/>
            </w:tcBorders>
            <w:hideMark/>
          </w:tcPr>
          <w:p w14:paraId="112CA61C" w14:textId="32CC4DB5" w:rsidR="00EB38AB" w:rsidRPr="00EB38AB" w:rsidRDefault="00EB38AB" w:rsidP="00EB38AB">
            <w:pPr>
              <w:spacing w:after="0" w:line="240" w:lineRule="auto"/>
              <w:rPr>
                <w:rFonts w:ascii="Arial" w:eastAsia="Times New Roman" w:hAnsi="Arial" w:cs="Arial"/>
                <w:kern w:val="0"/>
                <w:sz w:val="16"/>
                <w:szCs w:val="16"/>
                <w:lang w:eastAsia="en-GB"/>
                <w14:ligatures w14:val="none"/>
              </w:rPr>
            </w:pPr>
            <w:r w:rsidRPr="00EB38AB">
              <w:rPr>
                <w:rFonts w:ascii="Arial" w:eastAsia="Times New Roman" w:hAnsi="Arial" w:cs="Arial"/>
                <w:kern w:val="0"/>
                <w:sz w:val="16"/>
                <w:szCs w:val="16"/>
                <w:lang w:eastAsia="en-GB"/>
                <w14:ligatures w14:val="none"/>
              </w:rPr>
              <w:t>Direction of effect mixed. Chien 2012: 15.0% improvement in economy of movement vs 0.63% in control (p&lt;0.001). Judkins 2008: AR speed overlay approximately doubled mean instrument velocity (21</w:t>
            </w:r>
            <w:r w:rsidR="003528C9">
              <w:rPr>
                <w:rFonts w:ascii="Arial" w:eastAsia="Times New Roman" w:hAnsi="Arial" w:cs="Arial"/>
                <w:kern w:val="0"/>
                <w:sz w:val="16"/>
                <w:szCs w:val="16"/>
                <w:lang w:eastAsia="en-GB"/>
                <w14:ligatures w14:val="none"/>
              </w:rPr>
              <w:t xml:space="preserve"> to </w:t>
            </w:r>
            <w:r w:rsidRPr="00EB38AB">
              <w:rPr>
                <w:rFonts w:ascii="Arial" w:eastAsia="Times New Roman" w:hAnsi="Arial" w:cs="Arial"/>
                <w:kern w:val="0"/>
                <w:sz w:val="16"/>
                <w:szCs w:val="16"/>
                <w:lang w:eastAsia="en-GB"/>
                <w14:ligatures w14:val="none"/>
              </w:rPr>
              <w:t>38 mm/s, p&lt;0.05), retained at 2 weeks. Hardon 2022: no between-arm path-length difference. Postema 2024: reduced dominant-hand collisions (8.73 vs 14.27, p=0.045).</w:t>
            </w:r>
          </w:p>
        </w:tc>
        <w:tc>
          <w:tcPr>
            <w:tcW w:w="1418" w:type="dxa"/>
            <w:gridSpan w:val="2"/>
            <w:tcBorders>
              <w:top w:val="nil"/>
              <w:left w:val="nil"/>
              <w:bottom w:val="single" w:sz="4" w:space="0" w:color="BFBFBF"/>
              <w:right w:val="single" w:sz="4" w:space="0" w:color="BFBFBF"/>
            </w:tcBorders>
            <w:shd w:val="clear" w:color="FF6600" w:fill="FF6B6B"/>
            <w:vAlign w:val="center"/>
            <w:hideMark/>
          </w:tcPr>
          <w:p w14:paraId="78ED43FB" w14:textId="77777777" w:rsidR="00EB38AB" w:rsidRPr="00EB38AB" w:rsidRDefault="00EB38AB" w:rsidP="00EB38AB">
            <w:pPr>
              <w:spacing w:after="0" w:line="240" w:lineRule="auto"/>
              <w:jc w:val="center"/>
              <w:rPr>
                <w:rFonts w:ascii="Arial" w:eastAsia="Times New Roman" w:hAnsi="Arial" w:cs="Arial"/>
                <w:b/>
                <w:bCs/>
                <w:color w:val="FFFFFF"/>
                <w:kern w:val="0"/>
                <w:sz w:val="15"/>
                <w:szCs w:val="15"/>
                <w:lang w:eastAsia="en-GB"/>
                <w14:ligatures w14:val="none"/>
              </w:rPr>
            </w:pPr>
            <w:r w:rsidRPr="00EB38AB">
              <w:rPr>
                <w:rFonts w:ascii="Cambria Math" w:eastAsia="Times New Roman" w:hAnsi="Cambria Math" w:cs="Cambria Math"/>
                <w:b/>
                <w:bCs/>
                <w:color w:val="FFFFFF"/>
                <w:kern w:val="0"/>
                <w:sz w:val="15"/>
                <w:szCs w:val="15"/>
                <w:lang w:eastAsia="en-GB"/>
                <w14:ligatures w14:val="none"/>
              </w:rPr>
              <w:t>⊕</w:t>
            </w:r>
            <w:r w:rsidRPr="00EB38AB">
              <w:rPr>
                <w:rFonts w:ascii="Arial" w:eastAsia="Times New Roman" w:hAnsi="Arial" w:cs="Arial"/>
                <w:b/>
                <w:bCs/>
                <w:color w:val="FFFFFF"/>
                <w:kern w:val="0"/>
                <w:sz w:val="15"/>
                <w:szCs w:val="15"/>
                <w:lang w:eastAsia="en-GB"/>
                <w14:ligatures w14:val="none"/>
              </w:rPr>
              <w:t>○○○  Very low</w:t>
            </w:r>
          </w:p>
        </w:tc>
      </w:tr>
      <w:tr w:rsidR="00EB38AB" w:rsidRPr="00EB38AB" w14:paraId="6A1BB2D2" w14:textId="77777777" w:rsidTr="003528C9">
        <w:trPr>
          <w:gridAfter w:val="1"/>
          <w:wAfter w:w="54" w:type="dxa"/>
          <w:trHeight w:val="2595"/>
        </w:trPr>
        <w:tc>
          <w:tcPr>
            <w:tcW w:w="1560" w:type="dxa"/>
            <w:tcBorders>
              <w:top w:val="nil"/>
              <w:left w:val="single" w:sz="4" w:space="0" w:color="BFBFBF"/>
              <w:bottom w:val="single" w:sz="4" w:space="0" w:color="BFBFBF"/>
              <w:right w:val="single" w:sz="4" w:space="0" w:color="BFBFBF"/>
            </w:tcBorders>
            <w:hideMark/>
          </w:tcPr>
          <w:p w14:paraId="1603D461" w14:textId="77777777" w:rsidR="00EB38AB" w:rsidRPr="00EB38AB" w:rsidRDefault="00EB38AB" w:rsidP="00EB38AB">
            <w:pPr>
              <w:spacing w:after="0" w:line="240" w:lineRule="auto"/>
              <w:rPr>
                <w:rFonts w:ascii="Arial" w:eastAsia="Times New Roman" w:hAnsi="Arial" w:cs="Arial"/>
                <w:b/>
                <w:bCs/>
                <w:kern w:val="0"/>
                <w:sz w:val="15"/>
                <w:szCs w:val="15"/>
                <w:lang w:eastAsia="en-GB"/>
                <w14:ligatures w14:val="none"/>
              </w:rPr>
            </w:pPr>
            <w:r w:rsidRPr="00EB38AB">
              <w:rPr>
                <w:rFonts w:ascii="Arial" w:eastAsia="Times New Roman" w:hAnsi="Arial" w:cs="Arial"/>
                <w:b/>
                <w:bCs/>
                <w:kern w:val="0"/>
                <w:sz w:val="15"/>
                <w:szCs w:val="15"/>
                <w:lang w:eastAsia="en-GB"/>
                <w14:ligatures w14:val="none"/>
              </w:rPr>
              <w:t>Force application during suturing/dissection</w:t>
            </w:r>
          </w:p>
        </w:tc>
        <w:tc>
          <w:tcPr>
            <w:tcW w:w="1417" w:type="dxa"/>
            <w:tcBorders>
              <w:top w:val="nil"/>
              <w:left w:val="nil"/>
              <w:bottom w:val="single" w:sz="4" w:space="0" w:color="BFBFBF"/>
              <w:right w:val="single" w:sz="4" w:space="0" w:color="BFBFBF"/>
            </w:tcBorders>
            <w:hideMark/>
          </w:tcPr>
          <w:p w14:paraId="2BF73A0C" w14:textId="77777777" w:rsidR="00EB38AB" w:rsidRPr="00EB38AB" w:rsidRDefault="00EB38AB" w:rsidP="00EB38AB">
            <w:pPr>
              <w:spacing w:after="0" w:line="240" w:lineRule="auto"/>
              <w:rPr>
                <w:rFonts w:ascii="Arial" w:eastAsia="Times New Roman" w:hAnsi="Arial" w:cs="Arial"/>
                <w:kern w:val="0"/>
                <w:sz w:val="13"/>
                <w:szCs w:val="13"/>
                <w:lang w:eastAsia="en-GB"/>
                <w14:ligatures w14:val="none"/>
              </w:rPr>
            </w:pPr>
            <w:r w:rsidRPr="00EB38AB">
              <w:rPr>
                <w:rFonts w:ascii="Arial" w:eastAsia="Times New Roman" w:hAnsi="Arial" w:cs="Arial"/>
                <w:kern w:val="0"/>
                <w:sz w:val="13"/>
                <w:szCs w:val="13"/>
                <w:lang w:eastAsia="en-GB"/>
                <w14:ligatures w14:val="none"/>
              </w:rPr>
              <w:t>n = 125 (2 RCTs, intervention)</w:t>
            </w:r>
            <w:r w:rsidRPr="00EB38AB">
              <w:rPr>
                <w:rFonts w:ascii="Arial" w:eastAsia="Times New Roman" w:hAnsi="Arial" w:cs="Arial"/>
                <w:kern w:val="0"/>
                <w:sz w:val="13"/>
                <w:szCs w:val="13"/>
                <w:lang w:eastAsia="en-GB"/>
                <w14:ligatures w14:val="none"/>
              </w:rPr>
              <w:br/>
              <w:t>Hardon 2022; Bechtolsheim 2024</w:t>
            </w:r>
            <w:r w:rsidRPr="00EB38AB">
              <w:rPr>
                <w:rFonts w:ascii="Arial" w:eastAsia="Times New Roman" w:hAnsi="Arial" w:cs="Arial"/>
                <w:kern w:val="0"/>
                <w:sz w:val="13"/>
                <w:szCs w:val="13"/>
                <w:lang w:eastAsia="en-GB"/>
                <w14:ligatures w14:val="none"/>
              </w:rPr>
              <w:br/>
              <w:t>(plus Rahimi 2023, n=60, construct-validity — not pooled (g))</w:t>
            </w:r>
          </w:p>
        </w:tc>
        <w:tc>
          <w:tcPr>
            <w:tcW w:w="1134" w:type="dxa"/>
            <w:tcBorders>
              <w:top w:val="nil"/>
              <w:left w:val="nil"/>
              <w:bottom w:val="single" w:sz="4" w:space="0" w:color="BFBFBF"/>
              <w:right w:val="single" w:sz="4" w:space="0" w:color="BFBFBF"/>
            </w:tcBorders>
            <w:shd w:val="clear" w:color="D9D9D9" w:fill="C6EFCE"/>
            <w:vAlign w:val="center"/>
            <w:hideMark/>
          </w:tcPr>
          <w:p w14:paraId="467AA9AA"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Not serious</w:t>
            </w:r>
          </w:p>
        </w:tc>
        <w:tc>
          <w:tcPr>
            <w:tcW w:w="1418" w:type="dxa"/>
            <w:tcBorders>
              <w:top w:val="nil"/>
              <w:left w:val="nil"/>
              <w:bottom w:val="single" w:sz="4" w:space="0" w:color="BFBFBF"/>
              <w:right w:val="single" w:sz="4" w:space="0" w:color="BFBFBF"/>
            </w:tcBorders>
            <w:shd w:val="clear" w:color="D9D9D9" w:fill="C6EFCE"/>
            <w:vAlign w:val="center"/>
            <w:hideMark/>
          </w:tcPr>
          <w:p w14:paraId="6ACBA749"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Not serious (e)</w:t>
            </w:r>
          </w:p>
        </w:tc>
        <w:tc>
          <w:tcPr>
            <w:tcW w:w="1275" w:type="dxa"/>
            <w:tcBorders>
              <w:top w:val="nil"/>
              <w:left w:val="nil"/>
              <w:bottom w:val="single" w:sz="4" w:space="0" w:color="BFBFBF"/>
              <w:right w:val="single" w:sz="4" w:space="0" w:color="BFBFBF"/>
            </w:tcBorders>
            <w:shd w:val="clear" w:color="F2F2F2" w:fill="FFEB9C"/>
            <w:vAlign w:val="center"/>
            <w:hideMark/>
          </w:tcPr>
          <w:p w14:paraId="21DD9521"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Serious (a)(b)</w:t>
            </w:r>
          </w:p>
        </w:tc>
        <w:tc>
          <w:tcPr>
            <w:tcW w:w="1134" w:type="dxa"/>
            <w:tcBorders>
              <w:top w:val="nil"/>
              <w:left w:val="nil"/>
              <w:bottom w:val="single" w:sz="4" w:space="0" w:color="BFBFBF"/>
              <w:right w:val="single" w:sz="4" w:space="0" w:color="BFBFBF"/>
            </w:tcBorders>
            <w:shd w:val="clear" w:color="F2F2F2" w:fill="FFEB9C"/>
            <w:vAlign w:val="center"/>
            <w:hideMark/>
          </w:tcPr>
          <w:p w14:paraId="4CAEE556"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Serious (c)</w:t>
            </w:r>
          </w:p>
        </w:tc>
        <w:tc>
          <w:tcPr>
            <w:tcW w:w="1418" w:type="dxa"/>
            <w:tcBorders>
              <w:top w:val="nil"/>
              <w:left w:val="nil"/>
              <w:bottom w:val="single" w:sz="4" w:space="0" w:color="BFBFBF"/>
              <w:right w:val="single" w:sz="4" w:space="0" w:color="BFBFBF"/>
            </w:tcBorders>
            <w:shd w:val="clear" w:color="C6EFCE" w:fill="D9D9D9"/>
            <w:vAlign w:val="center"/>
            <w:hideMark/>
          </w:tcPr>
          <w:p w14:paraId="6CA0DF9E"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Publication bias</w:t>
            </w:r>
            <w:r w:rsidRPr="00EB38AB">
              <w:rPr>
                <w:rFonts w:ascii="Arial" w:eastAsia="Times New Roman" w:hAnsi="Arial" w:cs="Arial"/>
                <w:kern w:val="0"/>
                <w:sz w:val="15"/>
                <w:szCs w:val="15"/>
                <w:lang w:eastAsia="en-GB"/>
                <w14:ligatures w14:val="none"/>
              </w:rPr>
              <w:br/>
              <w:t>undetected (h)</w:t>
            </w:r>
          </w:p>
        </w:tc>
        <w:tc>
          <w:tcPr>
            <w:tcW w:w="4252" w:type="dxa"/>
            <w:tcBorders>
              <w:top w:val="nil"/>
              <w:left w:val="nil"/>
              <w:bottom w:val="single" w:sz="4" w:space="0" w:color="BFBFBF"/>
              <w:right w:val="single" w:sz="4" w:space="0" w:color="BFBFBF"/>
            </w:tcBorders>
            <w:hideMark/>
          </w:tcPr>
          <w:p w14:paraId="72AFA642" w14:textId="151D7DE8" w:rsidR="00EB38AB" w:rsidRPr="00EB38AB" w:rsidRDefault="00EB38AB" w:rsidP="00EB38AB">
            <w:pPr>
              <w:spacing w:after="0" w:line="240" w:lineRule="auto"/>
              <w:rPr>
                <w:rFonts w:ascii="Arial" w:eastAsia="Times New Roman" w:hAnsi="Arial" w:cs="Arial"/>
                <w:kern w:val="0"/>
                <w:sz w:val="16"/>
                <w:szCs w:val="16"/>
                <w:lang w:eastAsia="en-GB"/>
                <w14:ligatures w14:val="none"/>
              </w:rPr>
            </w:pPr>
            <w:r w:rsidRPr="00EB38AB">
              <w:rPr>
                <w:rFonts w:ascii="Arial" w:eastAsia="Times New Roman" w:hAnsi="Arial" w:cs="Arial"/>
                <w:kern w:val="0"/>
                <w:sz w:val="16"/>
                <w:szCs w:val="16"/>
                <w:lang w:eastAsia="en-GB"/>
                <w14:ligatures w14:val="none"/>
              </w:rPr>
              <w:t>No demonstrated advantage of technology-enhanced training over standard simulator training. Hardon 2022: no difference in force application after training. Bechtolsheim 2024: both VR and live-console arms reduced peak force from baseline; no significant final difference (suturing peak force 4.1 N vs 4.7 N, p=0.086). Rahimi 2023 supports force as discriminative of expertise but does not address intervention effectiveness.</w:t>
            </w:r>
          </w:p>
        </w:tc>
        <w:tc>
          <w:tcPr>
            <w:tcW w:w="1418" w:type="dxa"/>
            <w:gridSpan w:val="2"/>
            <w:tcBorders>
              <w:top w:val="nil"/>
              <w:left w:val="nil"/>
              <w:bottom w:val="single" w:sz="4" w:space="0" w:color="BFBFBF"/>
              <w:right w:val="single" w:sz="4" w:space="0" w:color="BFBFBF"/>
            </w:tcBorders>
            <w:shd w:val="clear" w:color="FF9900" w:fill="FFC000"/>
            <w:vAlign w:val="center"/>
            <w:hideMark/>
          </w:tcPr>
          <w:p w14:paraId="578A278A" w14:textId="77777777" w:rsidR="00EB38AB" w:rsidRPr="00EB38AB" w:rsidRDefault="00EB38AB" w:rsidP="00EB38AB">
            <w:pPr>
              <w:spacing w:after="0" w:line="240" w:lineRule="auto"/>
              <w:jc w:val="center"/>
              <w:rPr>
                <w:rFonts w:ascii="Arial" w:eastAsia="Times New Roman" w:hAnsi="Arial" w:cs="Arial"/>
                <w:b/>
                <w:bCs/>
                <w:color w:val="000000"/>
                <w:kern w:val="0"/>
                <w:sz w:val="15"/>
                <w:szCs w:val="15"/>
                <w:lang w:eastAsia="en-GB"/>
                <w14:ligatures w14:val="none"/>
              </w:rPr>
            </w:pPr>
            <w:r w:rsidRPr="00EB38AB">
              <w:rPr>
                <w:rFonts w:ascii="Cambria Math" w:eastAsia="Times New Roman" w:hAnsi="Cambria Math" w:cs="Cambria Math"/>
                <w:b/>
                <w:bCs/>
                <w:color w:val="000000"/>
                <w:kern w:val="0"/>
                <w:sz w:val="15"/>
                <w:szCs w:val="15"/>
                <w:lang w:eastAsia="en-GB"/>
                <w14:ligatures w14:val="none"/>
              </w:rPr>
              <w:t>⊕⊕</w:t>
            </w:r>
            <w:r w:rsidRPr="00EB38AB">
              <w:rPr>
                <w:rFonts w:ascii="Arial" w:eastAsia="Times New Roman" w:hAnsi="Arial" w:cs="Arial"/>
                <w:b/>
                <w:bCs/>
                <w:color w:val="000000"/>
                <w:kern w:val="0"/>
                <w:sz w:val="15"/>
                <w:szCs w:val="15"/>
                <w:lang w:eastAsia="en-GB"/>
                <w14:ligatures w14:val="none"/>
              </w:rPr>
              <w:t>○○  Low</w:t>
            </w:r>
          </w:p>
        </w:tc>
      </w:tr>
      <w:tr w:rsidR="00EB38AB" w:rsidRPr="00EB38AB" w14:paraId="21535BF5" w14:textId="77777777" w:rsidTr="003528C9">
        <w:trPr>
          <w:gridAfter w:val="1"/>
          <w:wAfter w:w="54" w:type="dxa"/>
          <w:trHeight w:val="2595"/>
        </w:trPr>
        <w:tc>
          <w:tcPr>
            <w:tcW w:w="1560" w:type="dxa"/>
            <w:tcBorders>
              <w:top w:val="nil"/>
              <w:left w:val="single" w:sz="4" w:space="0" w:color="BFBFBF"/>
              <w:bottom w:val="single" w:sz="4" w:space="0" w:color="BFBFBF"/>
              <w:right w:val="single" w:sz="4" w:space="0" w:color="BFBFBF"/>
            </w:tcBorders>
            <w:hideMark/>
          </w:tcPr>
          <w:p w14:paraId="43A80C63" w14:textId="77777777" w:rsidR="00EB38AB" w:rsidRPr="00EB38AB" w:rsidRDefault="00EB38AB" w:rsidP="00EB38AB">
            <w:pPr>
              <w:spacing w:after="0" w:line="240" w:lineRule="auto"/>
              <w:rPr>
                <w:rFonts w:ascii="Arial" w:eastAsia="Times New Roman" w:hAnsi="Arial" w:cs="Arial"/>
                <w:b/>
                <w:bCs/>
                <w:kern w:val="0"/>
                <w:sz w:val="15"/>
                <w:szCs w:val="15"/>
                <w:lang w:eastAsia="en-GB"/>
                <w14:ligatures w14:val="none"/>
              </w:rPr>
            </w:pPr>
            <w:r w:rsidRPr="00EB38AB">
              <w:rPr>
                <w:rFonts w:ascii="Arial" w:eastAsia="Times New Roman" w:hAnsi="Arial" w:cs="Arial"/>
                <w:b/>
                <w:bCs/>
                <w:kern w:val="0"/>
                <w:sz w:val="15"/>
                <w:szCs w:val="15"/>
                <w:lang w:eastAsia="en-GB"/>
                <w14:ligatures w14:val="none"/>
              </w:rPr>
              <w:t>Learning curve / repetitions to proficiency</w:t>
            </w:r>
          </w:p>
        </w:tc>
        <w:tc>
          <w:tcPr>
            <w:tcW w:w="1417" w:type="dxa"/>
            <w:tcBorders>
              <w:top w:val="nil"/>
              <w:left w:val="nil"/>
              <w:bottom w:val="single" w:sz="4" w:space="0" w:color="BFBFBF"/>
              <w:right w:val="single" w:sz="4" w:space="0" w:color="BFBFBF"/>
            </w:tcBorders>
            <w:hideMark/>
          </w:tcPr>
          <w:p w14:paraId="20F01399" w14:textId="77777777" w:rsidR="00EB38AB" w:rsidRPr="00EB38AB" w:rsidRDefault="00EB38AB" w:rsidP="00EB38AB">
            <w:pPr>
              <w:spacing w:after="0" w:line="240" w:lineRule="auto"/>
              <w:rPr>
                <w:rFonts w:ascii="Arial" w:eastAsia="Times New Roman" w:hAnsi="Arial" w:cs="Arial"/>
                <w:kern w:val="0"/>
                <w:sz w:val="13"/>
                <w:szCs w:val="13"/>
                <w:lang w:eastAsia="en-GB"/>
                <w14:ligatures w14:val="none"/>
              </w:rPr>
            </w:pPr>
            <w:r w:rsidRPr="00EB38AB">
              <w:rPr>
                <w:rFonts w:ascii="Arial" w:eastAsia="Times New Roman" w:hAnsi="Arial" w:cs="Arial"/>
                <w:kern w:val="0"/>
                <w:sz w:val="13"/>
                <w:szCs w:val="13"/>
                <w:lang w:eastAsia="en-GB"/>
                <w14:ligatures w14:val="none"/>
              </w:rPr>
              <w:t>n = 107 (2 RCTs)</w:t>
            </w:r>
            <w:r w:rsidRPr="00EB38AB">
              <w:rPr>
                <w:rFonts w:ascii="Arial" w:eastAsia="Times New Roman" w:hAnsi="Arial" w:cs="Arial"/>
                <w:kern w:val="0"/>
                <w:sz w:val="13"/>
                <w:szCs w:val="13"/>
                <w:lang w:eastAsia="en-GB"/>
                <w14:ligatures w14:val="none"/>
              </w:rPr>
              <w:br/>
              <w:t>Takagi 2023; Bechtolsheim 2024</w:t>
            </w:r>
          </w:p>
        </w:tc>
        <w:tc>
          <w:tcPr>
            <w:tcW w:w="1134" w:type="dxa"/>
            <w:tcBorders>
              <w:top w:val="nil"/>
              <w:left w:val="nil"/>
              <w:bottom w:val="single" w:sz="4" w:space="0" w:color="BFBFBF"/>
              <w:right w:val="single" w:sz="4" w:space="0" w:color="BFBFBF"/>
            </w:tcBorders>
            <w:shd w:val="clear" w:color="D9D9D9" w:fill="C6EFCE"/>
            <w:vAlign w:val="center"/>
            <w:hideMark/>
          </w:tcPr>
          <w:p w14:paraId="352CA20F"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Not serious</w:t>
            </w:r>
          </w:p>
        </w:tc>
        <w:tc>
          <w:tcPr>
            <w:tcW w:w="1418" w:type="dxa"/>
            <w:tcBorders>
              <w:top w:val="nil"/>
              <w:left w:val="nil"/>
              <w:bottom w:val="single" w:sz="4" w:space="0" w:color="BFBFBF"/>
              <w:right w:val="single" w:sz="4" w:space="0" w:color="BFBFBF"/>
            </w:tcBorders>
            <w:shd w:val="clear" w:color="D9D9D9" w:fill="C6EFCE"/>
            <w:vAlign w:val="center"/>
            <w:hideMark/>
          </w:tcPr>
          <w:p w14:paraId="0C51EC40"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Not serious (e)</w:t>
            </w:r>
          </w:p>
        </w:tc>
        <w:tc>
          <w:tcPr>
            <w:tcW w:w="1275" w:type="dxa"/>
            <w:tcBorders>
              <w:top w:val="nil"/>
              <w:left w:val="nil"/>
              <w:bottom w:val="single" w:sz="4" w:space="0" w:color="BFBFBF"/>
              <w:right w:val="single" w:sz="4" w:space="0" w:color="BFBFBF"/>
            </w:tcBorders>
            <w:shd w:val="clear" w:color="F2F2F2" w:fill="FFEB9C"/>
            <w:vAlign w:val="center"/>
            <w:hideMark/>
          </w:tcPr>
          <w:p w14:paraId="3DE0FBB6"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Serious (a)(b)</w:t>
            </w:r>
          </w:p>
        </w:tc>
        <w:tc>
          <w:tcPr>
            <w:tcW w:w="1134" w:type="dxa"/>
            <w:tcBorders>
              <w:top w:val="nil"/>
              <w:left w:val="nil"/>
              <w:bottom w:val="single" w:sz="4" w:space="0" w:color="BFBFBF"/>
              <w:right w:val="single" w:sz="4" w:space="0" w:color="BFBFBF"/>
            </w:tcBorders>
            <w:shd w:val="clear" w:color="F2F2F2" w:fill="FFEB9C"/>
            <w:vAlign w:val="center"/>
            <w:hideMark/>
          </w:tcPr>
          <w:p w14:paraId="7B255240"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Serious (c)</w:t>
            </w:r>
          </w:p>
        </w:tc>
        <w:tc>
          <w:tcPr>
            <w:tcW w:w="1418" w:type="dxa"/>
            <w:tcBorders>
              <w:top w:val="nil"/>
              <w:left w:val="nil"/>
              <w:bottom w:val="single" w:sz="4" w:space="0" w:color="BFBFBF"/>
              <w:right w:val="single" w:sz="4" w:space="0" w:color="BFBFBF"/>
            </w:tcBorders>
            <w:shd w:val="clear" w:color="C6EFCE" w:fill="D9D9D9"/>
            <w:vAlign w:val="center"/>
            <w:hideMark/>
          </w:tcPr>
          <w:p w14:paraId="61D158FC"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Publication bias</w:t>
            </w:r>
            <w:r w:rsidRPr="00EB38AB">
              <w:rPr>
                <w:rFonts w:ascii="Arial" w:eastAsia="Times New Roman" w:hAnsi="Arial" w:cs="Arial"/>
                <w:kern w:val="0"/>
                <w:sz w:val="15"/>
                <w:szCs w:val="15"/>
                <w:lang w:eastAsia="en-GB"/>
                <w14:ligatures w14:val="none"/>
              </w:rPr>
              <w:br/>
              <w:t>undetected (h)</w:t>
            </w:r>
          </w:p>
        </w:tc>
        <w:tc>
          <w:tcPr>
            <w:tcW w:w="4252" w:type="dxa"/>
            <w:tcBorders>
              <w:top w:val="nil"/>
              <w:left w:val="nil"/>
              <w:bottom w:val="single" w:sz="4" w:space="0" w:color="BFBFBF"/>
              <w:right w:val="single" w:sz="4" w:space="0" w:color="BFBFBF"/>
            </w:tcBorders>
            <w:hideMark/>
          </w:tcPr>
          <w:p w14:paraId="374F9F6D" w14:textId="77777777" w:rsidR="00EB38AB" w:rsidRPr="00EB38AB" w:rsidRDefault="00EB38AB" w:rsidP="00EB38AB">
            <w:pPr>
              <w:spacing w:after="0" w:line="240" w:lineRule="auto"/>
              <w:rPr>
                <w:rFonts w:ascii="Arial" w:eastAsia="Times New Roman" w:hAnsi="Arial" w:cs="Arial"/>
                <w:kern w:val="0"/>
                <w:sz w:val="16"/>
                <w:szCs w:val="16"/>
                <w:lang w:eastAsia="en-GB"/>
                <w14:ligatures w14:val="none"/>
              </w:rPr>
            </w:pPr>
            <w:r w:rsidRPr="00EB38AB">
              <w:rPr>
                <w:rFonts w:ascii="Arial" w:eastAsia="Times New Roman" w:hAnsi="Arial" w:cs="Arial"/>
                <w:kern w:val="0"/>
                <w:sz w:val="16"/>
                <w:szCs w:val="16"/>
                <w:lang w:eastAsia="en-GB"/>
                <w14:ligatures w14:val="none"/>
              </w:rPr>
              <w:t>Technology-enhanced approaches associated with accelerated learning. Takagi 2023: CUSUM plateau at 2 vs 4 cycles. Bechtolsheim 2024: fewer repetitions to proficiency for the live-console-trained arm vs VR-trained arm on Ring Tower Transfer (2.48 vs 5.45, p&lt;0.001), Knot Tying (5.34 vs 8.13, p=0.006), and Vessel Energy Dissection (2.0 vs 2.38, p=0.001). Direction of advantage varies by adjunct (educational video vs live console training).</w:t>
            </w:r>
          </w:p>
        </w:tc>
        <w:tc>
          <w:tcPr>
            <w:tcW w:w="1418" w:type="dxa"/>
            <w:gridSpan w:val="2"/>
            <w:tcBorders>
              <w:top w:val="nil"/>
              <w:left w:val="nil"/>
              <w:bottom w:val="single" w:sz="4" w:space="0" w:color="BFBFBF"/>
              <w:right w:val="single" w:sz="4" w:space="0" w:color="BFBFBF"/>
            </w:tcBorders>
            <w:shd w:val="clear" w:color="FF9900" w:fill="FFC000"/>
            <w:vAlign w:val="center"/>
            <w:hideMark/>
          </w:tcPr>
          <w:p w14:paraId="04A3F750" w14:textId="77777777" w:rsidR="00EB38AB" w:rsidRPr="00EB38AB" w:rsidRDefault="00EB38AB" w:rsidP="00EB38AB">
            <w:pPr>
              <w:spacing w:after="0" w:line="240" w:lineRule="auto"/>
              <w:jc w:val="center"/>
              <w:rPr>
                <w:rFonts w:ascii="Arial" w:eastAsia="Times New Roman" w:hAnsi="Arial" w:cs="Arial"/>
                <w:b/>
                <w:bCs/>
                <w:color w:val="000000"/>
                <w:kern w:val="0"/>
                <w:sz w:val="15"/>
                <w:szCs w:val="15"/>
                <w:lang w:eastAsia="en-GB"/>
                <w14:ligatures w14:val="none"/>
              </w:rPr>
            </w:pPr>
            <w:r w:rsidRPr="00EB38AB">
              <w:rPr>
                <w:rFonts w:ascii="Cambria Math" w:eastAsia="Times New Roman" w:hAnsi="Cambria Math" w:cs="Cambria Math"/>
                <w:b/>
                <w:bCs/>
                <w:color w:val="000000"/>
                <w:kern w:val="0"/>
                <w:sz w:val="15"/>
                <w:szCs w:val="15"/>
                <w:lang w:eastAsia="en-GB"/>
                <w14:ligatures w14:val="none"/>
              </w:rPr>
              <w:t>⊕⊕</w:t>
            </w:r>
            <w:r w:rsidRPr="00EB38AB">
              <w:rPr>
                <w:rFonts w:ascii="Arial" w:eastAsia="Times New Roman" w:hAnsi="Arial" w:cs="Arial"/>
                <w:b/>
                <w:bCs/>
                <w:color w:val="000000"/>
                <w:kern w:val="0"/>
                <w:sz w:val="15"/>
                <w:szCs w:val="15"/>
                <w:lang w:eastAsia="en-GB"/>
                <w14:ligatures w14:val="none"/>
              </w:rPr>
              <w:t>○○  Low</w:t>
            </w:r>
          </w:p>
        </w:tc>
      </w:tr>
      <w:tr w:rsidR="00EB38AB" w:rsidRPr="00EB38AB" w14:paraId="5D261329" w14:textId="77777777" w:rsidTr="003528C9">
        <w:trPr>
          <w:gridAfter w:val="1"/>
          <w:wAfter w:w="54" w:type="dxa"/>
          <w:trHeight w:val="2595"/>
        </w:trPr>
        <w:tc>
          <w:tcPr>
            <w:tcW w:w="1560" w:type="dxa"/>
            <w:tcBorders>
              <w:top w:val="nil"/>
              <w:left w:val="single" w:sz="4" w:space="0" w:color="BFBFBF"/>
              <w:bottom w:val="single" w:sz="4" w:space="0" w:color="BFBFBF"/>
              <w:right w:val="single" w:sz="4" w:space="0" w:color="BFBFBF"/>
            </w:tcBorders>
            <w:hideMark/>
          </w:tcPr>
          <w:p w14:paraId="15FB79B5" w14:textId="77777777" w:rsidR="00EB38AB" w:rsidRPr="00EB38AB" w:rsidRDefault="00EB38AB" w:rsidP="00EB38AB">
            <w:pPr>
              <w:spacing w:after="0" w:line="240" w:lineRule="auto"/>
              <w:rPr>
                <w:rFonts w:ascii="Arial" w:eastAsia="Times New Roman" w:hAnsi="Arial" w:cs="Arial"/>
                <w:b/>
                <w:bCs/>
                <w:kern w:val="0"/>
                <w:sz w:val="15"/>
                <w:szCs w:val="15"/>
                <w:lang w:eastAsia="en-GB"/>
                <w14:ligatures w14:val="none"/>
              </w:rPr>
            </w:pPr>
            <w:r w:rsidRPr="00EB38AB">
              <w:rPr>
                <w:rFonts w:ascii="Arial" w:eastAsia="Times New Roman" w:hAnsi="Arial" w:cs="Arial"/>
                <w:b/>
                <w:bCs/>
                <w:kern w:val="0"/>
                <w:sz w:val="15"/>
                <w:szCs w:val="15"/>
                <w:lang w:eastAsia="en-GB"/>
                <w14:ligatures w14:val="none"/>
              </w:rPr>
              <w:t>Validated rating-tool score (R-OSATS / GEARS)</w:t>
            </w:r>
          </w:p>
        </w:tc>
        <w:tc>
          <w:tcPr>
            <w:tcW w:w="1417" w:type="dxa"/>
            <w:tcBorders>
              <w:top w:val="nil"/>
              <w:left w:val="nil"/>
              <w:bottom w:val="single" w:sz="4" w:space="0" w:color="BFBFBF"/>
              <w:right w:val="single" w:sz="4" w:space="0" w:color="BFBFBF"/>
            </w:tcBorders>
            <w:hideMark/>
          </w:tcPr>
          <w:p w14:paraId="6B78D4F7" w14:textId="77777777" w:rsidR="00EB38AB" w:rsidRPr="00EB38AB" w:rsidRDefault="00EB38AB" w:rsidP="00EB38AB">
            <w:pPr>
              <w:spacing w:after="0" w:line="240" w:lineRule="auto"/>
              <w:rPr>
                <w:rFonts w:ascii="Arial" w:eastAsia="Times New Roman" w:hAnsi="Arial" w:cs="Arial"/>
                <w:kern w:val="0"/>
                <w:sz w:val="13"/>
                <w:szCs w:val="13"/>
                <w:lang w:eastAsia="en-GB"/>
                <w14:ligatures w14:val="none"/>
              </w:rPr>
            </w:pPr>
            <w:r w:rsidRPr="00EB38AB">
              <w:rPr>
                <w:rFonts w:ascii="Arial" w:eastAsia="Times New Roman" w:hAnsi="Arial" w:cs="Arial"/>
                <w:kern w:val="0"/>
                <w:sz w:val="13"/>
                <w:szCs w:val="13"/>
                <w:lang w:eastAsia="en-GB"/>
                <w14:ligatures w14:val="none"/>
              </w:rPr>
              <w:t>n = 11 (1 randomised crossover)</w:t>
            </w:r>
            <w:r w:rsidRPr="00EB38AB">
              <w:rPr>
                <w:rFonts w:ascii="Arial" w:eastAsia="Times New Roman" w:hAnsi="Arial" w:cs="Arial"/>
                <w:kern w:val="0"/>
                <w:sz w:val="13"/>
                <w:szCs w:val="13"/>
                <w:lang w:eastAsia="en-GB"/>
                <w14:ligatures w14:val="none"/>
              </w:rPr>
              <w:br/>
              <w:t>Nathan 2023</w:t>
            </w:r>
          </w:p>
        </w:tc>
        <w:tc>
          <w:tcPr>
            <w:tcW w:w="1134" w:type="dxa"/>
            <w:tcBorders>
              <w:top w:val="nil"/>
              <w:left w:val="nil"/>
              <w:bottom w:val="single" w:sz="4" w:space="0" w:color="BFBFBF"/>
              <w:right w:val="single" w:sz="4" w:space="0" w:color="BFBFBF"/>
            </w:tcBorders>
            <w:shd w:val="clear" w:color="D9D9D9" w:fill="C6EFCE"/>
            <w:vAlign w:val="center"/>
            <w:hideMark/>
          </w:tcPr>
          <w:p w14:paraId="158EFB1F"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Not serious</w:t>
            </w:r>
          </w:p>
        </w:tc>
        <w:tc>
          <w:tcPr>
            <w:tcW w:w="1418" w:type="dxa"/>
            <w:tcBorders>
              <w:top w:val="nil"/>
              <w:left w:val="nil"/>
              <w:bottom w:val="single" w:sz="4" w:space="0" w:color="BFBFBF"/>
              <w:right w:val="single" w:sz="4" w:space="0" w:color="BFBFBF"/>
            </w:tcBorders>
            <w:shd w:val="clear" w:color="C6EFCE" w:fill="D9D9D9"/>
            <w:vAlign w:val="center"/>
            <w:hideMark/>
          </w:tcPr>
          <w:p w14:paraId="2944A39D"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Cannot assess (f)</w:t>
            </w:r>
          </w:p>
        </w:tc>
        <w:tc>
          <w:tcPr>
            <w:tcW w:w="1275" w:type="dxa"/>
            <w:tcBorders>
              <w:top w:val="nil"/>
              <w:left w:val="nil"/>
              <w:bottom w:val="single" w:sz="4" w:space="0" w:color="BFBFBF"/>
              <w:right w:val="single" w:sz="4" w:space="0" w:color="BFBFBF"/>
            </w:tcBorders>
            <w:shd w:val="clear" w:color="D9D9D9" w:fill="C6EFCE"/>
            <w:vAlign w:val="center"/>
            <w:hideMark/>
          </w:tcPr>
          <w:p w14:paraId="49457F39"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Not serious</w:t>
            </w:r>
          </w:p>
        </w:tc>
        <w:tc>
          <w:tcPr>
            <w:tcW w:w="1134" w:type="dxa"/>
            <w:tcBorders>
              <w:top w:val="nil"/>
              <w:left w:val="nil"/>
              <w:bottom w:val="single" w:sz="4" w:space="0" w:color="BFBFBF"/>
              <w:right w:val="single" w:sz="4" w:space="0" w:color="BFBFBF"/>
            </w:tcBorders>
            <w:shd w:val="clear" w:color="D9D9D9" w:fill="FFC7CE"/>
            <w:vAlign w:val="center"/>
            <w:hideMark/>
          </w:tcPr>
          <w:p w14:paraId="0A2E8899"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Very serious (c)</w:t>
            </w:r>
          </w:p>
        </w:tc>
        <w:tc>
          <w:tcPr>
            <w:tcW w:w="1418" w:type="dxa"/>
            <w:tcBorders>
              <w:top w:val="nil"/>
              <w:left w:val="nil"/>
              <w:bottom w:val="single" w:sz="4" w:space="0" w:color="BFBFBF"/>
              <w:right w:val="single" w:sz="4" w:space="0" w:color="BFBFBF"/>
            </w:tcBorders>
            <w:shd w:val="clear" w:color="C6EFCE" w:fill="D9D9D9"/>
            <w:vAlign w:val="center"/>
            <w:hideMark/>
          </w:tcPr>
          <w:p w14:paraId="363B15B9"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Publication bias</w:t>
            </w:r>
            <w:r w:rsidRPr="00EB38AB">
              <w:rPr>
                <w:rFonts w:ascii="Arial" w:eastAsia="Times New Roman" w:hAnsi="Arial" w:cs="Arial"/>
                <w:kern w:val="0"/>
                <w:sz w:val="15"/>
                <w:szCs w:val="15"/>
                <w:lang w:eastAsia="en-GB"/>
                <w14:ligatures w14:val="none"/>
              </w:rPr>
              <w:br/>
              <w:t>undetected (h)</w:t>
            </w:r>
          </w:p>
        </w:tc>
        <w:tc>
          <w:tcPr>
            <w:tcW w:w="4252" w:type="dxa"/>
            <w:tcBorders>
              <w:top w:val="nil"/>
              <w:left w:val="nil"/>
              <w:bottom w:val="single" w:sz="4" w:space="0" w:color="BFBFBF"/>
              <w:right w:val="single" w:sz="4" w:space="0" w:color="BFBFBF"/>
            </w:tcBorders>
            <w:hideMark/>
          </w:tcPr>
          <w:p w14:paraId="13BD2045" w14:textId="77777777" w:rsidR="00EB38AB" w:rsidRPr="00EB38AB" w:rsidRDefault="00EB38AB" w:rsidP="00EB38AB">
            <w:pPr>
              <w:spacing w:after="0" w:line="240" w:lineRule="auto"/>
              <w:rPr>
                <w:rFonts w:ascii="Arial" w:eastAsia="Times New Roman" w:hAnsi="Arial" w:cs="Arial"/>
                <w:kern w:val="0"/>
                <w:sz w:val="16"/>
                <w:szCs w:val="16"/>
                <w:lang w:eastAsia="en-GB"/>
                <w14:ligatures w14:val="none"/>
              </w:rPr>
            </w:pPr>
            <w:r w:rsidRPr="00EB38AB">
              <w:rPr>
                <w:rFonts w:ascii="Arial" w:eastAsia="Times New Roman" w:hAnsi="Arial" w:cs="Arial"/>
                <w:kern w:val="0"/>
                <w:sz w:val="16"/>
                <w:szCs w:val="16"/>
                <w:lang w:eastAsia="en-GB"/>
                <w14:ligatures w14:val="none"/>
              </w:rPr>
              <w:t>VR-classroom training associated with significantly higher R-OSATS scores than self-directed FRS learning (44.80 vs 35.33 points, p=0.006). Single small study; reproducibility unknown. No GEARS-based intervention study was identified.</w:t>
            </w:r>
          </w:p>
        </w:tc>
        <w:tc>
          <w:tcPr>
            <w:tcW w:w="1418" w:type="dxa"/>
            <w:gridSpan w:val="2"/>
            <w:tcBorders>
              <w:top w:val="nil"/>
              <w:left w:val="nil"/>
              <w:bottom w:val="single" w:sz="4" w:space="0" w:color="BFBFBF"/>
              <w:right w:val="single" w:sz="4" w:space="0" w:color="BFBFBF"/>
            </w:tcBorders>
            <w:shd w:val="clear" w:color="FF6600" w:fill="FF6B6B"/>
            <w:vAlign w:val="center"/>
            <w:hideMark/>
          </w:tcPr>
          <w:p w14:paraId="598BA42C" w14:textId="77777777" w:rsidR="00EB38AB" w:rsidRPr="00EB38AB" w:rsidRDefault="00EB38AB" w:rsidP="00EB38AB">
            <w:pPr>
              <w:spacing w:after="0" w:line="240" w:lineRule="auto"/>
              <w:jc w:val="center"/>
              <w:rPr>
                <w:rFonts w:ascii="Arial" w:eastAsia="Times New Roman" w:hAnsi="Arial" w:cs="Arial"/>
                <w:b/>
                <w:bCs/>
                <w:color w:val="FFFFFF"/>
                <w:kern w:val="0"/>
                <w:sz w:val="15"/>
                <w:szCs w:val="15"/>
                <w:lang w:eastAsia="en-GB"/>
                <w14:ligatures w14:val="none"/>
              </w:rPr>
            </w:pPr>
            <w:r w:rsidRPr="00EB38AB">
              <w:rPr>
                <w:rFonts w:ascii="Cambria Math" w:eastAsia="Times New Roman" w:hAnsi="Cambria Math" w:cs="Cambria Math"/>
                <w:b/>
                <w:bCs/>
                <w:color w:val="FFFFFF"/>
                <w:kern w:val="0"/>
                <w:sz w:val="15"/>
                <w:szCs w:val="15"/>
                <w:lang w:eastAsia="en-GB"/>
                <w14:ligatures w14:val="none"/>
              </w:rPr>
              <w:t>⊕</w:t>
            </w:r>
            <w:r w:rsidRPr="00EB38AB">
              <w:rPr>
                <w:rFonts w:ascii="Arial" w:eastAsia="Times New Roman" w:hAnsi="Arial" w:cs="Arial"/>
                <w:b/>
                <w:bCs/>
                <w:color w:val="FFFFFF"/>
                <w:kern w:val="0"/>
                <w:sz w:val="15"/>
                <w:szCs w:val="15"/>
                <w:lang w:eastAsia="en-GB"/>
                <w14:ligatures w14:val="none"/>
              </w:rPr>
              <w:t>○○○  Very low</w:t>
            </w:r>
          </w:p>
        </w:tc>
      </w:tr>
      <w:tr w:rsidR="00EB38AB" w:rsidRPr="00EB38AB" w14:paraId="2D5AC97F" w14:textId="77777777" w:rsidTr="003528C9">
        <w:trPr>
          <w:gridAfter w:val="1"/>
          <w:wAfter w:w="54" w:type="dxa"/>
          <w:trHeight w:val="2595"/>
        </w:trPr>
        <w:tc>
          <w:tcPr>
            <w:tcW w:w="1560" w:type="dxa"/>
            <w:tcBorders>
              <w:top w:val="nil"/>
              <w:left w:val="single" w:sz="4" w:space="0" w:color="BFBFBF"/>
              <w:bottom w:val="single" w:sz="4" w:space="0" w:color="BFBFBF"/>
              <w:right w:val="single" w:sz="4" w:space="0" w:color="BFBFBF"/>
            </w:tcBorders>
            <w:hideMark/>
          </w:tcPr>
          <w:p w14:paraId="18B9EA4F" w14:textId="77777777" w:rsidR="00EB38AB" w:rsidRPr="00EB38AB" w:rsidRDefault="00EB38AB" w:rsidP="00EB38AB">
            <w:pPr>
              <w:spacing w:after="0" w:line="240" w:lineRule="auto"/>
              <w:rPr>
                <w:rFonts w:ascii="Arial" w:eastAsia="Times New Roman" w:hAnsi="Arial" w:cs="Arial"/>
                <w:b/>
                <w:bCs/>
                <w:kern w:val="0"/>
                <w:sz w:val="15"/>
                <w:szCs w:val="15"/>
                <w:lang w:eastAsia="en-GB"/>
                <w14:ligatures w14:val="none"/>
              </w:rPr>
            </w:pPr>
            <w:r w:rsidRPr="00EB38AB">
              <w:rPr>
                <w:rFonts w:ascii="Arial" w:eastAsia="Times New Roman" w:hAnsi="Arial" w:cs="Arial"/>
                <w:b/>
                <w:bCs/>
                <w:kern w:val="0"/>
                <w:sz w:val="15"/>
                <w:szCs w:val="15"/>
                <w:lang w:eastAsia="en-GB"/>
                <w14:ligatures w14:val="none"/>
              </w:rPr>
              <w:lastRenderedPageBreak/>
              <w:t>Skill retention (≥ 2 weeks post-training)</w:t>
            </w:r>
          </w:p>
        </w:tc>
        <w:tc>
          <w:tcPr>
            <w:tcW w:w="1417" w:type="dxa"/>
            <w:tcBorders>
              <w:top w:val="nil"/>
              <w:left w:val="nil"/>
              <w:bottom w:val="single" w:sz="4" w:space="0" w:color="BFBFBF"/>
              <w:right w:val="single" w:sz="4" w:space="0" w:color="BFBFBF"/>
            </w:tcBorders>
            <w:hideMark/>
          </w:tcPr>
          <w:p w14:paraId="2F5E8715" w14:textId="77777777" w:rsidR="00EB38AB" w:rsidRPr="00EB38AB" w:rsidRDefault="00EB38AB" w:rsidP="00EB38AB">
            <w:pPr>
              <w:spacing w:after="0" w:line="240" w:lineRule="auto"/>
              <w:rPr>
                <w:rFonts w:ascii="Arial" w:eastAsia="Times New Roman" w:hAnsi="Arial" w:cs="Arial"/>
                <w:kern w:val="0"/>
                <w:sz w:val="13"/>
                <w:szCs w:val="13"/>
                <w:lang w:eastAsia="en-GB"/>
                <w14:ligatures w14:val="none"/>
              </w:rPr>
            </w:pPr>
            <w:r w:rsidRPr="00EB38AB">
              <w:rPr>
                <w:rFonts w:ascii="Arial" w:eastAsia="Times New Roman" w:hAnsi="Arial" w:cs="Arial"/>
                <w:kern w:val="0"/>
                <w:sz w:val="13"/>
                <w:szCs w:val="13"/>
                <w:lang w:eastAsia="en-GB"/>
                <w14:ligatures w14:val="none"/>
              </w:rPr>
              <w:t>n = 30 (1 prospective cohort)</w:t>
            </w:r>
            <w:r w:rsidRPr="00EB38AB">
              <w:rPr>
                <w:rFonts w:ascii="Arial" w:eastAsia="Times New Roman" w:hAnsi="Arial" w:cs="Arial"/>
                <w:kern w:val="0"/>
                <w:sz w:val="13"/>
                <w:szCs w:val="13"/>
                <w:lang w:eastAsia="en-GB"/>
                <w14:ligatures w14:val="none"/>
              </w:rPr>
              <w:br/>
              <w:t>Judkins 2008</w:t>
            </w:r>
          </w:p>
        </w:tc>
        <w:tc>
          <w:tcPr>
            <w:tcW w:w="1134" w:type="dxa"/>
            <w:tcBorders>
              <w:top w:val="nil"/>
              <w:left w:val="nil"/>
              <w:bottom w:val="single" w:sz="4" w:space="0" w:color="BFBFBF"/>
              <w:right w:val="single" w:sz="4" w:space="0" w:color="BFBFBF"/>
            </w:tcBorders>
            <w:shd w:val="clear" w:color="D9D9D9" w:fill="C6EFCE"/>
            <w:vAlign w:val="center"/>
            <w:hideMark/>
          </w:tcPr>
          <w:p w14:paraId="5870F4D0"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Not serious</w:t>
            </w:r>
          </w:p>
        </w:tc>
        <w:tc>
          <w:tcPr>
            <w:tcW w:w="1418" w:type="dxa"/>
            <w:tcBorders>
              <w:top w:val="nil"/>
              <w:left w:val="nil"/>
              <w:bottom w:val="single" w:sz="4" w:space="0" w:color="BFBFBF"/>
              <w:right w:val="single" w:sz="4" w:space="0" w:color="BFBFBF"/>
            </w:tcBorders>
            <w:shd w:val="clear" w:color="C6EFCE" w:fill="D9D9D9"/>
            <w:vAlign w:val="center"/>
            <w:hideMark/>
          </w:tcPr>
          <w:p w14:paraId="006CB4A5"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Cannot assess (f)</w:t>
            </w:r>
          </w:p>
        </w:tc>
        <w:tc>
          <w:tcPr>
            <w:tcW w:w="1275" w:type="dxa"/>
            <w:tcBorders>
              <w:top w:val="nil"/>
              <w:left w:val="nil"/>
              <w:bottom w:val="single" w:sz="4" w:space="0" w:color="BFBFBF"/>
              <w:right w:val="single" w:sz="4" w:space="0" w:color="BFBFBF"/>
            </w:tcBorders>
            <w:shd w:val="clear" w:color="F2F2F2" w:fill="FFEB9C"/>
            <w:vAlign w:val="center"/>
            <w:hideMark/>
          </w:tcPr>
          <w:p w14:paraId="655AD2B0"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Serious (a)(b)</w:t>
            </w:r>
          </w:p>
        </w:tc>
        <w:tc>
          <w:tcPr>
            <w:tcW w:w="1134" w:type="dxa"/>
            <w:tcBorders>
              <w:top w:val="nil"/>
              <w:left w:val="nil"/>
              <w:bottom w:val="single" w:sz="4" w:space="0" w:color="BFBFBF"/>
              <w:right w:val="single" w:sz="4" w:space="0" w:color="BFBFBF"/>
            </w:tcBorders>
            <w:shd w:val="clear" w:color="F2F2F2" w:fill="FFEB9C"/>
            <w:vAlign w:val="center"/>
            <w:hideMark/>
          </w:tcPr>
          <w:p w14:paraId="6851A558"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Serious (c)</w:t>
            </w:r>
          </w:p>
        </w:tc>
        <w:tc>
          <w:tcPr>
            <w:tcW w:w="1418" w:type="dxa"/>
            <w:tcBorders>
              <w:top w:val="nil"/>
              <w:left w:val="nil"/>
              <w:bottom w:val="single" w:sz="4" w:space="0" w:color="BFBFBF"/>
              <w:right w:val="single" w:sz="4" w:space="0" w:color="BFBFBF"/>
            </w:tcBorders>
            <w:shd w:val="clear" w:color="C6EFCE" w:fill="D9D9D9"/>
            <w:vAlign w:val="center"/>
            <w:hideMark/>
          </w:tcPr>
          <w:p w14:paraId="1F410C7E"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Publication bias</w:t>
            </w:r>
            <w:r w:rsidRPr="00EB38AB">
              <w:rPr>
                <w:rFonts w:ascii="Arial" w:eastAsia="Times New Roman" w:hAnsi="Arial" w:cs="Arial"/>
                <w:kern w:val="0"/>
                <w:sz w:val="15"/>
                <w:szCs w:val="15"/>
                <w:lang w:eastAsia="en-GB"/>
                <w14:ligatures w14:val="none"/>
              </w:rPr>
              <w:br/>
              <w:t>undetected (h)</w:t>
            </w:r>
          </w:p>
        </w:tc>
        <w:tc>
          <w:tcPr>
            <w:tcW w:w="4252" w:type="dxa"/>
            <w:tcBorders>
              <w:top w:val="nil"/>
              <w:left w:val="nil"/>
              <w:bottom w:val="single" w:sz="4" w:space="0" w:color="BFBFBF"/>
              <w:right w:val="single" w:sz="4" w:space="0" w:color="BFBFBF"/>
            </w:tcBorders>
            <w:hideMark/>
          </w:tcPr>
          <w:p w14:paraId="1D890A5A" w14:textId="77777777" w:rsidR="00EB38AB" w:rsidRPr="00EB38AB" w:rsidRDefault="00EB38AB" w:rsidP="00EB38AB">
            <w:pPr>
              <w:spacing w:after="0" w:line="240" w:lineRule="auto"/>
              <w:rPr>
                <w:rFonts w:ascii="Arial" w:eastAsia="Times New Roman" w:hAnsi="Arial" w:cs="Arial"/>
                <w:kern w:val="0"/>
                <w:sz w:val="16"/>
                <w:szCs w:val="16"/>
                <w:lang w:eastAsia="en-GB"/>
                <w14:ligatures w14:val="none"/>
              </w:rPr>
            </w:pPr>
            <w:r w:rsidRPr="00EB38AB">
              <w:rPr>
                <w:rFonts w:ascii="Arial" w:eastAsia="Times New Roman" w:hAnsi="Arial" w:cs="Arial"/>
                <w:kern w:val="0"/>
                <w:sz w:val="16"/>
                <w:szCs w:val="16"/>
                <w:lang w:eastAsia="en-GB"/>
                <w14:ligatures w14:val="none"/>
              </w:rPr>
              <w:t>AR-speed-overlay-trained participants retained kinematic-velocity gains at 2-week post-training assessment (Judkins 2008). No other included study reported a retention test, leaving the durability of training gains across modalities essentially unknown.</w:t>
            </w:r>
          </w:p>
        </w:tc>
        <w:tc>
          <w:tcPr>
            <w:tcW w:w="1418" w:type="dxa"/>
            <w:gridSpan w:val="2"/>
            <w:tcBorders>
              <w:top w:val="nil"/>
              <w:left w:val="nil"/>
              <w:bottom w:val="single" w:sz="4" w:space="0" w:color="BFBFBF"/>
              <w:right w:val="single" w:sz="4" w:space="0" w:color="BFBFBF"/>
            </w:tcBorders>
            <w:shd w:val="clear" w:color="FF6600" w:fill="FF6B6B"/>
            <w:vAlign w:val="center"/>
            <w:hideMark/>
          </w:tcPr>
          <w:p w14:paraId="2D5EEA99" w14:textId="77777777" w:rsidR="00EB38AB" w:rsidRPr="00EB38AB" w:rsidRDefault="00EB38AB" w:rsidP="00EB38AB">
            <w:pPr>
              <w:spacing w:after="0" w:line="240" w:lineRule="auto"/>
              <w:jc w:val="center"/>
              <w:rPr>
                <w:rFonts w:ascii="Arial" w:eastAsia="Times New Roman" w:hAnsi="Arial" w:cs="Arial"/>
                <w:b/>
                <w:bCs/>
                <w:color w:val="FFFFFF"/>
                <w:kern w:val="0"/>
                <w:sz w:val="15"/>
                <w:szCs w:val="15"/>
                <w:lang w:eastAsia="en-GB"/>
                <w14:ligatures w14:val="none"/>
              </w:rPr>
            </w:pPr>
            <w:r w:rsidRPr="00EB38AB">
              <w:rPr>
                <w:rFonts w:ascii="Cambria Math" w:eastAsia="Times New Roman" w:hAnsi="Cambria Math" w:cs="Cambria Math"/>
                <w:b/>
                <w:bCs/>
                <w:color w:val="FFFFFF"/>
                <w:kern w:val="0"/>
                <w:sz w:val="15"/>
                <w:szCs w:val="15"/>
                <w:lang w:eastAsia="en-GB"/>
                <w14:ligatures w14:val="none"/>
              </w:rPr>
              <w:t>⊕</w:t>
            </w:r>
            <w:r w:rsidRPr="00EB38AB">
              <w:rPr>
                <w:rFonts w:ascii="Arial" w:eastAsia="Times New Roman" w:hAnsi="Arial" w:cs="Arial"/>
                <w:b/>
                <w:bCs/>
                <w:color w:val="FFFFFF"/>
                <w:kern w:val="0"/>
                <w:sz w:val="15"/>
                <w:szCs w:val="15"/>
                <w:lang w:eastAsia="en-GB"/>
                <w14:ligatures w14:val="none"/>
              </w:rPr>
              <w:t>○○○  Very low</w:t>
            </w:r>
          </w:p>
        </w:tc>
      </w:tr>
      <w:tr w:rsidR="00EB38AB" w:rsidRPr="00EB38AB" w14:paraId="1764C524" w14:textId="77777777" w:rsidTr="003528C9">
        <w:trPr>
          <w:gridAfter w:val="1"/>
          <w:wAfter w:w="54" w:type="dxa"/>
          <w:trHeight w:val="2595"/>
        </w:trPr>
        <w:tc>
          <w:tcPr>
            <w:tcW w:w="1560" w:type="dxa"/>
            <w:tcBorders>
              <w:top w:val="nil"/>
              <w:left w:val="single" w:sz="4" w:space="0" w:color="BFBFBF"/>
              <w:bottom w:val="single" w:sz="4" w:space="0" w:color="BFBFBF"/>
              <w:right w:val="single" w:sz="4" w:space="0" w:color="BFBFBF"/>
            </w:tcBorders>
            <w:hideMark/>
          </w:tcPr>
          <w:p w14:paraId="0EF0E5C8" w14:textId="77777777" w:rsidR="00EB38AB" w:rsidRPr="00EB38AB" w:rsidRDefault="00EB38AB" w:rsidP="00EB38AB">
            <w:pPr>
              <w:spacing w:after="0" w:line="240" w:lineRule="auto"/>
              <w:rPr>
                <w:rFonts w:ascii="Arial" w:eastAsia="Times New Roman" w:hAnsi="Arial" w:cs="Arial"/>
                <w:b/>
                <w:bCs/>
                <w:kern w:val="0"/>
                <w:sz w:val="15"/>
                <w:szCs w:val="15"/>
                <w:lang w:eastAsia="en-GB"/>
                <w14:ligatures w14:val="none"/>
              </w:rPr>
            </w:pPr>
            <w:r w:rsidRPr="00EB38AB">
              <w:rPr>
                <w:rFonts w:ascii="Arial" w:eastAsia="Times New Roman" w:hAnsi="Arial" w:cs="Arial"/>
                <w:b/>
                <w:bCs/>
                <w:kern w:val="0"/>
                <w:sz w:val="15"/>
                <w:szCs w:val="15"/>
                <w:lang w:eastAsia="en-GB"/>
                <w14:ligatures w14:val="none"/>
              </w:rPr>
              <w:t>User acceptability / cognitive workload (Likert, NASA-TLX)</w:t>
            </w:r>
          </w:p>
        </w:tc>
        <w:tc>
          <w:tcPr>
            <w:tcW w:w="1417" w:type="dxa"/>
            <w:tcBorders>
              <w:top w:val="nil"/>
              <w:left w:val="nil"/>
              <w:bottom w:val="single" w:sz="4" w:space="0" w:color="BFBFBF"/>
              <w:right w:val="single" w:sz="4" w:space="0" w:color="BFBFBF"/>
            </w:tcBorders>
            <w:hideMark/>
          </w:tcPr>
          <w:p w14:paraId="4AABD890" w14:textId="77777777" w:rsidR="00EB38AB" w:rsidRPr="00EB38AB" w:rsidRDefault="00EB38AB" w:rsidP="00EB38AB">
            <w:pPr>
              <w:spacing w:after="0" w:line="240" w:lineRule="auto"/>
              <w:rPr>
                <w:rFonts w:ascii="Arial" w:eastAsia="Times New Roman" w:hAnsi="Arial" w:cs="Arial"/>
                <w:kern w:val="0"/>
                <w:sz w:val="13"/>
                <w:szCs w:val="13"/>
                <w:lang w:eastAsia="en-GB"/>
                <w14:ligatures w14:val="none"/>
              </w:rPr>
            </w:pPr>
            <w:r w:rsidRPr="00EB38AB">
              <w:rPr>
                <w:rFonts w:ascii="Arial" w:eastAsia="Times New Roman" w:hAnsi="Arial" w:cs="Arial"/>
                <w:kern w:val="0"/>
                <w:sz w:val="13"/>
                <w:szCs w:val="13"/>
                <w:lang w:eastAsia="en-GB"/>
                <w14:ligatures w14:val="none"/>
              </w:rPr>
              <w:t>n = 22 (2 prospective cohorts; non-comparative)</w:t>
            </w:r>
            <w:r w:rsidRPr="00EB38AB">
              <w:rPr>
                <w:rFonts w:ascii="Arial" w:eastAsia="Times New Roman" w:hAnsi="Arial" w:cs="Arial"/>
                <w:kern w:val="0"/>
                <w:sz w:val="13"/>
                <w:szCs w:val="13"/>
                <w:lang w:eastAsia="en-GB"/>
                <w14:ligatures w14:val="none"/>
              </w:rPr>
              <w:br/>
              <w:t>Casas-</w:t>
            </w:r>
            <w:proofErr w:type="spellStart"/>
            <w:r w:rsidRPr="00EB38AB">
              <w:rPr>
                <w:rFonts w:ascii="Arial" w:eastAsia="Times New Roman" w:hAnsi="Arial" w:cs="Arial"/>
                <w:kern w:val="0"/>
                <w:sz w:val="13"/>
                <w:szCs w:val="13"/>
                <w:lang w:eastAsia="en-GB"/>
                <w14:ligatures w14:val="none"/>
              </w:rPr>
              <w:t>Yrurzum</w:t>
            </w:r>
            <w:proofErr w:type="spellEnd"/>
            <w:r w:rsidRPr="00EB38AB">
              <w:rPr>
                <w:rFonts w:ascii="Arial" w:eastAsia="Times New Roman" w:hAnsi="Arial" w:cs="Arial"/>
                <w:kern w:val="0"/>
                <w:sz w:val="13"/>
                <w:szCs w:val="13"/>
                <w:lang w:eastAsia="en-GB"/>
                <w14:ligatures w14:val="none"/>
              </w:rPr>
              <w:t xml:space="preserve"> 2023; Wu 2021</w:t>
            </w:r>
          </w:p>
        </w:tc>
        <w:tc>
          <w:tcPr>
            <w:tcW w:w="1134" w:type="dxa"/>
            <w:tcBorders>
              <w:top w:val="nil"/>
              <w:left w:val="nil"/>
              <w:bottom w:val="single" w:sz="4" w:space="0" w:color="BFBFBF"/>
              <w:right w:val="single" w:sz="4" w:space="0" w:color="BFBFBF"/>
            </w:tcBorders>
            <w:shd w:val="clear" w:color="F2F2F2" w:fill="FFEB9C"/>
            <w:vAlign w:val="center"/>
            <w:hideMark/>
          </w:tcPr>
          <w:p w14:paraId="3D9FDAEA"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Serious (f)</w:t>
            </w:r>
          </w:p>
        </w:tc>
        <w:tc>
          <w:tcPr>
            <w:tcW w:w="1418" w:type="dxa"/>
            <w:tcBorders>
              <w:top w:val="nil"/>
              <w:left w:val="nil"/>
              <w:bottom w:val="single" w:sz="4" w:space="0" w:color="BFBFBF"/>
              <w:right w:val="single" w:sz="4" w:space="0" w:color="BFBFBF"/>
            </w:tcBorders>
            <w:shd w:val="clear" w:color="C6EFCE" w:fill="D9D9D9"/>
            <w:vAlign w:val="center"/>
            <w:hideMark/>
          </w:tcPr>
          <w:p w14:paraId="389E0B3D"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Cannot assess (f)</w:t>
            </w:r>
          </w:p>
        </w:tc>
        <w:tc>
          <w:tcPr>
            <w:tcW w:w="1275" w:type="dxa"/>
            <w:tcBorders>
              <w:top w:val="nil"/>
              <w:left w:val="nil"/>
              <w:bottom w:val="single" w:sz="4" w:space="0" w:color="BFBFBF"/>
              <w:right w:val="single" w:sz="4" w:space="0" w:color="BFBFBF"/>
            </w:tcBorders>
            <w:shd w:val="clear" w:color="F2F2F2" w:fill="FFEB9C"/>
            <w:vAlign w:val="center"/>
            <w:hideMark/>
          </w:tcPr>
          <w:p w14:paraId="222200E6"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Serious (a)</w:t>
            </w:r>
          </w:p>
        </w:tc>
        <w:tc>
          <w:tcPr>
            <w:tcW w:w="1134" w:type="dxa"/>
            <w:tcBorders>
              <w:top w:val="nil"/>
              <w:left w:val="nil"/>
              <w:bottom w:val="single" w:sz="4" w:space="0" w:color="BFBFBF"/>
              <w:right w:val="single" w:sz="4" w:space="0" w:color="BFBFBF"/>
            </w:tcBorders>
            <w:shd w:val="clear" w:color="F2F2F2" w:fill="FFEB9C"/>
            <w:vAlign w:val="center"/>
            <w:hideMark/>
          </w:tcPr>
          <w:p w14:paraId="0D8933F3"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Serious (c)</w:t>
            </w:r>
          </w:p>
        </w:tc>
        <w:tc>
          <w:tcPr>
            <w:tcW w:w="1418" w:type="dxa"/>
            <w:tcBorders>
              <w:top w:val="nil"/>
              <w:left w:val="nil"/>
              <w:bottom w:val="single" w:sz="4" w:space="0" w:color="BFBFBF"/>
              <w:right w:val="single" w:sz="4" w:space="0" w:color="BFBFBF"/>
            </w:tcBorders>
            <w:shd w:val="clear" w:color="C6EFCE" w:fill="D9D9D9"/>
            <w:vAlign w:val="center"/>
            <w:hideMark/>
          </w:tcPr>
          <w:p w14:paraId="639AB430"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Publication bias</w:t>
            </w:r>
            <w:r w:rsidRPr="00EB38AB">
              <w:rPr>
                <w:rFonts w:ascii="Arial" w:eastAsia="Times New Roman" w:hAnsi="Arial" w:cs="Arial"/>
                <w:kern w:val="0"/>
                <w:sz w:val="15"/>
                <w:szCs w:val="15"/>
                <w:lang w:eastAsia="en-GB"/>
                <w14:ligatures w14:val="none"/>
              </w:rPr>
              <w:br/>
              <w:t>undetected (h)</w:t>
            </w:r>
          </w:p>
        </w:tc>
        <w:tc>
          <w:tcPr>
            <w:tcW w:w="4252" w:type="dxa"/>
            <w:tcBorders>
              <w:top w:val="nil"/>
              <w:left w:val="nil"/>
              <w:bottom w:val="single" w:sz="4" w:space="0" w:color="BFBFBF"/>
              <w:right w:val="single" w:sz="4" w:space="0" w:color="BFBFBF"/>
            </w:tcBorders>
            <w:hideMark/>
          </w:tcPr>
          <w:p w14:paraId="40FF7725" w14:textId="24039E55" w:rsidR="00EB38AB" w:rsidRPr="00EB38AB" w:rsidRDefault="00DB0DC5" w:rsidP="00EB38AB">
            <w:pPr>
              <w:spacing w:after="0" w:line="240" w:lineRule="auto"/>
              <w:rPr>
                <w:rFonts w:ascii="Arial" w:eastAsia="Times New Roman" w:hAnsi="Arial" w:cs="Arial"/>
                <w:kern w:val="0"/>
                <w:sz w:val="16"/>
                <w:szCs w:val="16"/>
                <w:lang w:eastAsia="en-GB"/>
                <w14:ligatures w14:val="none"/>
              </w:rPr>
            </w:pPr>
            <w:r>
              <w:rPr>
                <w:rFonts w:ascii="Arial" w:eastAsia="Times New Roman" w:hAnsi="Arial" w:cs="Arial"/>
                <w:kern w:val="0"/>
                <w:sz w:val="16"/>
                <w:szCs w:val="16"/>
                <w:lang w:eastAsia="en-GB"/>
                <w14:ligatures w14:val="none"/>
              </w:rPr>
              <w:t>U</w:t>
            </w:r>
            <w:r w:rsidR="00EB38AB" w:rsidRPr="00EB38AB">
              <w:rPr>
                <w:rFonts w:ascii="Arial" w:eastAsia="Times New Roman" w:hAnsi="Arial" w:cs="Arial"/>
                <w:kern w:val="0"/>
                <w:sz w:val="16"/>
                <w:szCs w:val="16"/>
                <w:lang w:eastAsia="en-GB"/>
                <w14:ligatures w14:val="none"/>
              </w:rPr>
              <w:t>sability evaluations indicate favourable user-acceptability ratings (Casas-</w:t>
            </w:r>
            <w:proofErr w:type="spellStart"/>
            <w:r w:rsidR="00EB38AB" w:rsidRPr="00EB38AB">
              <w:rPr>
                <w:rFonts w:ascii="Arial" w:eastAsia="Times New Roman" w:hAnsi="Arial" w:cs="Arial"/>
                <w:kern w:val="0"/>
                <w:sz w:val="16"/>
                <w:szCs w:val="16"/>
                <w:lang w:eastAsia="en-GB"/>
                <w14:ligatures w14:val="none"/>
              </w:rPr>
              <w:t>Yrurzum</w:t>
            </w:r>
            <w:proofErr w:type="spellEnd"/>
            <w:r w:rsidR="00EB38AB" w:rsidRPr="00EB38AB">
              <w:rPr>
                <w:rFonts w:ascii="Arial" w:eastAsia="Times New Roman" w:hAnsi="Arial" w:cs="Arial"/>
                <w:kern w:val="0"/>
                <w:sz w:val="16"/>
                <w:szCs w:val="16"/>
                <w:lang w:eastAsia="en-GB"/>
                <w14:ligatures w14:val="none"/>
              </w:rPr>
              <w:t xml:space="preserve"> 2023: median Likert 6–7 of 7 across all domains, p&lt;0.001 vs neutral). EEG/eye-tracking-derived cognitive-load metrics predicted task performance with 72.5% accuracy (Wu 2021). No comparative intervention data.</w:t>
            </w:r>
          </w:p>
        </w:tc>
        <w:tc>
          <w:tcPr>
            <w:tcW w:w="1418" w:type="dxa"/>
            <w:gridSpan w:val="2"/>
            <w:tcBorders>
              <w:top w:val="nil"/>
              <w:left w:val="nil"/>
              <w:bottom w:val="single" w:sz="4" w:space="0" w:color="BFBFBF"/>
              <w:right w:val="single" w:sz="4" w:space="0" w:color="BFBFBF"/>
            </w:tcBorders>
            <w:shd w:val="clear" w:color="FF6600" w:fill="FF6B6B"/>
            <w:vAlign w:val="center"/>
            <w:hideMark/>
          </w:tcPr>
          <w:p w14:paraId="238A9AE3" w14:textId="77777777" w:rsidR="00EB38AB" w:rsidRPr="00EB38AB" w:rsidRDefault="00EB38AB" w:rsidP="00EB38AB">
            <w:pPr>
              <w:spacing w:after="0" w:line="240" w:lineRule="auto"/>
              <w:jc w:val="center"/>
              <w:rPr>
                <w:rFonts w:ascii="Arial" w:eastAsia="Times New Roman" w:hAnsi="Arial" w:cs="Arial"/>
                <w:b/>
                <w:bCs/>
                <w:color w:val="FFFFFF"/>
                <w:kern w:val="0"/>
                <w:sz w:val="15"/>
                <w:szCs w:val="15"/>
                <w:lang w:eastAsia="en-GB"/>
                <w14:ligatures w14:val="none"/>
              </w:rPr>
            </w:pPr>
            <w:r w:rsidRPr="00EB38AB">
              <w:rPr>
                <w:rFonts w:ascii="Cambria Math" w:eastAsia="Times New Roman" w:hAnsi="Cambria Math" w:cs="Cambria Math"/>
                <w:b/>
                <w:bCs/>
                <w:color w:val="FFFFFF"/>
                <w:kern w:val="0"/>
                <w:sz w:val="15"/>
                <w:szCs w:val="15"/>
                <w:lang w:eastAsia="en-GB"/>
                <w14:ligatures w14:val="none"/>
              </w:rPr>
              <w:t>⊕</w:t>
            </w:r>
            <w:r w:rsidRPr="00EB38AB">
              <w:rPr>
                <w:rFonts w:ascii="Arial" w:eastAsia="Times New Roman" w:hAnsi="Arial" w:cs="Arial"/>
                <w:b/>
                <w:bCs/>
                <w:color w:val="FFFFFF"/>
                <w:kern w:val="0"/>
                <w:sz w:val="15"/>
                <w:szCs w:val="15"/>
                <w:lang w:eastAsia="en-GB"/>
                <w14:ligatures w14:val="none"/>
              </w:rPr>
              <w:t>○○○  Very low</w:t>
            </w:r>
          </w:p>
        </w:tc>
      </w:tr>
      <w:tr w:rsidR="00EB38AB" w:rsidRPr="00EB38AB" w14:paraId="4CC4CE48" w14:textId="77777777" w:rsidTr="003528C9">
        <w:trPr>
          <w:gridAfter w:val="1"/>
          <w:wAfter w:w="54" w:type="dxa"/>
          <w:trHeight w:val="2595"/>
        </w:trPr>
        <w:tc>
          <w:tcPr>
            <w:tcW w:w="1560" w:type="dxa"/>
            <w:tcBorders>
              <w:top w:val="nil"/>
              <w:left w:val="single" w:sz="4" w:space="0" w:color="BFBFBF"/>
              <w:bottom w:val="single" w:sz="4" w:space="0" w:color="BFBFBF"/>
              <w:right w:val="single" w:sz="4" w:space="0" w:color="BFBFBF"/>
            </w:tcBorders>
            <w:hideMark/>
          </w:tcPr>
          <w:p w14:paraId="0FEBC548" w14:textId="77777777" w:rsidR="00EB38AB" w:rsidRPr="00EB38AB" w:rsidRDefault="00EB38AB" w:rsidP="00EB38AB">
            <w:pPr>
              <w:spacing w:after="0" w:line="240" w:lineRule="auto"/>
              <w:rPr>
                <w:rFonts w:ascii="Arial" w:eastAsia="Times New Roman" w:hAnsi="Arial" w:cs="Arial"/>
                <w:b/>
                <w:bCs/>
                <w:kern w:val="0"/>
                <w:sz w:val="15"/>
                <w:szCs w:val="15"/>
                <w:lang w:eastAsia="en-GB"/>
                <w14:ligatures w14:val="none"/>
              </w:rPr>
            </w:pPr>
            <w:r w:rsidRPr="00EB38AB">
              <w:rPr>
                <w:rFonts w:ascii="Arial" w:eastAsia="Times New Roman" w:hAnsi="Arial" w:cs="Arial"/>
                <w:b/>
                <w:bCs/>
                <w:kern w:val="0"/>
                <w:sz w:val="15"/>
                <w:szCs w:val="15"/>
                <w:lang w:eastAsia="en-GB"/>
                <w14:ligatures w14:val="none"/>
              </w:rPr>
              <w:t>Operative-skill transfer or patient-level outcomes</w:t>
            </w:r>
          </w:p>
        </w:tc>
        <w:tc>
          <w:tcPr>
            <w:tcW w:w="1417" w:type="dxa"/>
            <w:tcBorders>
              <w:top w:val="nil"/>
              <w:left w:val="nil"/>
              <w:bottom w:val="single" w:sz="4" w:space="0" w:color="BFBFBF"/>
              <w:right w:val="single" w:sz="4" w:space="0" w:color="BFBFBF"/>
            </w:tcBorders>
            <w:hideMark/>
          </w:tcPr>
          <w:p w14:paraId="62FC0E68" w14:textId="77777777" w:rsidR="00EB38AB" w:rsidRPr="00EB38AB" w:rsidRDefault="00EB38AB" w:rsidP="00EB38AB">
            <w:pPr>
              <w:spacing w:after="0" w:line="240" w:lineRule="auto"/>
              <w:rPr>
                <w:rFonts w:ascii="Arial" w:eastAsia="Times New Roman" w:hAnsi="Arial" w:cs="Arial"/>
                <w:kern w:val="0"/>
                <w:sz w:val="13"/>
                <w:szCs w:val="13"/>
                <w:lang w:eastAsia="en-GB"/>
                <w14:ligatures w14:val="none"/>
              </w:rPr>
            </w:pPr>
            <w:r w:rsidRPr="00EB38AB">
              <w:rPr>
                <w:rFonts w:ascii="Arial" w:eastAsia="Times New Roman" w:hAnsi="Arial" w:cs="Arial"/>
                <w:kern w:val="0"/>
                <w:sz w:val="13"/>
                <w:szCs w:val="13"/>
                <w:lang w:eastAsia="en-GB"/>
                <w14:ligatures w14:val="none"/>
              </w:rPr>
              <w:t>No studies</w:t>
            </w:r>
          </w:p>
        </w:tc>
        <w:tc>
          <w:tcPr>
            <w:tcW w:w="1134" w:type="dxa"/>
            <w:tcBorders>
              <w:top w:val="nil"/>
              <w:left w:val="nil"/>
              <w:bottom w:val="single" w:sz="4" w:space="0" w:color="BFBFBF"/>
              <w:right w:val="single" w:sz="4" w:space="0" w:color="BFBFBF"/>
            </w:tcBorders>
            <w:shd w:val="clear" w:color="FFFFFF" w:fill="F2F2F2"/>
            <w:vAlign w:val="center"/>
            <w:hideMark/>
          </w:tcPr>
          <w:p w14:paraId="7AC18EE8"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w:t>
            </w:r>
          </w:p>
        </w:tc>
        <w:tc>
          <w:tcPr>
            <w:tcW w:w="1418" w:type="dxa"/>
            <w:tcBorders>
              <w:top w:val="nil"/>
              <w:left w:val="nil"/>
              <w:bottom w:val="single" w:sz="4" w:space="0" w:color="BFBFBF"/>
              <w:right w:val="single" w:sz="4" w:space="0" w:color="BFBFBF"/>
            </w:tcBorders>
            <w:shd w:val="clear" w:color="FFFFFF" w:fill="F2F2F2"/>
            <w:vAlign w:val="center"/>
            <w:hideMark/>
          </w:tcPr>
          <w:p w14:paraId="6E946665"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w:t>
            </w:r>
          </w:p>
        </w:tc>
        <w:tc>
          <w:tcPr>
            <w:tcW w:w="1275" w:type="dxa"/>
            <w:tcBorders>
              <w:top w:val="nil"/>
              <w:left w:val="nil"/>
              <w:bottom w:val="single" w:sz="4" w:space="0" w:color="BFBFBF"/>
              <w:right w:val="single" w:sz="4" w:space="0" w:color="BFBFBF"/>
            </w:tcBorders>
            <w:shd w:val="clear" w:color="FFFFFF" w:fill="F2F2F2"/>
            <w:vAlign w:val="center"/>
            <w:hideMark/>
          </w:tcPr>
          <w:p w14:paraId="4E292428"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w:t>
            </w:r>
          </w:p>
        </w:tc>
        <w:tc>
          <w:tcPr>
            <w:tcW w:w="1134" w:type="dxa"/>
            <w:tcBorders>
              <w:top w:val="nil"/>
              <w:left w:val="nil"/>
              <w:bottom w:val="single" w:sz="4" w:space="0" w:color="BFBFBF"/>
              <w:right w:val="single" w:sz="4" w:space="0" w:color="BFBFBF"/>
            </w:tcBorders>
            <w:shd w:val="clear" w:color="FFFFFF" w:fill="F2F2F2"/>
            <w:vAlign w:val="center"/>
            <w:hideMark/>
          </w:tcPr>
          <w:p w14:paraId="1B5CE8ED"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w:t>
            </w:r>
          </w:p>
        </w:tc>
        <w:tc>
          <w:tcPr>
            <w:tcW w:w="1418" w:type="dxa"/>
            <w:tcBorders>
              <w:top w:val="nil"/>
              <w:left w:val="nil"/>
              <w:bottom w:val="single" w:sz="4" w:space="0" w:color="BFBFBF"/>
              <w:right w:val="single" w:sz="4" w:space="0" w:color="BFBFBF"/>
            </w:tcBorders>
            <w:shd w:val="clear" w:color="FFFFFF" w:fill="F2F2F2"/>
            <w:vAlign w:val="center"/>
            <w:hideMark/>
          </w:tcPr>
          <w:p w14:paraId="56609022" w14:textId="77777777" w:rsidR="00EB38AB" w:rsidRPr="00EB38AB" w:rsidRDefault="00EB38AB" w:rsidP="00EB38AB">
            <w:pPr>
              <w:spacing w:after="0" w:line="240" w:lineRule="auto"/>
              <w:jc w:val="center"/>
              <w:rPr>
                <w:rFonts w:ascii="Arial" w:eastAsia="Times New Roman" w:hAnsi="Arial" w:cs="Arial"/>
                <w:kern w:val="0"/>
                <w:sz w:val="15"/>
                <w:szCs w:val="15"/>
                <w:lang w:eastAsia="en-GB"/>
                <w14:ligatures w14:val="none"/>
              </w:rPr>
            </w:pPr>
            <w:r w:rsidRPr="00EB38AB">
              <w:rPr>
                <w:rFonts w:ascii="Arial" w:eastAsia="Times New Roman" w:hAnsi="Arial" w:cs="Arial"/>
                <w:kern w:val="0"/>
                <w:sz w:val="15"/>
                <w:szCs w:val="15"/>
                <w:lang w:eastAsia="en-GB"/>
                <w14:ligatures w14:val="none"/>
              </w:rPr>
              <w:t>—</w:t>
            </w:r>
          </w:p>
        </w:tc>
        <w:tc>
          <w:tcPr>
            <w:tcW w:w="4252" w:type="dxa"/>
            <w:tcBorders>
              <w:top w:val="nil"/>
              <w:left w:val="nil"/>
              <w:bottom w:val="single" w:sz="4" w:space="0" w:color="BFBFBF"/>
              <w:right w:val="single" w:sz="4" w:space="0" w:color="BFBFBF"/>
            </w:tcBorders>
            <w:hideMark/>
          </w:tcPr>
          <w:p w14:paraId="51863F7E" w14:textId="77777777" w:rsidR="00EB38AB" w:rsidRPr="00EB38AB" w:rsidRDefault="00EB38AB" w:rsidP="00EB38AB">
            <w:pPr>
              <w:spacing w:after="0" w:line="240" w:lineRule="auto"/>
              <w:rPr>
                <w:rFonts w:ascii="Arial" w:eastAsia="Times New Roman" w:hAnsi="Arial" w:cs="Arial"/>
                <w:kern w:val="0"/>
                <w:sz w:val="16"/>
                <w:szCs w:val="16"/>
                <w:lang w:eastAsia="en-GB"/>
                <w14:ligatures w14:val="none"/>
              </w:rPr>
            </w:pPr>
            <w:r w:rsidRPr="00EB38AB">
              <w:rPr>
                <w:rFonts w:ascii="Arial" w:eastAsia="Times New Roman" w:hAnsi="Arial" w:cs="Arial"/>
                <w:kern w:val="0"/>
                <w:sz w:val="16"/>
                <w:szCs w:val="16"/>
                <w:lang w:eastAsia="en-GB"/>
                <w14:ligatures w14:val="none"/>
              </w:rPr>
              <w:t>No included study reported operative-performance transfer or patient-level outcomes. The effect of technology-enhanced basic-robotic-skills training on downstream clinical performance is therefore unknown from this evidence base.</w:t>
            </w:r>
          </w:p>
        </w:tc>
        <w:tc>
          <w:tcPr>
            <w:tcW w:w="1418" w:type="dxa"/>
            <w:gridSpan w:val="2"/>
            <w:tcBorders>
              <w:top w:val="nil"/>
              <w:left w:val="nil"/>
              <w:bottom w:val="single" w:sz="4" w:space="0" w:color="BFBFBF"/>
              <w:right w:val="single" w:sz="4" w:space="0" w:color="BFBFBF"/>
            </w:tcBorders>
            <w:shd w:val="clear" w:color="C6EFCE" w:fill="D9D9D9"/>
            <w:vAlign w:val="center"/>
            <w:hideMark/>
          </w:tcPr>
          <w:p w14:paraId="263EA821" w14:textId="77777777" w:rsidR="00EB38AB" w:rsidRPr="00EB38AB" w:rsidRDefault="00EB38AB" w:rsidP="00EB38AB">
            <w:pPr>
              <w:spacing w:after="0" w:line="240" w:lineRule="auto"/>
              <w:jc w:val="center"/>
              <w:rPr>
                <w:rFonts w:ascii="Arial" w:eastAsia="Times New Roman" w:hAnsi="Arial" w:cs="Arial"/>
                <w:b/>
                <w:bCs/>
                <w:kern w:val="0"/>
                <w:sz w:val="15"/>
                <w:szCs w:val="15"/>
                <w:lang w:eastAsia="en-GB"/>
                <w14:ligatures w14:val="none"/>
              </w:rPr>
            </w:pPr>
            <w:r w:rsidRPr="00EB38AB">
              <w:rPr>
                <w:rFonts w:ascii="Arial" w:eastAsia="Times New Roman" w:hAnsi="Arial" w:cs="Arial"/>
                <w:b/>
                <w:bCs/>
                <w:kern w:val="0"/>
                <w:sz w:val="15"/>
                <w:szCs w:val="15"/>
                <w:lang w:eastAsia="en-GB"/>
                <w14:ligatures w14:val="none"/>
              </w:rPr>
              <w:t>No evidence available</w:t>
            </w:r>
          </w:p>
        </w:tc>
      </w:tr>
      <w:tr w:rsidR="00E3500D" w:rsidRPr="00EB38AB" w14:paraId="3B93C66B" w14:textId="77777777" w:rsidTr="00E3500D">
        <w:trPr>
          <w:trHeight w:val="360"/>
        </w:trPr>
        <w:tc>
          <w:tcPr>
            <w:tcW w:w="15080" w:type="dxa"/>
            <w:gridSpan w:val="11"/>
            <w:tcBorders>
              <w:top w:val="nil"/>
              <w:left w:val="nil"/>
              <w:bottom w:val="nil"/>
              <w:right w:val="nil"/>
            </w:tcBorders>
            <w:shd w:val="clear" w:color="0066CC" w:fill="2E75B6"/>
            <w:noWrap/>
            <w:vAlign w:val="center"/>
            <w:hideMark/>
          </w:tcPr>
          <w:p w14:paraId="352A8742" w14:textId="77777777" w:rsidR="00EB38AB" w:rsidRPr="00EB38AB" w:rsidRDefault="00EB38AB" w:rsidP="00EB38AB">
            <w:pPr>
              <w:spacing w:after="0" w:line="240" w:lineRule="auto"/>
              <w:rPr>
                <w:rFonts w:ascii="Arial" w:eastAsia="Times New Roman" w:hAnsi="Arial" w:cs="Arial"/>
                <w:b/>
                <w:bCs/>
                <w:color w:val="FFFFFF"/>
                <w:kern w:val="0"/>
                <w:sz w:val="16"/>
                <w:szCs w:val="16"/>
                <w:lang w:eastAsia="en-GB"/>
                <w14:ligatures w14:val="none"/>
              </w:rPr>
            </w:pPr>
            <w:r w:rsidRPr="00EB38AB">
              <w:rPr>
                <w:rFonts w:ascii="Arial" w:eastAsia="Times New Roman" w:hAnsi="Arial" w:cs="Arial"/>
                <w:b/>
                <w:bCs/>
                <w:color w:val="FFFFFF"/>
                <w:kern w:val="0"/>
                <w:sz w:val="16"/>
                <w:szCs w:val="16"/>
                <w:lang w:eastAsia="en-GB"/>
                <w14:ligatures w14:val="none"/>
              </w:rPr>
              <w:t>Explanations / footnotes</w:t>
            </w:r>
          </w:p>
        </w:tc>
      </w:tr>
      <w:tr w:rsidR="00E3500D" w:rsidRPr="0054789E" w14:paraId="58414978" w14:textId="77777777" w:rsidTr="00E3500D">
        <w:trPr>
          <w:trHeight w:val="555"/>
        </w:trPr>
        <w:tc>
          <w:tcPr>
            <w:tcW w:w="15080" w:type="dxa"/>
            <w:gridSpan w:val="11"/>
            <w:tcBorders>
              <w:top w:val="nil"/>
              <w:left w:val="nil"/>
              <w:bottom w:val="nil"/>
              <w:right w:val="nil"/>
            </w:tcBorders>
            <w:hideMark/>
          </w:tcPr>
          <w:p w14:paraId="2F2FCFBD" w14:textId="1536AF42" w:rsidR="00EB38AB" w:rsidRPr="00EB38AB" w:rsidRDefault="00EB38AB" w:rsidP="00EB38AB">
            <w:pPr>
              <w:spacing w:after="0" w:line="240" w:lineRule="auto"/>
              <w:rPr>
                <w:rFonts w:ascii="Arial" w:eastAsia="Times New Roman" w:hAnsi="Arial" w:cs="Arial"/>
                <w:i/>
                <w:iCs/>
                <w:kern w:val="0"/>
                <w:sz w:val="15"/>
                <w:szCs w:val="15"/>
                <w:lang w:eastAsia="en-GB"/>
                <w14:ligatures w14:val="none"/>
              </w:rPr>
            </w:pPr>
            <w:r w:rsidRPr="00EB38AB">
              <w:rPr>
                <w:rFonts w:ascii="Arial" w:eastAsia="Times New Roman" w:hAnsi="Arial" w:cs="Arial"/>
                <w:i/>
                <w:iCs/>
                <w:kern w:val="0"/>
                <w:sz w:val="15"/>
                <w:szCs w:val="15"/>
                <w:lang w:eastAsia="en-GB"/>
                <w14:ligatures w14:val="none"/>
              </w:rPr>
              <w:t xml:space="preserve">  (a)   Most included studies enrolled medical students; downgraded for </w:t>
            </w:r>
            <w:r w:rsidR="0054789E">
              <w:rPr>
                <w:rFonts w:ascii="Arial" w:eastAsia="Times New Roman" w:hAnsi="Arial" w:cs="Arial"/>
                <w:i/>
                <w:iCs/>
                <w:kern w:val="0"/>
                <w:sz w:val="15"/>
                <w:szCs w:val="15"/>
                <w:lang w:eastAsia="en-GB"/>
                <w14:ligatures w14:val="none"/>
              </w:rPr>
              <w:t>reduced generalisability</w:t>
            </w:r>
            <w:r w:rsidRPr="00EB38AB">
              <w:rPr>
                <w:rFonts w:ascii="Arial" w:eastAsia="Times New Roman" w:hAnsi="Arial" w:cs="Arial"/>
                <w:i/>
                <w:iCs/>
                <w:kern w:val="0"/>
                <w:sz w:val="15"/>
                <w:szCs w:val="15"/>
                <w:lang w:eastAsia="en-GB"/>
                <w14:ligatures w14:val="none"/>
              </w:rPr>
              <w:t xml:space="preserve"> of population.</w:t>
            </w:r>
          </w:p>
        </w:tc>
      </w:tr>
      <w:tr w:rsidR="00E3500D" w:rsidRPr="0054789E" w14:paraId="004C6C86" w14:textId="77777777" w:rsidTr="00E3500D">
        <w:trPr>
          <w:trHeight w:val="555"/>
        </w:trPr>
        <w:tc>
          <w:tcPr>
            <w:tcW w:w="15080" w:type="dxa"/>
            <w:gridSpan w:val="11"/>
            <w:tcBorders>
              <w:top w:val="nil"/>
              <w:left w:val="nil"/>
              <w:bottom w:val="nil"/>
              <w:right w:val="nil"/>
            </w:tcBorders>
            <w:hideMark/>
          </w:tcPr>
          <w:p w14:paraId="5BAC6931" w14:textId="6DEE43DA" w:rsidR="00EB38AB" w:rsidRPr="00EB38AB" w:rsidRDefault="00EB38AB" w:rsidP="00EB38AB">
            <w:pPr>
              <w:spacing w:after="0" w:line="240" w:lineRule="auto"/>
              <w:rPr>
                <w:rFonts w:ascii="Arial" w:eastAsia="Times New Roman" w:hAnsi="Arial" w:cs="Arial"/>
                <w:i/>
                <w:iCs/>
                <w:kern w:val="0"/>
                <w:sz w:val="15"/>
                <w:szCs w:val="15"/>
                <w:lang w:eastAsia="en-GB"/>
                <w14:ligatures w14:val="none"/>
              </w:rPr>
            </w:pPr>
            <w:r w:rsidRPr="00EB38AB">
              <w:rPr>
                <w:rFonts w:ascii="Arial" w:eastAsia="Times New Roman" w:hAnsi="Arial" w:cs="Arial"/>
                <w:i/>
                <w:iCs/>
                <w:kern w:val="0"/>
                <w:sz w:val="15"/>
                <w:szCs w:val="15"/>
                <w:lang w:eastAsia="en-GB"/>
                <w14:ligatures w14:val="none"/>
              </w:rPr>
              <w:t xml:space="preserve">  (b)   All outcomes were measured on simulators or in controlled task environments; no included study reported operative-skill transfer or patient-level outcomes. Downgraded for indirectness of outcome </w:t>
            </w:r>
          </w:p>
        </w:tc>
      </w:tr>
      <w:tr w:rsidR="00E3500D" w:rsidRPr="0054789E" w14:paraId="0E686FB8" w14:textId="77777777" w:rsidTr="00E3500D">
        <w:trPr>
          <w:trHeight w:val="555"/>
        </w:trPr>
        <w:tc>
          <w:tcPr>
            <w:tcW w:w="15080" w:type="dxa"/>
            <w:gridSpan w:val="11"/>
            <w:tcBorders>
              <w:top w:val="nil"/>
              <w:left w:val="nil"/>
              <w:bottom w:val="nil"/>
              <w:right w:val="nil"/>
            </w:tcBorders>
            <w:hideMark/>
          </w:tcPr>
          <w:p w14:paraId="0EEBFD7D" w14:textId="68ADF578" w:rsidR="00EB38AB" w:rsidRPr="00EB38AB" w:rsidRDefault="00EB38AB" w:rsidP="00EB38AB">
            <w:pPr>
              <w:spacing w:after="0" w:line="240" w:lineRule="auto"/>
              <w:rPr>
                <w:rFonts w:ascii="Arial" w:eastAsia="Times New Roman" w:hAnsi="Arial" w:cs="Arial"/>
                <w:i/>
                <w:iCs/>
                <w:kern w:val="0"/>
                <w:sz w:val="15"/>
                <w:szCs w:val="15"/>
                <w:lang w:eastAsia="en-GB"/>
                <w14:ligatures w14:val="none"/>
              </w:rPr>
            </w:pPr>
            <w:r w:rsidRPr="00EB38AB">
              <w:rPr>
                <w:rFonts w:ascii="Arial" w:eastAsia="Times New Roman" w:hAnsi="Arial" w:cs="Arial"/>
                <w:i/>
                <w:iCs/>
                <w:kern w:val="0"/>
                <w:sz w:val="15"/>
                <w:szCs w:val="15"/>
                <w:lang w:eastAsia="en-GB"/>
                <w14:ligatures w14:val="none"/>
              </w:rPr>
              <w:t xml:space="preserve">  (c)   Sample sizes are uniformly small (median n=20, range 7–87) and 95% confidence intervals are not reported by source studies; precision of effect estimates therefore cannot be characterised. Downgraded for imprecision.</w:t>
            </w:r>
          </w:p>
        </w:tc>
      </w:tr>
      <w:tr w:rsidR="00E3500D" w:rsidRPr="0054789E" w14:paraId="2D9FDD8A" w14:textId="77777777" w:rsidTr="00E3500D">
        <w:trPr>
          <w:trHeight w:val="555"/>
        </w:trPr>
        <w:tc>
          <w:tcPr>
            <w:tcW w:w="15080" w:type="dxa"/>
            <w:gridSpan w:val="11"/>
            <w:tcBorders>
              <w:top w:val="nil"/>
              <w:left w:val="nil"/>
              <w:bottom w:val="nil"/>
              <w:right w:val="nil"/>
            </w:tcBorders>
            <w:hideMark/>
          </w:tcPr>
          <w:p w14:paraId="57929661" w14:textId="77777777" w:rsidR="00EB38AB" w:rsidRPr="00EB38AB" w:rsidRDefault="00EB38AB" w:rsidP="00EB38AB">
            <w:pPr>
              <w:spacing w:after="0" w:line="240" w:lineRule="auto"/>
              <w:rPr>
                <w:rFonts w:ascii="Arial" w:eastAsia="Times New Roman" w:hAnsi="Arial" w:cs="Arial"/>
                <w:i/>
                <w:iCs/>
                <w:kern w:val="0"/>
                <w:sz w:val="15"/>
                <w:szCs w:val="15"/>
                <w:lang w:eastAsia="en-GB"/>
                <w14:ligatures w14:val="none"/>
              </w:rPr>
            </w:pPr>
            <w:r w:rsidRPr="00EB38AB">
              <w:rPr>
                <w:rFonts w:ascii="Arial" w:eastAsia="Times New Roman" w:hAnsi="Arial" w:cs="Arial"/>
                <w:i/>
                <w:iCs/>
                <w:kern w:val="0"/>
                <w:sz w:val="15"/>
                <w:szCs w:val="15"/>
                <w:lang w:eastAsia="en-GB"/>
                <w14:ligatures w14:val="none"/>
              </w:rPr>
              <w:t xml:space="preserve">  (d)   Direction of effect is inconsistent across studies; magnitudes vary substantially. Downgraded for inconsistency.</w:t>
            </w:r>
          </w:p>
        </w:tc>
      </w:tr>
      <w:tr w:rsidR="00E3500D" w:rsidRPr="0054789E" w14:paraId="28F5B636" w14:textId="77777777" w:rsidTr="00E3500D">
        <w:trPr>
          <w:trHeight w:val="555"/>
        </w:trPr>
        <w:tc>
          <w:tcPr>
            <w:tcW w:w="15080" w:type="dxa"/>
            <w:gridSpan w:val="11"/>
            <w:tcBorders>
              <w:top w:val="nil"/>
              <w:left w:val="nil"/>
              <w:bottom w:val="nil"/>
              <w:right w:val="nil"/>
            </w:tcBorders>
            <w:hideMark/>
          </w:tcPr>
          <w:p w14:paraId="6902BC11" w14:textId="77777777" w:rsidR="00EB38AB" w:rsidRPr="00EB38AB" w:rsidRDefault="00EB38AB" w:rsidP="00EB38AB">
            <w:pPr>
              <w:spacing w:after="0" w:line="240" w:lineRule="auto"/>
              <w:rPr>
                <w:rFonts w:ascii="Arial" w:eastAsia="Times New Roman" w:hAnsi="Arial" w:cs="Arial"/>
                <w:i/>
                <w:iCs/>
                <w:kern w:val="0"/>
                <w:sz w:val="15"/>
                <w:szCs w:val="15"/>
                <w:lang w:eastAsia="en-GB"/>
                <w14:ligatures w14:val="none"/>
              </w:rPr>
            </w:pPr>
            <w:r w:rsidRPr="00EB38AB">
              <w:rPr>
                <w:rFonts w:ascii="Arial" w:eastAsia="Times New Roman" w:hAnsi="Arial" w:cs="Arial"/>
                <w:i/>
                <w:iCs/>
                <w:kern w:val="0"/>
                <w:sz w:val="15"/>
                <w:szCs w:val="15"/>
                <w:lang w:eastAsia="en-GB"/>
                <w14:ligatures w14:val="none"/>
              </w:rPr>
              <w:lastRenderedPageBreak/>
              <w:t xml:space="preserve">  (e)   Direction of effect is broadly consistent across studies; magnitude varies but in a manner that does not alter the qualitative conclusion. Not downgraded.</w:t>
            </w:r>
          </w:p>
        </w:tc>
      </w:tr>
      <w:tr w:rsidR="00E3500D" w:rsidRPr="0054789E" w14:paraId="678D6FE4" w14:textId="77777777" w:rsidTr="00E3500D">
        <w:trPr>
          <w:trHeight w:val="555"/>
        </w:trPr>
        <w:tc>
          <w:tcPr>
            <w:tcW w:w="15080" w:type="dxa"/>
            <w:gridSpan w:val="11"/>
            <w:tcBorders>
              <w:top w:val="nil"/>
              <w:left w:val="nil"/>
              <w:bottom w:val="nil"/>
              <w:right w:val="nil"/>
            </w:tcBorders>
            <w:hideMark/>
          </w:tcPr>
          <w:p w14:paraId="755C0DE1" w14:textId="77777777" w:rsidR="00EB38AB" w:rsidRPr="00EB38AB" w:rsidRDefault="00EB38AB" w:rsidP="00EB38AB">
            <w:pPr>
              <w:spacing w:after="0" w:line="240" w:lineRule="auto"/>
              <w:rPr>
                <w:rFonts w:ascii="Arial" w:eastAsia="Times New Roman" w:hAnsi="Arial" w:cs="Arial"/>
                <w:i/>
                <w:iCs/>
                <w:kern w:val="0"/>
                <w:sz w:val="15"/>
                <w:szCs w:val="15"/>
                <w:lang w:eastAsia="en-GB"/>
                <w14:ligatures w14:val="none"/>
              </w:rPr>
            </w:pPr>
            <w:r w:rsidRPr="00EB38AB">
              <w:rPr>
                <w:rFonts w:ascii="Arial" w:eastAsia="Times New Roman" w:hAnsi="Arial" w:cs="Arial"/>
                <w:i/>
                <w:iCs/>
                <w:kern w:val="0"/>
                <w:sz w:val="15"/>
                <w:szCs w:val="15"/>
                <w:lang w:eastAsia="en-GB"/>
                <w14:ligatures w14:val="none"/>
              </w:rPr>
              <w:t xml:space="preserve">  (f)   Only one study (or non-comparative data) contributes to this outcome; consistency cannot be assessed and the result should be regarded as exploratory.</w:t>
            </w:r>
          </w:p>
        </w:tc>
      </w:tr>
      <w:tr w:rsidR="00E3500D" w:rsidRPr="0054789E" w14:paraId="685F037D" w14:textId="77777777" w:rsidTr="00E3500D">
        <w:trPr>
          <w:trHeight w:val="555"/>
        </w:trPr>
        <w:tc>
          <w:tcPr>
            <w:tcW w:w="15080" w:type="dxa"/>
            <w:gridSpan w:val="11"/>
            <w:tcBorders>
              <w:top w:val="nil"/>
              <w:left w:val="nil"/>
              <w:bottom w:val="nil"/>
              <w:right w:val="nil"/>
            </w:tcBorders>
            <w:hideMark/>
          </w:tcPr>
          <w:p w14:paraId="7EE9BF5B" w14:textId="039D3FBF" w:rsidR="00EB38AB" w:rsidRPr="00EB38AB" w:rsidRDefault="00EB38AB" w:rsidP="00EB38AB">
            <w:pPr>
              <w:spacing w:after="0" w:line="240" w:lineRule="auto"/>
              <w:rPr>
                <w:rFonts w:ascii="Arial" w:eastAsia="Times New Roman" w:hAnsi="Arial" w:cs="Arial"/>
                <w:i/>
                <w:iCs/>
                <w:kern w:val="0"/>
                <w:sz w:val="15"/>
                <w:szCs w:val="15"/>
                <w:lang w:eastAsia="en-GB"/>
                <w14:ligatures w14:val="none"/>
              </w:rPr>
            </w:pPr>
            <w:r w:rsidRPr="00EB38AB">
              <w:rPr>
                <w:rFonts w:ascii="Arial" w:eastAsia="Times New Roman" w:hAnsi="Arial" w:cs="Arial"/>
                <w:i/>
                <w:iCs/>
                <w:kern w:val="0"/>
                <w:sz w:val="15"/>
                <w:szCs w:val="15"/>
                <w:lang w:eastAsia="en-GB"/>
                <w14:ligatures w14:val="none"/>
              </w:rPr>
              <w:t xml:space="preserve">  (h)   Publication bias could not be formally assessed given the novelty of the technologies and under-reporting of null findings, the possibility of publication bias cannot be excluded but </w:t>
            </w:r>
            <w:r w:rsidR="00B62A6B">
              <w:rPr>
                <w:rFonts w:ascii="Arial" w:eastAsia="Times New Roman" w:hAnsi="Arial" w:cs="Arial"/>
                <w:i/>
                <w:iCs/>
                <w:kern w:val="0"/>
                <w:sz w:val="15"/>
                <w:szCs w:val="15"/>
                <w:lang w:eastAsia="en-GB"/>
                <w14:ligatures w14:val="none"/>
              </w:rPr>
              <w:t>was</w:t>
            </w:r>
            <w:r w:rsidRPr="00EB38AB">
              <w:rPr>
                <w:rFonts w:ascii="Arial" w:eastAsia="Times New Roman" w:hAnsi="Arial" w:cs="Arial"/>
                <w:i/>
                <w:iCs/>
                <w:kern w:val="0"/>
                <w:sz w:val="15"/>
                <w:szCs w:val="15"/>
                <w:lang w:eastAsia="en-GB"/>
                <w14:ligatures w14:val="none"/>
              </w:rPr>
              <w:t xml:space="preserve"> reported as undetected.</w:t>
            </w:r>
          </w:p>
        </w:tc>
      </w:tr>
      <w:tr w:rsidR="00E3500D" w:rsidRPr="0054789E" w14:paraId="7C9A4C9B" w14:textId="77777777" w:rsidTr="00E3500D">
        <w:trPr>
          <w:trHeight w:val="360"/>
        </w:trPr>
        <w:tc>
          <w:tcPr>
            <w:tcW w:w="15080" w:type="dxa"/>
            <w:gridSpan w:val="11"/>
            <w:tcBorders>
              <w:top w:val="nil"/>
              <w:left w:val="nil"/>
              <w:bottom w:val="nil"/>
              <w:right w:val="nil"/>
            </w:tcBorders>
            <w:shd w:val="clear" w:color="0066CC" w:fill="2E75B6"/>
            <w:noWrap/>
            <w:vAlign w:val="center"/>
            <w:hideMark/>
          </w:tcPr>
          <w:p w14:paraId="2015BA57" w14:textId="77777777" w:rsidR="00EB38AB" w:rsidRPr="00EB38AB" w:rsidRDefault="00EB38AB" w:rsidP="00EB38AB">
            <w:pPr>
              <w:spacing w:after="0" w:line="240" w:lineRule="auto"/>
              <w:rPr>
                <w:rFonts w:ascii="Arial" w:eastAsia="Times New Roman" w:hAnsi="Arial" w:cs="Arial"/>
                <w:b/>
                <w:bCs/>
                <w:color w:val="FFFFFF"/>
                <w:kern w:val="0"/>
                <w:sz w:val="15"/>
                <w:szCs w:val="15"/>
                <w:lang w:eastAsia="en-GB"/>
                <w14:ligatures w14:val="none"/>
              </w:rPr>
            </w:pPr>
            <w:r w:rsidRPr="00EB38AB">
              <w:rPr>
                <w:rFonts w:ascii="Arial" w:eastAsia="Times New Roman" w:hAnsi="Arial" w:cs="Arial"/>
                <w:b/>
                <w:bCs/>
                <w:color w:val="FFFFFF"/>
                <w:kern w:val="0"/>
                <w:sz w:val="15"/>
                <w:szCs w:val="15"/>
                <w:lang w:eastAsia="en-GB"/>
                <w14:ligatures w14:val="none"/>
              </w:rPr>
              <w:t>GRADE methodology</w:t>
            </w:r>
          </w:p>
        </w:tc>
      </w:tr>
      <w:tr w:rsidR="00E3500D" w:rsidRPr="0054789E" w14:paraId="49F67F0B" w14:textId="77777777" w:rsidTr="00E3500D">
        <w:trPr>
          <w:trHeight w:val="1800"/>
        </w:trPr>
        <w:tc>
          <w:tcPr>
            <w:tcW w:w="15080" w:type="dxa"/>
            <w:gridSpan w:val="11"/>
            <w:tcBorders>
              <w:top w:val="nil"/>
              <w:left w:val="nil"/>
              <w:bottom w:val="nil"/>
              <w:right w:val="nil"/>
            </w:tcBorders>
            <w:hideMark/>
          </w:tcPr>
          <w:p w14:paraId="4679CE92" w14:textId="0DE238C8" w:rsidR="00EB38AB" w:rsidRPr="00EB38AB" w:rsidRDefault="00EB38AB" w:rsidP="00EB38AB">
            <w:pPr>
              <w:spacing w:after="0" w:line="240" w:lineRule="auto"/>
              <w:rPr>
                <w:rFonts w:ascii="Arial" w:eastAsia="Times New Roman" w:hAnsi="Arial" w:cs="Arial"/>
                <w:i/>
                <w:iCs/>
                <w:kern w:val="0"/>
                <w:sz w:val="15"/>
                <w:szCs w:val="15"/>
                <w:lang w:eastAsia="en-GB"/>
                <w14:ligatures w14:val="none"/>
              </w:rPr>
            </w:pPr>
            <w:r w:rsidRPr="00EB38AB">
              <w:rPr>
                <w:rFonts w:ascii="Arial" w:eastAsia="Times New Roman" w:hAnsi="Arial" w:cs="Arial"/>
                <w:i/>
                <w:iCs/>
                <w:kern w:val="0"/>
                <w:sz w:val="15"/>
                <w:szCs w:val="15"/>
                <w:lang w:eastAsia="en-GB"/>
                <w14:ligatures w14:val="none"/>
              </w:rPr>
              <w:t>GRADE certainty of evidence was rated at the outcome level using the five downgrading domains (risk of bias, inconsistency, indirectness, imprecision, publication bias) per Schunemann et al. (GRADE Handbook, 2013). Starting certainty was high for randomised studies and low for non-randomised studies. Upgrading factors (</w:t>
            </w:r>
            <w:r w:rsidR="00035633">
              <w:rPr>
                <w:rFonts w:ascii="Arial" w:eastAsia="Times New Roman" w:hAnsi="Arial" w:cs="Arial"/>
                <w:i/>
                <w:iCs/>
                <w:kern w:val="0"/>
                <w:sz w:val="15"/>
                <w:szCs w:val="15"/>
                <w:lang w:eastAsia="en-GB"/>
                <w14:ligatures w14:val="none"/>
              </w:rPr>
              <w:t xml:space="preserve">e.g. </w:t>
            </w:r>
            <w:r w:rsidRPr="00EB38AB">
              <w:rPr>
                <w:rFonts w:ascii="Arial" w:eastAsia="Times New Roman" w:hAnsi="Arial" w:cs="Arial"/>
                <w:i/>
                <w:iCs/>
                <w:kern w:val="0"/>
                <w:sz w:val="15"/>
                <w:szCs w:val="15"/>
                <w:lang w:eastAsia="en-GB"/>
                <w14:ligatures w14:val="none"/>
              </w:rPr>
              <w:t xml:space="preserve">large effect, residual confounding favouring no effect) were not applied to any outcome row, as no included study reported effect. </w:t>
            </w:r>
            <w:r w:rsidR="00A57B75">
              <w:rPr>
                <w:rFonts w:ascii="Arial" w:eastAsia="Times New Roman" w:hAnsi="Arial" w:cs="Arial"/>
                <w:i/>
                <w:iCs/>
                <w:kern w:val="0"/>
                <w:sz w:val="15"/>
                <w:szCs w:val="15"/>
                <w:lang w:eastAsia="en-GB"/>
                <w14:ligatures w14:val="none"/>
              </w:rPr>
              <w:br/>
            </w:r>
            <w:r w:rsidRPr="00EB38AB">
              <w:rPr>
                <w:rFonts w:ascii="Arial" w:eastAsia="Times New Roman" w:hAnsi="Arial" w:cs="Arial"/>
                <w:i/>
                <w:iCs/>
                <w:kern w:val="0"/>
                <w:sz w:val="15"/>
                <w:szCs w:val="15"/>
                <w:lang w:eastAsia="en-GB"/>
                <w14:ligatures w14:val="none"/>
              </w:rPr>
              <w:t xml:space="preserve">Symbols: </w:t>
            </w:r>
            <w:r w:rsidRPr="00EB38AB">
              <w:rPr>
                <w:rFonts w:ascii="Cambria Math" w:eastAsia="Times New Roman" w:hAnsi="Cambria Math" w:cs="Cambria Math"/>
                <w:i/>
                <w:iCs/>
                <w:kern w:val="0"/>
                <w:sz w:val="15"/>
                <w:szCs w:val="15"/>
                <w:lang w:eastAsia="en-GB"/>
                <w14:ligatures w14:val="none"/>
              </w:rPr>
              <w:t>⊕⊕⊕⊕</w:t>
            </w:r>
            <w:r w:rsidRPr="00EB38AB">
              <w:rPr>
                <w:rFonts w:ascii="Arial" w:eastAsia="Times New Roman" w:hAnsi="Arial" w:cs="Arial"/>
                <w:i/>
                <w:iCs/>
                <w:kern w:val="0"/>
                <w:sz w:val="15"/>
                <w:szCs w:val="15"/>
                <w:lang w:eastAsia="en-GB"/>
                <w14:ligatures w14:val="none"/>
              </w:rPr>
              <w:t xml:space="preserve"> high, </w:t>
            </w:r>
            <w:r w:rsidRPr="00EB38AB">
              <w:rPr>
                <w:rFonts w:ascii="Cambria Math" w:eastAsia="Times New Roman" w:hAnsi="Cambria Math" w:cs="Cambria Math"/>
                <w:i/>
                <w:iCs/>
                <w:kern w:val="0"/>
                <w:sz w:val="15"/>
                <w:szCs w:val="15"/>
                <w:lang w:eastAsia="en-GB"/>
                <w14:ligatures w14:val="none"/>
              </w:rPr>
              <w:t>⊕⊕⊕</w:t>
            </w:r>
            <w:r w:rsidRPr="00EB38AB">
              <w:rPr>
                <w:rFonts w:ascii="Arial" w:eastAsia="Times New Roman" w:hAnsi="Arial" w:cs="Arial"/>
                <w:i/>
                <w:iCs/>
                <w:kern w:val="0"/>
                <w:sz w:val="15"/>
                <w:szCs w:val="15"/>
                <w:lang w:eastAsia="en-GB"/>
                <w14:ligatures w14:val="none"/>
              </w:rPr>
              <w:t xml:space="preserve">○ moderate, </w:t>
            </w:r>
            <w:r w:rsidRPr="00EB38AB">
              <w:rPr>
                <w:rFonts w:ascii="Cambria Math" w:eastAsia="Times New Roman" w:hAnsi="Cambria Math" w:cs="Cambria Math"/>
                <w:i/>
                <w:iCs/>
                <w:kern w:val="0"/>
                <w:sz w:val="15"/>
                <w:szCs w:val="15"/>
                <w:lang w:eastAsia="en-GB"/>
                <w14:ligatures w14:val="none"/>
              </w:rPr>
              <w:t>⊕⊕</w:t>
            </w:r>
            <w:r w:rsidRPr="00EB38AB">
              <w:rPr>
                <w:rFonts w:ascii="Arial" w:eastAsia="Times New Roman" w:hAnsi="Arial" w:cs="Arial"/>
                <w:i/>
                <w:iCs/>
                <w:kern w:val="0"/>
                <w:sz w:val="15"/>
                <w:szCs w:val="15"/>
                <w:lang w:eastAsia="en-GB"/>
                <w14:ligatures w14:val="none"/>
              </w:rPr>
              <w:t xml:space="preserve">○○ low, </w:t>
            </w:r>
            <w:r w:rsidRPr="00EB38AB">
              <w:rPr>
                <w:rFonts w:ascii="Cambria Math" w:eastAsia="Times New Roman" w:hAnsi="Cambria Math" w:cs="Cambria Math"/>
                <w:i/>
                <w:iCs/>
                <w:kern w:val="0"/>
                <w:sz w:val="15"/>
                <w:szCs w:val="15"/>
                <w:lang w:eastAsia="en-GB"/>
                <w14:ligatures w14:val="none"/>
              </w:rPr>
              <w:t>⊕</w:t>
            </w:r>
            <w:r w:rsidRPr="00EB38AB">
              <w:rPr>
                <w:rFonts w:ascii="Arial" w:eastAsia="Times New Roman" w:hAnsi="Arial" w:cs="Arial"/>
                <w:i/>
                <w:iCs/>
                <w:kern w:val="0"/>
                <w:sz w:val="15"/>
                <w:szCs w:val="15"/>
                <w:lang w:eastAsia="en-GB"/>
                <w14:ligatures w14:val="none"/>
              </w:rPr>
              <w:t xml:space="preserve">○○○ very low. </w:t>
            </w:r>
            <w:r w:rsidR="00A57B75">
              <w:rPr>
                <w:rFonts w:ascii="Arial" w:eastAsia="Times New Roman" w:hAnsi="Arial" w:cs="Arial"/>
                <w:i/>
                <w:iCs/>
                <w:kern w:val="0"/>
                <w:sz w:val="15"/>
                <w:szCs w:val="15"/>
                <w:lang w:eastAsia="en-GB"/>
                <w14:ligatures w14:val="none"/>
              </w:rPr>
              <w:br/>
            </w:r>
            <w:r w:rsidRPr="00EB38AB">
              <w:rPr>
                <w:rFonts w:ascii="Arial" w:eastAsia="Times New Roman" w:hAnsi="Arial" w:cs="Arial"/>
                <w:i/>
                <w:iCs/>
                <w:kern w:val="0"/>
                <w:sz w:val="15"/>
                <w:szCs w:val="15"/>
                <w:lang w:eastAsia="en-GB"/>
                <w14:ligatures w14:val="none"/>
              </w:rPr>
              <w:t xml:space="preserve">Abbreviations: AR, augmented reality; CESIR, Controller of Events on Simulator and Robot; CUSUM, cumulative sum; </w:t>
            </w:r>
            <w:proofErr w:type="spellStart"/>
            <w:r w:rsidRPr="00EB38AB">
              <w:rPr>
                <w:rFonts w:ascii="Arial" w:eastAsia="Times New Roman" w:hAnsi="Arial" w:cs="Arial"/>
                <w:i/>
                <w:iCs/>
                <w:kern w:val="0"/>
                <w:sz w:val="15"/>
                <w:szCs w:val="15"/>
                <w:lang w:eastAsia="en-GB"/>
                <w14:ligatures w14:val="none"/>
              </w:rPr>
              <w:t>dVSS</w:t>
            </w:r>
            <w:proofErr w:type="spellEnd"/>
            <w:r w:rsidRPr="00EB38AB">
              <w:rPr>
                <w:rFonts w:ascii="Arial" w:eastAsia="Times New Roman" w:hAnsi="Arial" w:cs="Arial"/>
                <w:i/>
                <w:iCs/>
                <w:kern w:val="0"/>
                <w:sz w:val="15"/>
                <w:szCs w:val="15"/>
                <w:lang w:eastAsia="en-GB"/>
                <w14:ligatures w14:val="none"/>
              </w:rPr>
              <w:t>, da Vinci Skills Simulator; FRS, Fundamentals of Robotic Surgery; GEARS, Global Evaluative Assessment of Robotic Skills; NASA-TLX, NASA Task Load Index; R-OSATS, Robotic Objective Structured Assessment of Technical Skills; TTC, time-to-completion; VR, virtual reality.</w:t>
            </w:r>
          </w:p>
        </w:tc>
      </w:tr>
    </w:tbl>
    <w:p w14:paraId="28AC2000" w14:textId="77777777" w:rsidR="00EB38AB" w:rsidRPr="00EB38AB" w:rsidRDefault="00EB38AB">
      <w:pPr>
        <w:rPr>
          <w:sz w:val="21"/>
          <w:szCs w:val="21"/>
        </w:rPr>
      </w:pPr>
    </w:p>
    <w:sectPr w:rsidR="00EB38AB" w:rsidRPr="00EB38AB" w:rsidSect="00EB38A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8AB"/>
    <w:rsid w:val="00035633"/>
    <w:rsid w:val="003528C9"/>
    <w:rsid w:val="0054789E"/>
    <w:rsid w:val="00A57B75"/>
    <w:rsid w:val="00B62A6B"/>
    <w:rsid w:val="00DB0DC5"/>
    <w:rsid w:val="00E3500D"/>
    <w:rsid w:val="00EB38AB"/>
    <w:rsid w:val="00ED48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9774559"/>
  <w15:chartTrackingRefBased/>
  <w15:docId w15:val="{8FF5B6FA-9DC6-B343-99C0-59DDDE49E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38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38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38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38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38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38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38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38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38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8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38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38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38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38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38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38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38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38AB"/>
    <w:rPr>
      <w:rFonts w:eastAsiaTheme="majorEastAsia" w:cstheme="majorBidi"/>
      <w:color w:val="272727" w:themeColor="text1" w:themeTint="D8"/>
    </w:rPr>
  </w:style>
  <w:style w:type="paragraph" w:styleId="Title">
    <w:name w:val="Title"/>
    <w:basedOn w:val="Normal"/>
    <w:next w:val="Normal"/>
    <w:link w:val="TitleChar"/>
    <w:uiPriority w:val="10"/>
    <w:qFormat/>
    <w:rsid w:val="00EB38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38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38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38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38AB"/>
    <w:pPr>
      <w:spacing w:before="160"/>
      <w:jc w:val="center"/>
    </w:pPr>
    <w:rPr>
      <w:i/>
      <w:iCs/>
      <w:color w:val="404040" w:themeColor="text1" w:themeTint="BF"/>
    </w:rPr>
  </w:style>
  <w:style w:type="character" w:customStyle="1" w:styleId="QuoteChar">
    <w:name w:val="Quote Char"/>
    <w:basedOn w:val="DefaultParagraphFont"/>
    <w:link w:val="Quote"/>
    <w:uiPriority w:val="29"/>
    <w:rsid w:val="00EB38AB"/>
    <w:rPr>
      <w:i/>
      <w:iCs/>
      <w:color w:val="404040" w:themeColor="text1" w:themeTint="BF"/>
    </w:rPr>
  </w:style>
  <w:style w:type="paragraph" w:styleId="ListParagraph">
    <w:name w:val="List Paragraph"/>
    <w:basedOn w:val="Normal"/>
    <w:uiPriority w:val="34"/>
    <w:qFormat/>
    <w:rsid w:val="00EB38AB"/>
    <w:pPr>
      <w:ind w:left="720"/>
      <w:contextualSpacing/>
    </w:pPr>
  </w:style>
  <w:style w:type="character" w:styleId="IntenseEmphasis">
    <w:name w:val="Intense Emphasis"/>
    <w:basedOn w:val="DefaultParagraphFont"/>
    <w:uiPriority w:val="21"/>
    <w:qFormat/>
    <w:rsid w:val="00EB38AB"/>
    <w:rPr>
      <w:i/>
      <w:iCs/>
      <w:color w:val="0F4761" w:themeColor="accent1" w:themeShade="BF"/>
    </w:rPr>
  </w:style>
  <w:style w:type="paragraph" w:styleId="IntenseQuote">
    <w:name w:val="Intense Quote"/>
    <w:basedOn w:val="Normal"/>
    <w:next w:val="Normal"/>
    <w:link w:val="IntenseQuoteChar"/>
    <w:uiPriority w:val="30"/>
    <w:qFormat/>
    <w:rsid w:val="00EB38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38AB"/>
    <w:rPr>
      <w:i/>
      <w:iCs/>
      <w:color w:val="0F4761" w:themeColor="accent1" w:themeShade="BF"/>
    </w:rPr>
  </w:style>
  <w:style w:type="character" w:styleId="IntenseReference">
    <w:name w:val="Intense Reference"/>
    <w:basedOn w:val="DefaultParagraphFont"/>
    <w:uiPriority w:val="32"/>
    <w:qFormat/>
    <w:rsid w:val="00EB38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1169</Words>
  <Characters>6667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SHAKIR, Taner (UNIVERSITY COLLEGE LONDON HOSPITALS NHS FOUNDATION TRUST)</dc:creator>
  <cp:keywords/>
  <dc:description/>
  <cp:lastModifiedBy>SHAKIR, Taner (UNIVERSITY COLLEGE LONDON HOSPITALS NHS FOUNDATION TRUST)</cp:lastModifiedBy>
  <cp:revision>4</cp:revision>
  <dcterms:created xsi:type="dcterms:W3CDTF">2026-05-13T16:11:00Z</dcterms:created>
  <dcterms:modified xsi:type="dcterms:W3CDTF">2026-05-13T16:59:00Z</dcterms:modified>
</cp:coreProperties>
</file>