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EFD" w:rsidRDefault="00D71EFD" w:rsidP="00D71EFD">
      <w:pPr>
        <w:pStyle w:val="Heading1"/>
        <w:keepNext w:val="0"/>
        <w:keepLines w:val="0"/>
        <w:widowControl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Table S1 . Distribution of Resected Pulmonary Segments in the </w:t>
      </w:r>
      <w:r>
        <w:rPr>
          <w:rFonts w:ascii="Times New Roman" w:hAnsi="Times New Roman" w:cs="Times New Roman" w:hint="eastAsia"/>
          <w:color w:val="auto"/>
          <w:sz w:val="24"/>
          <w:szCs w:val="24"/>
        </w:rPr>
        <w:t>utility-incision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color w:val="auto"/>
          <w:sz w:val="24"/>
          <w:szCs w:val="24"/>
        </w:rPr>
        <w:t>total-port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Groups</w:t>
      </w:r>
    </w:p>
    <w:tbl>
      <w:tblPr>
        <w:tblW w:w="8393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8"/>
        <w:gridCol w:w="3004"/>
        <w:gridCol w:w="2451"/>
      </w:tblGrid>
      <w:tr w:rsidR="00D71EFD" w:rsidTr="00D71EFD">
        <w:trPr>
          <w:tblHeader/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>Characteristic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lang w:bidi="ar"/>
              </w:rPr>
              <w:t>utility-incision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 xml:space="preserve"> (n=215)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4"/>
                <w:lang w:bidi="ar"/>
              </w:rPr>
              <w:t>total-port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 xml:space="preserve"> (n=203)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Left Upper S1+2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23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Left Upper S3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9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Left Upper S4+5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6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Left Lower S6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Left Lower S8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Left Lower S9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Left Lower S10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Upper S1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11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Upper S2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19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Upper S3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15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Lower S6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10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Lower S7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Lower S8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6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Lower S9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Right Lower S10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Single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Subsegment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17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Combined </w:t>
            </w:r>
            <w:proofErr w:type="spellStart"/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Subsegments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35</w:t>
            </w:r>
          </w:p>
        </w:tc>
      </w:tr>
      <w:tr w:rsidR="00D71EFD" w:rsidTr="00D71EFD">
        <w:trPr>
          <w:tblCellSpacing w:w="15" w:type="dxa"/>
          <w:jc w:val="center"/>
        </w:trPr>
        <w:tc>
          <w:tcPr>
            <w:tcW w:w="2893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Combined Segments</w:t>
            </w:r>
          </w:p>
        </w:tc>
        <w:tc>
          <w:tcPr>
            <w:tcW w:w="2974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2406" w:type="dxa"/>
            <w:shd w:val="clear" w:color="auto" w:fill="auto"/>
            <w:vAlign w:val="center"/>
          </w:tcPr>
          <w:p w:rsidR="00D71EFD" w:rsidRDefault="00D71EFD" w:rsidP="00F12E50">
            <w:pPr>
              <w:widowControl/>
              <w:snapToGrid w:val="0"/>
              <w:jc w:val="left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32</w:t>
            </w:r>
          </w:p>
        </w:tc>
      </w:tr>
    </w:tbl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</w:p>
    <w:p w:rsidR="00D71EFD" w:rsidRDefault="00D71EFD" w:rsidP="00D71EFD">
      <w:pPr>
        <w:pStyle w:val="Heading1"/>
        <w:widowControl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Table S2. Baseline Characteristics Before and After Propensity Score–Based Balancing</w:t>
      </w:r>
    </w:p>
    <w:p w:rsidR="00D71EFD" w:rsidRDefault="00D71EFD" w:rsidP="00D71EFD">
      <w:pPr>
        <w:pStyle w:val="Heading1"/>
        <w:widowControl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Table S2A. Before PS-Based Balancing (Unadjusted)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TP (n=203)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UI (n=215)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SMD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Age, years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57.28 ± 10.22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57.09 ± 10.36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0.018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 sex, n (%)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58 (28.6%)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76 (35.3%)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-0.145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BMI, kg/m²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23.91 ± 3.24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24.34 ± 2.95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-0.137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Ever smoker, n (%)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 (25.1%)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 (22.3%)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0.066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Complex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segmentectomy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n (%)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121 (59.6%)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83 (38.6%)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0.420</w:t>
            </w:r>
          </w:p>
        </w:tc>
      </w:tr>
    </w:tbl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</w:p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S2B. After IPTW (ATE, stabilized weights)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TP (weighted)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UI (weighted)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SMD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Age, years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57.31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57.28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0.003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 sex, 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31.4%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31.9%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-0.010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BMI, kg/m²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24.14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24.15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-0.004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Ever smoker, 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23.7%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0.010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Complex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segmentectomy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49.4%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48.8%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0.012</w:t>
            </w:r>
          </w:p>
        </w:tc>
      </w:tr>
    </w:tbl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</w:p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S2C. After PSM (1:1 matching)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TP (n=167)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UI (n=167)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SMD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Age, years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57.07 ± 10.10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57.38 ± 10.49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-0.030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 sex, n (%)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 (29.3%)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 (31.7%)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-0.052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BMI, kg/m²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24.11 ± 3.12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24.10 ± 2.92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0.005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Ever smoker, n (%)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(22.2%)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 (26.3%)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-0.098</w:t>
            </w:r>
          </w:p>
        </w:tc>
      </w:tr>
      <w:tr w:rsidR="00D71EFD" w:rsidTr="00D71EFD"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Complex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segmentectomy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n (%)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88 (52.7%)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82 (49.1%)</w:t>
            </w:r>
          </w:p>
        </w:tc>
        <w:tc>
          <w:tcPr>
            <w:tcW w:w="2160" w:type="dxa"/>
          </w:tcPr>
          <w:p w:rsidR="00D71EFD" w:rsidRDefault="00D71EFD" w:rsidP="00F12E50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0.072</w:t>
            </w:r>
          </w:p>
        </w:tc>
        <w:bookmarkStart w:id="0" w:name="_GoBack"/>
        <w:bookmarkEnd w:id="0"/>
      </w:tr>
    </w:tbl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</w:p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Abbreviations: TP, </w:t>
      </w:r>
      <w:r>
        <w:rPr>
          <w:rFonts w:ascii="Times New Roman" w:hAnsi="Times New Roman" w:cs="Times New Roman" w:hint="eastAsia"/>
          <w:sz w:val="24"/>
        </w:rPr>
        <w:t>total-port</w:t>
      </w:r>
      <w:r>
        <w:rPr>
          <w:rFonts w:ascii="Times New Roman" w:hAnsi="Times New Roman" w:cs="Times New Roman"/>
          <w:sz w:val="24"/>
        </w:rPr>
        <w:t xml:space="preserve"> approach; (UI), </w:t>
      </w:r>
      <w:r>
        <w:rPr>
          <w:rFonts w:ascii="Times New Roman" w:hAnsi="Times New Roman" w:cs="Times New Roman" w:hint="eastAsia"/>
          <w:sz w:val="24"/>
        </w:rPr>
        <w:t>utility-incision</w:t>
      </w:r>
      <w:r>
        <w:rPr>
          <w:rFonts w:ascii="Times New Roman" w:hAnsi="Times New Roman" w:cs="Times New Roman"/>
          <w:sz w:val="24"/>
        </w:rPr>
        <w:t xml:space="preserve"> approach; PS, propensity score; IPTW, inverse probability of treatment weighting; PSM, propensity score matching; SMD, standardized mean difference.</w:t>
      </w:r>
    </w:p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</w:p>
    <w:p w:rsidR="00D71EFD" w:rsidRDefault="00D71EFD" w:rsidP="00D71EFD">
      <w:pPr>
        <w:jc w:val="left"/>
        <w:rPr>
          <w:rFonts w:ascii="Times New Roman" w:hAnsi="Times New Roman" w:cs="Times New Roman"/>
          <w:sz w:val="24"/>
        </w:rPr>
      </w:pPr>
    </w:p>
    <w:p w:rsidR="00E67480" w:rsidRDefault="00E67480"/>
    <w:sectPr w:rsidR="00E67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EFD"/>
    <w:rsid w:val="00D71EFD"/>
    <w:rsid w:val="00E6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845E6-ED83-4201-A873-8F98DAC5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EFD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1E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EFD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Prasanna Krishnan</dc:creator>
  <cp:keywords/>
  <dc:description/>
  <cp:lastModifiedBy>Prasanna Krishnan</cp:lastModifiedBy>
  <cp:revision>1</cp:revision>
  <dcterms:created xsi:type="dcterms:W3CDTF">2026-07-15T09:51:00Z</dcterms:created>
  <dcterms:modified xsi:type="dcterms:W3CDTF">2026-07-15T09:53:00Z</dcterms:modified>
</cp:coreProperties>
</file>