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44D" w:rsidRDefault="0042744D" w:rsidP="0042744D">
      <w:pPr>
        <w:spacing w:line="480" w:lineRule="auto"/>
        <w:rPr>
          <w:rStyle w:val="Strong"/>
          <w:rFonts w:ascii="Times New Roman" w:eastAsia="SimSun" w:hAnsi="Times New Roman" w:cs="Times New Roman"/>
          <w:b w:val="0"/>
          <w:sz w:val="24"/>
          <w:szCs w:val="24"/>
          <w:lang w:val="en-US" w:eastAsia="zh-CN"/>
        </w:rPr>
      </w:pPr>
      <w:r w:rsidRPr="0042744D">
        <w:rPr>
          <w:noProof/>
          <w:lang w:eastAsia="en-IN"/>
        </w:rPr>
        <w:drawing>
          <wp:inline distT="0" distB="0" distL="0" distR="0">
            <wp:extent cx="5731510" cy="6172854"/>
            <wp:effectExtent l="0" t="0" r="2540" b="0"/>
            <wp:docPr id="1" name="Picture 1" descr="H:\journals\Springer\Space\11701\3708\Stage200\Author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1701\3708\Stage200\Author\Figure S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172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</w:rPr>
        <w:t>Fig</w:t>
      </w:r>
      <w:r>
        <w:rPr>
          <w:rStyle w:val="Strong"/>
          <w:rFonts w:ascii="Times New Roman" w:eastAsia="SimSun" w:hAnsi="Times New Roman" w:cs="Times New Roman"/>
          <w:bCs/>
          <w:sz w:val="24"/>
          <w:szCs w:val="24"/>
        </w:rPr>
        <w:t xml:space="preserve">ure </w:t>
      </w:r>
      <w:r>
        <w:rPr>
          <w:rStyle w:val="Strong"/>
          <w:rFonts w:ascii="Times New Roman" w:eastAsia="SimSun" w:hAnsi="Times New Roman" w:cs="Times New Roman"/>
          <w:bCs/>
          <w:sz w:val="24"/>
          <w:szCs w:val="24"/>
          <w:lang w:val="en-US" w:eastAsia="zh-CN"/>
        </w:rPr>
        <w:t>S</w:t>
      </w:r>
      <w:r>
        <w:rPr>
          <w:rStyle w:val="Strong"/>
          <w:rFonts w:ascii="Times New Roman" w:eastAsia="SimSun" w:hAnsi="Times New Roman" w:cs="Times New Roman"/>
          <w:bCs/>
          <w:sz w:val="24"/>
          <w:szCs w:val="24"/>
        </w:rPr>
        <w:t>1</w:t>
      </w:r>
      <w:r>
        <w:rPr>
          <w:rStyle w:val="Strong"/>
          <w:rFonts w:ascii="Times New Roman" w:eastAsia="SimSun" w:hAnsi="Times New Roman" w:cs="Times New Roman" w:hint="eastAsia"/>
          <w:bCs/>
          <w:sz w:val="24"/>
          <w:szCs w:val="24"/>
          <w:lang w:val="en-US" w:eastAsia="zh-CN"/>
        </w:rPr>
        <w:t>:</w:t>
      </w:r>
      <w:r>
        <w:rPr>
          <w:rStyle w:val="Strong"/>
          <w:rFonts w:ascii="Times New Roman" w:eastAsia="SimSun" w:hAnsi="Times New Roman" w:cs="Times New Roman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eastAsia="SimSun" w:hAnsi="Times New Roman" w:cs="Times New Roman"/>
          <w:b w:val="0"/>
          <w:sz w:val="24"/>
          <w:szCs w:val="24"/>
          <w:lang w:val="en-US" w:eastAsia="zh-CN"/>
        </w:rPr>
        <w:t xml:space="preserve">Flowchart of the study </w:t>
      </w:r>
      <w:r>
        <w:rPr>
          <w:rStyle w:val="Strong"/>
          <w:rFonts w:ascii="Times New Roman" w:eastAsia="SimSun" w:hAnsi="Times New Roman" w:cs="Times New Roman"/>
          <w:b w:val="0"/>
          <w:sz w:val="24"/>
          <w:szCs w:val="24"/>
          <w:lang w:val="en-US" w:eastAsia="zh-CN"/>
        </w:rPr>
        <w:t>participants</w:t>
      </w: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  <w:r w:rsidRPr="0042744D">
        <w:rPr>
          <w:rFonts w:ascii="Times New Roman" w:hAnsi="Times New Roman" w:cs="Times New Roman"/>
          <w:noProof/>
          <w:sz w:val="24"/>
          <w:lang w:eastAsia="en-IN"/>
        </w:rPr>
        <w:lastRenderedPageBreak/>
        <w:drawing>
          <wp:inline distT="0" distB="0" distL="0" distR="0">
            <wp:extent cx="5731510" cy="4312961"/>
            <wp:effectExtent l="0" t="0" r="2540" b="0"/>
            <wp:docPr id="2" name="Picture 2" descr="H:\journals\Springer\Space\11701\3708\Stage200\Author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:\journals\Springer\Space\11701\3708\Stage200\Author\Figure S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312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sz w:val="24"/>
        </w:rPr>
      </w:pP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S2</w:t>
      </w:r>
      <w:r>
        <w:rPr>
          <w:rStyle w:val="Strong"/>
          <w:rFonts w:ascii="Times New Roman" w:hAnsi="Times New Roman" w:cs="Times New Roman" w:hint="eastAsia"/>
          <w:bCs/>
          <w:sz w:val="24"/>
          <w:szCs w:val="24"/>
          <w:lang w:val="en-US" w:eastAsia="zh-CN"/>
        </w:rPr>
        <w:t>: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Assessment of surgical completeness using postoperative 3D-CT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airwayreconstruction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(left upper lobe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apicoposterior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segmentectomy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).</w:t>
      </w:r>
      <w:r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(A, C)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Preoperative reconstruction.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(B)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Residual bronchial stump (low completeness).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(D)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Complete bronchial transection (high completeness).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Images were independently reviewed by two blinded thoracic radiologists.</w:t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</w:pPr>
      <w:r w:rsidRPr="0042744D">
        <w:rPr>
          <w:rFonts w:ascii="Times New Roman" w:hAnsi="Times New Roman" w:cs="Times New Roman"/>
          <w:noProof/>
          <w:sz w:val="24"/>
          <w:lang w:eastAsia="en-IN"/>
        </w:rPr>
        <w:lastRenderedPageBreak/>
        <w:drawing>
          <wp:inline distT="0" distB="0" distL="0" distR="0">
            <wp:extent cx="5731510" cy="3347248"/>
            <wp:effectExtent l="0" t="0" r="2540" b="5715"/>
            <wp:docPr id="3" name="Picture 3" descr="H:\journals\Springer\Space\11701\3708\Stage200\Author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:\journals\Springer\Space\11701\3708\Stage200\Author\Figure S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47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S3</w:t>
      </w:r>
      <w:r>
        <w:rPr>
          <w:rStyle w:val="Strong"/>
          <w:rFonts w:ascii="Times New Roman" w:hAnsi="Times New Roman" w:cs="Times New Roman" w:hint="eastAsia"/>
          <w:bCs/>
          <w:sz w:val="24"/>
          <w:szCs w:val="24"/>
          <w:lang w:val="en-US" w:eastAsia="zh-CN"/>
        </w:rPr>
        <w:t>: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Perioperative outcomes and safety comparison between TP and UI approaches.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UI (n=215) vs TP (n=203):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A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) Operative time: 99.7 vs 118.3 min (P&lt;0.0001)</w:t>
      </w:r>
      <w:r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B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) Lymph nodes retrieved: 13.10 vs 6.87 (P&lt;0.0001)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C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) Blood loss: 57.4 vs 45.0 mL (P&lt;0.0001)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D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) Drainage (day 1): 262.4 vs 149.4 mL (P&lt;0.05)</w:t>
      </w:r>
      <w:r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E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) Total drainage: 812.8 vs 455.8 mL (P&lt;0.0001)(F) Complications: 9.77% vs 3.45% (P&lt;0.05)</w:t>
      </w:r>
      <w:r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.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Error bars: mean (SD) for 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A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-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E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; 95% CI (Wilson) for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F.Early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complications included prolonged air leak,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chylothorax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, pulmonary infection, and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arrhythmiawithin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30 days.</w:t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</w:pP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</w:rPr>
      </w:pPr>
      <w:r w:rsidRPr="0042744D">
        <w:rPr>
          <w:rStyle w:val="Strong"/>
          <w:rFonts w:ascii="Times New Roman" w:hAnsi="Times New Roman" w:cs="Times New Roman"/>
          <w:b w:val="0"/>
          <w:noProof/>
          <w:sz w:val="24"/>
          <w:lang w:eastAsia="en-IN"/>
        </w:rPr>
        <w:lastRenderedPageBreak/>
        <w:drawing>
          <wp:inline distT="0" distB="0" distL="0" distR="0">
            <wp:extent cx="5029200" cy="3086100"/>
            <wp:effectExtent l="0" t="0" r="0" b="0"/>
            <wp:docPr id="5" name="Picture 5" descr="H:\journals\Springer\Space\11701\3708\Stage200\Author\Figure S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journals\Springer\Space\11701\3708\Stage200\Author\Figure S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sz w:val="24"/>
        </w:rPr>
      </w:pP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S4</w:t>
      </w:r>
      <w:r>
        <w:rPr>
          <w:rStyle w:val="Strong"/>
          <w:rFonts w:ascii="Times New Roman" w:hAnsi="Times New Roman" w:cs="Times New Roman" w:hint="eastAsia"/>
          <w:bCs/>
          <w:sz w:val="24"/>
          <w:szCs w:val="24"/>
          <w:lang w:val="en-US" w:eastAsia="zh-CN"/>
        </w:rPr>
        <w:t>: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Covariate Balance Before and After Propensity Score–Based Balancing</w:t>
      </w: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Love plot showing standardized mean differences (SMDs) for baseline covariates before weighting/matching (Before), after inverse probability of treatment weighting (IPTW), and after propensity score matching (PSM). The dashed vertical line indicates the </w:t>
      </w:r>
      <w:proofErr w:type="spellStart"/>
      <w:r>
        <w:rPr>
          <w:rFonts w:ascii="Times New Roman" w:hAnsi="Times New Roman" w:cs="Times New Roman"/>
          <w:sz w:val="24"/>
        </w:rPr>
        <w:t>prespecified</w:t>
      </w:r>
      <w:proofErr w:type="spellEnd"/>
      <w:r>
        <w:rPr>
          <w:rFonts w:ascii="Times New Roman" w:hAnsi="Times New Roman" w:cs="Times New Roman"/>
          <w:sz w:val="24"/>
        </w:rPr>
        <w:t xml:space="preserve"> balance threshold of |SMD| = 0.10. Adequate balance was achieved for all covariates after IPTW and PSM.</w:t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sz w:val="24"/>
        </w:rPr>
      </w:pPr>
      <w:r w:rsidRPr="0042744D">
        <w:rPr>
          <w:rFonts w:ascii="Times New Roman" w:hAnsi="Times New Roman" w:cs="Times New Roman"/>
          <w:noProof/>
          <w:sz w:val="24"/>
          <w:lang w:eastAsia="en-IN"/>
        </w:rPr>
        <w:drawing>
          <wp:inline distT="0" distB="0" distL="0" distR="0">
            <wp:extent cx="5731510" cy="2115448"/>
            <wp:effectExtent l="0" t="0" r="2540" b="0"/>
            <wp:docPr id="6" name="Picture 6" descr="H:\journals\Springer\Space\11701\3708\Stage200\Author\Figure S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journals\Springer\Space\11701\3708\Stage200\Author\Figure S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154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2744D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proofErr w:type="gramStart"/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S5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Strong"/>
          <w:rFonts w:ascii="Times New Roman" w:hAnsi="Times New Roman" w:cs="Times New Roman" w:hint="eastAsia"/>
          <w:sz w:val="24"/>
          <w:szCs w:val="24"/>
          <w:lang w:val="en-US" w:eastAsia="zh-CN"/>
        </w:rPr>
        <w:t>:</w:t>
      </w:r>
      <w:proofErr w:type="gramEnd"/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IPTW-Adjusted Treatment Effect on Surgical Completeness</w:t>
      </w: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Forest plot of the IPTW-adjusted treatment effect comparing </w:t>
      </w:r>
      <w:r>
        <w:rPr>
          <w:rFonts w:ascii="Times New Roman" w:hAnsi="Times New Roman" w:cs="Times New Roman" w:hint="eastAsia"/>
          <w:sz w:val="24"/>
          <w:lang w:eastAsia="zh-CN"/>
        </w:rPr>
        <w:t>total-port</w:t>
      </w:r>
      <w:r>
        <w:rPr>
          <w:rFonts w:ascii="Times New Roman" w:hAnsi="Times New Roman" w:cs="Times New Roman"/>
          <w:sz w:val="24"/>
        </w:rPr>
        <w:t xml:space="preserve"> (TP) versus </w:t>
      </w:r>
      <w:r>
        <w:rPr>
          <w:rFonts w:ascii="Times New Roman" w:hAnsi="Times New Roman" w:cs="Times New Roman" w:hint="eastAsia"/>
          <w:sz w:val="24"/>
          <w:lang w:eastAsia="zh-CN"/>
        </w:rPr>
        <w:t>utility-incision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eastAsia="zh-CN"/>
        </w:rPr>
        <w:t>(UI)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segmentectomy</w:t>
      </w:r>
      <w:proofErr w:type="spellEnd"/>
      <w:r>
        <w:rPr>
          <w:rFonts w:ascii="Times New Roman" w:hAnsi="Times New Roman" w:cs="Times New Roman"/>
          <w:sz w:val="24"/>
        </w:rPr>
        <w:t xml:space="preserve"> for the primary outcome of surgical completeness. Effect estimates are presented as odds ratios (ORs) with 95% confidence intervals (CIs) on a logarithmic scale. The vertical dashed line indicates the null effect (OR = 1.0).</w:t>
      </w: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  <w:r w:rsidRPr="0042744D">
        <w:rPr>
          <w:rFonts w:ascii="Times New Roman" w:hAnsi="Times New Roman" w:cs="Times New Roman"/>
          <w:noProof/>
          <w:sz w:val="24"/>
          <w:lang w:eastAsia="en-IN"/>
        </w:rPr>
        <w:drawing>
          <wp:inline distT="0" distB="0" distL="0" distR="0">
            <wp:extent cx="5731510" cy="3240714"/>
            <wp:effectExtent l="0" t="0" r="2540" b="0"/>
            <wp:docPr id="7" name="Picture 7" descr="H:\journals\Springer\Space\11701\3708\Stage200\Author\Figure S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journals\Springer\Space\11701\3708\Stage200\Author\Figure S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4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</w:pP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S6</w:t>
      </w:r>
      <w:r>
        <w:rPr>
          <w:rStyle w:val="Strong"/>
          <w:rFonts w:ascii="Times New Roman" w:hAnsi="Times New Roman" w:cs="Times New Roman" w:hint="eastAsia"/>
          <w:sz w:val="24"/>
          <w:szCs w:val="24"/>
          <w:lang w:val="en-US" w:eastAsia="zh-CN"/>
        </w:rPr>
        <w:t>: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Port placement for robotic pulmonary </w:t>
      </w:r>
      <w:proofErr w:type="spellStart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segmentectomy</w:t>
      </w:r>
      <w:proofErr w:type="spellEnd"/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using the fourth-generation da Vinci Xi Surgical System.</w:t>
      </w:r>
      <w:r w:rsidRPr="0042744D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A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) </w:t>
      </w:r>
      <w:r w:rsidRPr="0042744D">
        <w:rPr>
          <w:rStyle w:val="Strong"/>
          <w:rFonts w:ascii="Times New Roman" w:hAnsi="Times New Roman" w:cs="Times New Roman" w:hint="eastAsia"/>
          <w:b w:val="0"/>
          <w:bCs/>
          <w:sz w:val="24"/>
          <w:szCs w:val="24"/>
          <w:lang w:val="en-US" w:eastAsia="zh-CN"/>
        </w:rPr>
        <w:t>utility-incision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(UI) approach with a 3–4 cm utility incision (mini-thoracotomy) in the 4th or 5th intercostal space.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(</w:t>
      </w:r>
      <w:r w:rsidRPr="0042744D"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B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) </w:t>
      </w:r>
      <w:r w:rsidRPr="0042744D">
        <w:rPr>
          <w:rStyle w:val="Strong"/>
          <w:rFonts w:ascii="Times New Roman" w:hAnsi="Times New Roman" w:cs="Times New Roman" w:hint="eastAsia"/>
          <w:b w:val="0"/>
          <w:bCs/>
          <w:sz w:val="24"/>
          <w:szCs w:val="24"/>
          <w:lang w:val="en-US" w:eastAsia="zh-CN"/>
        </w:rPr>
        <w:t>Total-port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(TP) approach using four robotic ports with continuous CO₂ insufflation and no utility incision during the main procedure.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</w:t>
      </w:r>
      <w:r w:rsidRPr="0042744D">
        <w:rPr>
          <w:rStyle w:val="Strong"/>
          <w:rFonts w:ascii="Times New Roman" w:hAnsi="Times New Roman" w:cs="Times New Roman" w:hint="eastAsia"/>
          <w:b w:val="0"/>
          <w:bCs/>
          <w:sz w:val="24"/>
          <w:szCs w:val="24"/>
          <w:lang w:val="en-US" w:eastAsia="zh-CN"/>
        </w:rPr>
        <w:t>B</w:t>
      </w:r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oth approaches were performed</w:t>
      </w:r>
      <w:bookmarkStart w:id="0" w:name="_GoBack"/>
      <w:bookmarkEnd w:id="0"/>
      <w:r w:rsidRPr="0042744D"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 xml:space="preserve"> using the same fourth-generation da Vinci Xi Surgical System; the difference between the two groups was the surgical approach and port configuration r</w:t>
      </w:r>
      <w:r>
        <w:rPr>
          <w:rStyle w:val="Strong"/>
          <w:rFonts w:ascii="Times New Roman" w:hAnsi="Times New Roman" w:cs="Times New Roman"/>
          <w:b w:val="0"/>
          <w:bCs/>
          <w:sz w:val="24"/>
          <w:szCs w:val="24"/>
          <w:lang w:val="en-US" w:eastAsia="zh-CN"/>
        </w:rPr>
        <w:t>ather than the robotic platform</w:t>
      </w:r>
    </w:p>
    <w:p w:rsid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sz w:val="24"/>
        </w:rPr>
      </w:pPr>
      <w:r>
        <w:rPr>
          <w:rStyle w:val="Strong"/>
          <w:rFonts w:ascii="Times New Roman" w:hAnsi="Times New Roman" w:cs="Times New Roman"/>
          <w:bCs/>
          <w:sz w:val="24"/>
          <w:szCs w:val="24"/>
        </w:rPr>
        <w:t xml:space="preserve">Figure </w:t>
      </w:r>
      <w:proofErr w:type="gramStart"/>
      <w:r>
        <w:rPr>
          <w:rStyle w:val="Strong"/>
          <w:rFonts w:ascii="Times New Roman" w:hAnsi="Times New Roman" w:cs="Times New Roman"/>
          <w:bCs/>
          <w:sz w:val="24"/>
          <w:szCs w:val="24"/>
          <w:lang w:val="en-US" w:eastAsia="zh-CN"/>
        </w:rPr>
        <w:t>S7</w:t>
      </w:r>
      <w:r>
        <w:rPr>
          <w:rStyle w:val="Strong"/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Style w:val="Strong"/>
          <w:rFonts w:ascii="Times New Roman" w:hAnsi="Times New Roman" w:cs="Times New Roman"/>
          <w:sz w:val="24"/>
        </w:rPr>
        <w:t xml:space="preserve"> </w:t>
      </w:r>
      <w:r w:rsidRPr="008B6275">
        <w:rPr>
          <w:rStyle w:val="Strong"/>
          <w:rFonts w:ascii="Times New Roman" w:hAnsi="Times New Roman" w:cs="Times New Roman" w:hint="eastAsia"/>
          <w:b w:val="0"/>
          <w:sz w:val="24"/>
          <w:szCs w:val="24"/>
          <w:lang w:val="en-US" w:eastAsia="zh-CN"/>
        </w:rPr>
        <w:t>:</w:t>
      </w:r>
      <w:r w:rsidRPr="008B6275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>Blinded</w:t>
      </w:r>
      <w:proofErr w:type="gramEnd"/>
      <w:r w:rsidRPr="008B6275">
        <w:rPr>
          <w:rStyle w:val="Strong"/>
          <w:rFonts w:ascii="Times New Roman" w:hAnsi="Times New Roman" w:cs="Times New Roman"/>
          <w:b w:val="0"/>
          <w:sz w:val="24"/>
          <w:szCs w:val="24"/>
          <w:lang w:val="en-US" w:eastAsia="zh-CN"/>
        </w:rPr>
        <w:t xml:space="preserve"> assessment and adjudication workflow for surgical completeness based on 3D-CT reconstruction</w:t>
      </w:r>
    </w:p>
    <w:p w:rsidR="0042744D" w:rsidRP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bCs/>
          <w:sz w:val="24"/>
        </w:rPr>
      </w:pP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</w:p>
    <w:p w:rsidR="0042744D" w:rsidRPr="0042744D" w:rsidRDefault="0042744D" w:rsidP="0042744D">
      <w:pPr>
        <w:spacing w:line="480" w:lineRule="auto"/>
        <w:rPr>
          <w:rStyle w:val="Strong"/>
          <w:rFonts w:ascii="Times New Roman" w:hAnsi="Times New Roman" w:cs="Times New Roman"/>
          <w:b w:val="0"/>
          <w:sz w:val="24"/>
        </w:rPr>
      </w:pPr>
    </w:p>
    <w:p w:rsidR="0042744D" w:rsidRDefault="0042744D" w:rsidP="0042744D">
      <w:pPr>
        <w:spacing w:line="480" w:lineRule="auto"/>
        <w:rPr>
          <w:rFonts w:ascii="Times New Roman" w:hAnsi="Times New Roman" w:cs="Times New Roman"/>
          <w:sz w:val="24"/>
        </w:rPr>
      </w:pPr>
    </w:p>
    <w:p w:rsidR="002B040C" w:rsidRDefault="002B040C"/>
    <w:sectPr w:rsidR="002B04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890"/>
    <w:rsid w:val="002B040C"/>
    <w:rsid w:val="0042744D"/>
    <w:rsid w:val="006C402D"/>
    <w:rsid w:val="00777890"/>
    <w:rsid w:val="00EA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ED8291"/>
  <w15:chartTrackingRefBased/>
  <w15:docId w15:val="{4B320DA2-EEA7-4E17-B17B-0F3E5092C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42744D"/>
    <w:rPr>
      <w:b/>
    </w:rPr>
  </w:style>
  <w:style w:type="paragraph" w:styleId="ListParagraph">
    <w:name w:val="List Paragraph"/>
    <w:basedOn w:val="Normal"/>
    <w:uiPriority w:val="34"/>
    <w:qFormat/>
    <w:rsid w:val="00427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381</Words>
  <Characters>2173</Characters>
  <Application>Microsoft Office Word</Application>
  <DocSecurity>0</DocSecurity>
  <Lines>18</Lines>
  <Paragraphs>5</Paragraphs>
  <ScaleCrop>false</ScaleCrop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Prasanna Krishnan</dc:creator>
  <cp:keywords/>
  <dc:description/>
  <cp:lastModifiedBy>Prasanna Krishnan</cp:lastModifiedBy>
  <cp:revision>2</cp:revision>
  <dcterms:created xsi:type="dcterms:W3CDTF">2026-07-16T08:51:00Z</dcterms:created>
  <dcterms:modified xsi:type="dcterms:W3CDTF">2026-07-16T08:59:00Z</dcterms:modified>
</cp:coreProperties>
</file>