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46FEE">
      <w:pPr>
        <w:pStyle w:val="4"/>
        <w:autoSpaceDE w:val="0"/>
        <w:autoSpaceDN w:val="0"/>
        <w:adjustRightInd w:val="0"/>
        <w:ind w:firstLine="210" w:firstLineChars="0"/>
        <w:jc w:val="both"/>
        <w:rPr>
          <w:rFonts w:eastAsiaTheme="minorEastAsia"/>
          <w:szCs w:val="24"/>
        </w:rPr>
      </w:pPr>
    </w:p>
    <w:p w14:paraId="592C94D4">
      <w:pPr>
        <w:spacing w:line="360" w:lineRule="auto"/>
        <w:jc w:val="both"/>
      </w:pPr>
      <w:r>
        <w:rPr>
          <w:b/>
          <w:bCs/>
        </w:rPr>
        <w:t>Table 1</w:t>
      </w:r>
      <w:r>
        <w:t xml:space="preserve"> </w:t>
      </w:r>
      <w:bookmarkStart w:id="0" w:name="OLE_LINK52"/>
      <w:r>
        <w:t>Typical datasets for energy materials</w:t>
      </w:r>
      <w:bookmarkEnd w:id="0"/>
    </w:p>
    <w:tbl>
      <w:tblPr>
        <w:tblStyle w:val="2"/>
        <w:tblW w:w="8310" w:type="dxa"/>
        <w:tblInd w:w="108"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985"/>
        <w:gridCol w:w="3010"/>
        <w:gridCol w:w="3315"/>
      </w:tblGrid>
      <w:tr w14:paraId="5CF29CB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PrEx>
        <w:tc>
          <w:tcPr>
            <w:tcW w:w="1985" w:type="dxa"/>
            <w:tcBorders>
              <w:top w:val="single" w:color="000000" w:sz="12" w:space="0"/>
              <w:left w:val="nil"/>
              <w:bottom w:val="single" w:color="000000" w:sz="6" w:space="0"/>
              <w:right w:val="nil"/>
            </w:tcBorders>
            <w:shd w:val="clear" w:color="auto" w:fill="FFFFFF"/>
            <w:vAlign w:val="center"/>
          </w:tcPr>
          <w:p w14:paraId="1E566CBF">
            <w:pPr>
              <w:jc w:val="both"/>
              <w:rPr>
                <w:rFonts w:eastAsia="等线" w:cs="宋体"/>
                <w:b w:val="0"/>
                <w:bCs/>
                <w:color w:val="000000"/>
                <w:sz w:val="18"/>
                <w:szCs w:val="18"/>
              </w:rPr>
            </w:pPr>
            <w:bookmarkStart w:id="1" w:name="_Hlk212639963"/>
            <w:r>
              <w:rPr>
                <w:rFonts w:eastAsia="等线"/>
                <w:b w:val="0"/>
                <w:bCs/>
                <w:color w:val="000000"/>
                <w:sz w:val="18"/>
                <w:szCs w:val="18"/>
              </w:rPr>
              <w:t>Name</w:t>
            </w:r>
          </w:p>
        </w:tc>
        <w:tc>
          <w:tcPr>
            <w:tcW w:w="3010" w:type="dxa"/>
            <w:tcBorders>
              <w:top w:val="single" w:color="000000" w:sz="12" w:space="0"/>
              <w:left w:val="nil"/>
              <w:bottom w:val="single" w:color="000000" w:sz="6" w:space="0"/>
              <w:right w:val="nil"/>
            </w:tcBorders>
            <w:shd w:val="clear" w:color="auto" w:fill="FFFFFF"/>
            <w:vAlign w:val="center"/>
          </w:tcPr>
          <w:p w14:paraId="7496AC28">
            <w:pPr>
              <w:jc w:val="center"/>
              <w:rPr>
                <w:rFonts w:eastAsia="等线"/>
                <w:b w:val="0"/>
                <w:bCs/>
                <w:color w:val="000000"/>
                <w:sz w:val="18"/>
                <w:szCs w:val="18"/>
              </w:rPr>
            </w:pPr>
            <w:r>
              <w:rPr>
                <w:rFonts w:eastAsia="等线"/>
                <w:b w:val="0"/>
                <w:bCs/>
                <w:color w:val="000000"/>
                <w:sz w:val="18"/>
                <w:szCs w:val="18"/>
              </w:rPr>
              <w:t>Link</w:t>
            </w:r>
          </w:p>
        </w:tc>
        <w:tc>
          <w:tcPr>
            <w:tcW w:w="3315" w:type="dxa"/>
            <w:tcBorders>
              <w:top w:val="single" w:color="000000" w:sz="12" w:space="0"/>
              <w:left w:val="nil"/>
              <w:bottom w:val="single" w:color="000000" w:sz="6" w:space="0"/>
              <w:right w:val="nil"/>
            </w:tcBorders>
            <w:shd w:val="clear" w:color="auto" w:fill="FFFFFF"/>
            <w:vAlign w:val="center"/>
          </w:tcPr>
          <w:p w14:paraId="53577364">
            <w:pPr>
              <w:jc w:val="center"/>
              <w:rPr>
                <w:rFonts w:eastAsia="等线"/>
                <w:b w:val="0"/>
                <w:bCs/>
                <w:color w:val="000000"/>
                <w:sz w:val="18"/>
                <w:szCs w:val="18"/>
              </w:rPr>
            </w:pPr>
            <w:r>
              <w:rPr>
                <w:rFonts w:eastAsia="等线"/>
                <w:b w:val="0"/>
                <w:bCs/>
                <w:color w:val="000000"/>
                <w:sz w:val="18"/>
                <w:szCs w:val="18"/>
              </w:rPr>
              <w:t>Brief description</w:t>
            </w:r>
          </w:p>
        </w:tc>
      </w:tr>
      <w:tr w14:paraId="3ABDDFB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c>
          <w:tcPr>
            <w:tcW w:w="1985" w:type="dxa"/>
            <w:tcBorders>
              <w:top w:val="single" w:color="000000" w:sz="6" w:space="0"/>
              <w:left w:val="nil"/>
              <w:bottom w:val="single" w:color="FFFFFF" w:themeColor="background1" w:sz="18" w:space="0"/>
              <w:right w:val="nil"/>
            </w:tcBorders>
            <w:shd w:val="clear" w:color="auto" w:fill="FFFFFF"/>
            <w:vAlign w:val="center"/>
          </w:tcPr>
          <w:p w14:paraId="62730D11">
            <w:pPr>
              <w:jc w:val="both"/>
              <w:rPr>
                <w:rFonts w:eastAsia="等线"/>
                <w:b w:val="0"/>
                <w:bCs/>
                <w:color w:val="08090C"/>
                <w:sz w:val="18"/>
                <w:szCs w:val="18"/>
              </w:rPr>
            </w:pPr>
            <w:r>
              <w:rPr>
                <w:rFonts w:eastAsia="等线"/>
                <w:b w:val="0"/>
                <w:bCs/>
                <w:color w:val="08090C"/>
                <w:sz w:val="18"/>
                <w:szCs w:val="18"/>
              </w:rPr>
              <w:t>BatteryDB</w:t>
            </w:r>
          </w:p>
        </w:tc>
        <w:tc>
          <w:tcPr>
            <w:tcW w:w="3010" w:type="dxa"/>
            <w:tcBorders>
              <w:top w:val="single" w:color="000000" w:sz="6" w:space="0"/>
              <w:left w:val="nil"/>
              <w:bottom w:val="single" w:color="FFFFFF" w:themeColor="background1" w:sz="18" w:space="0"/>
              <w:right w:val="nil"/>
            </w:tcBorders>
            <w:shd w:val="clear" w:color="auto" w:fill="FFFFFF"/>
            <w:vAlign w:val="center"/>
          </w:tcPr>
          <w:p w14:paraId="72C9374A">
            <w:pPr>
              <w:jc w:val="center"/>
              <w:rPr>
                <w:rStyle w:val="6"/>
                <w:b w:val="0"/>
                <w:bCs/>
                <w:color w:val="08090C"/>
              </w:rPr>
            </w:pPr>
            <w:r>
              <w:rPr>
                <w:rStyle w:val="6"/>
                <w:rFonts w:eastAsia="等线"/>
                <w:b w:val="0"/>
                <w:bCs/>
                <w:color w:val="08090C"/>
                <w:sz w:val="18"/>
                <w:szCs w:val="18"/>
              </w:rPr>
              <w:t>https://github.com/Samuel-Buteau/universal-battery-database</w:t>
            </w:r>
          </w:p>
        </w:tc>
        <w:tc>
          <w:tcPr>
            <w:tcW w:w="3315" w:type="dxa"/>
            <w:tcBorders>
              <w:top w:val="single" w:color="000000" w:sz="6" w:space="0"/>
              <w:left w:val="nil"/>
              <w:bottom w:val="single" w:color="FFFFFF" w:themeColor="background1" w:sz="18" w:space="0"/>
              <w:right w:val="nil"/>
            </w:tcBorders>
            <w:shd w:val="clear" w:color="auto" w:fill="FFFFFF"/>
            <w:vAlign w:val="center"/>
          </w:tcPr>
          <w:p w14:paraId="2C5B043A">
            <w:pPr>
              <w:jc w:val="center"/>
              <w:rPr>
                <w:b w:val="0"/>
                <w:bCs/>
                <w:lang w:eastAsia="zh-CN"/>
              </w:rPr>
            </w:pPr>
            <w:r>
              <w:rPr>
                <w:rFonts w:eastAsia="等线"/>
                <w:b w:val="0"/>
                <w:bCs/>
                <w:color w:val="08090C"/>
                <w:sz w:val="18"/>
                <w:szCs w:val="18"/>
              </w:rPr>
              <w:t xml:space="preserve">Open-source lithium-ion battery data management </w:t>
            </w:r>
            <w:r>
              <w:rPr>
                <w:rFonts w:hint="eastAsia" w:eastAsia="等线"/>
                <w:b w:val="0"/>
                <w:bCs/>
                <w:color w:val="08090C"/>
                <w:sz w:val="18"/>
                <w:szCs w:val="18"/>
                <w:lang w:eastAsia="zh-CN"/>
              </w:rPr>
              <w:t>platform</w:t>
            </w:r>
          </w:p>
        </w:tc>
      </w:tr>
      <w:tr w14:paraId="6B4330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c>
          <w:tcPr>
            <w:tcW w:w="1985" w:type="dxa"/>
            <w:tcBorders>
              <w:top w:val="single" w:color="000000" w:sz="6" w:space="0"/>
              <w:left w:val="nil"/>
              <w:bottom w:val="single" w:color="FFFFFF" w:themeColor="background1" w:sz="18" w:space="0"/>
              <w:right w:val="nil"/>
            </w:tcBorders>
            <w:shd w:val="clear" w:color="auto" w:fill="FFFFFF"/>
            <w:vAlign w:val="center"/>
          </w:tcPr>
          <w:p w14:paraId="213D381E">
            <w:pPr>
              <w:jc w:val="both"/>
              <w:rPr>
                <w:rFonts w:eastAsia="等线" w:cs="宋体"/>
                <w:b w:val="0"/>
                <w:bCs/>
                <w:color w:val="08090C"/>
                <w:sz w:val="18"/>
                <w:szCs w:val="18"/>
              </w:rPr>
            </w:pPr>
            <w:r>
              <w:rPr>
                <w:rFonts w:eastAsia="等线"/>
                <w:b w:val="0"/>
                <w:bCs/>
                <w:color w:val="08090C"/>
                <w:sz w:val="18"/>
                <w:szCs w:val="18"/>
              </w:rPr>
              <w:t xml:space="preserve">DDSE </w:t>
            </w:r>
            <w:r>
              <w:rPr>
                <w:b w:val="0"/>
                <w:bCs/>
                <w:sz w:val="18"/>
                <w:szCs w:val="18"/>
              </w:rPr>
              <w:t>[75]</w:t>
            </w:r>
          </w:p>
        </w:tc>
        <w:tc>
          <w:tcPr>
            <w:tcW w:w="3010" w:type="dxa"/>
            <w:tcBorders>
              <w:top w:val="single" w:color="000000" w:sz="6" w:space="0"/>
              <w:left w:val="nil"/>
              <w:bottom w:val="single" w:color="FFFFFF" w:themeColor="background1" w:sz="18" w:space="0"/>
              <w:right w:val="nil"/>
            </w:tcBorders>
            <w:shd w:val="clear" w:color="auto" w:fill="FFFFFF"/>
            <w:vAlign w:val="center"/>
          </w:tcPr>
          <w:p w14:paraId="449EA44D">
            <w:pPr>
              <w:jc w:val="center"/>
              <w:rPr>
                <w:rFonts w:eastAsia="等线"/>
                <w:b w:val="0"/>
                <w:bCs/>
                <w:color w:val="08090C"/>
                <w:sz w:val="18"/>
                <w:szCs w:val="18"/>
                <w:u w:val="single"/>
              </w:rPr>
            </w:pPr>
            <w:r>
              <w:rPr>
                <w:rStyle w:val="6"/>
                <w:rFonts w:eastAsia="等线"/>
                <w:b w:val="0"/>
                <w:bCs/>
                <w:color w:val="08090C"/>
                <w:sz w:val="18"/>
                <w:szCs w:val="18"/>
              </w:rPr>
              <w:t>https://www.ddse-database.org/</w:t>
            </w:r>
          </w:p>
        </w:tc>
        <w:tc>
          <w:tcPr>
            <w:tcW w:w="3315" w:type="dxa"/>
            <w:tcBorders>
              <w:top w:val="single" w:color="000000" w:sz="6" w:space="0"/>
              <w:left w:val="nil"/>
              <w:bottom w:val="single" w:color="FFFFFF" w:themeColor="background1" w:sz="18" w:space="0"/>
              <w:right w:val="nil"/>
            </w:tcBorders>
            <w:shd w:val="clear" w:color="auto" w:fill="FFFFFF"/>
            <w:vAlign w:val="center"/>
          </w:tcPr>
          <w:p w14:paraId="1511E9CE">
            <w:pPr>
              <w:jc w:val="center"/>
              <w:rPr>
                <w:rFonts w:ascii="Arial" w:hAnsi="Arial" w:eastAsia="等线" w:cs="Arial"/>
                <w:b w:val="0"/>
                <w:bCs/>
                <w:sz w:val="22"/>
              </w:rPr>
            </w:pPr>
            <w:r>
              <w:rPr>
                <w:rFonts w:eastAsia="等线"/>
                <w:b w:val="0"/>
                <w:bCs/>
                <w:color w:val="08090C"/>
                <w:sz w:val="18"/>
                <w:szCs w:val="18"/>
              </w:rPr>
              <w:t>Dynamic database for all-solid-state batteries, with experimental solid electrolyte data for screening and performance optimization.</w:t>
            </w:r>
          </w:p>
        </w:tc>
      </w:tr>
      <w:tr w14:paraId="4A3514D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c>
          <w:tcPr>
            <w:tcW w:w="1985" w:type="dxa"/>
            <w:tcBorders>
              <w:top w:val="single" w:color="FFFFFF" w:themeColor="background1" w:sz="18" w:space="0"/>
              <w:left w:val="nil"/>
              <w:bottom w:val="nil"/>
              <w:right w:val="nil"/>
            </w:tcBorders>
            <w:vAlign w:val="center"/>
          </w:tcPr>
          <w:p w14:paraId="0BA555A3">
            <w:pPr>
              <w:jc w:val="both"/>
              <w:rPr>
                <w:rFonts w:eastAsia="等线" w:cs="宋体"/>
                <w:b w:val="0"/>
                <w:bCs/>
                <w:color w:val="08090C"/>
                <w:sz w:val="18"/>
                <w:szCs w:val="18"/>
              </w:rPr>
            </w:pPr>
            <w:r>
              <w:rPr>
                <w:rFonts w:eastAsia="等线"/>
                <w:b w:val="0"/>
                <w:bCs/>
                <w:color w:val="08090C"/>
                <w:sz w:val="18"/>
                <w:szCs w:val="18"/>
              </w:rPr>
              <w:t>OBELiX</w:t>
            </w:r>
          </w:p>
        </w:tc>
        <w:tc>
          <w:tcPr>
            <w:tcW w:w="3010" w:type="dxa"/>
            <w:tcBorders>
              <w:top w:val="single" w:color="FFFFFF" w:themeColor="background1" w:sz="18" w:space="0"/>
              <w:left w:val="nil"/>
              <w:bottom w:val="nil"/>
              <w:right w:val="nil"/>
            </w:tcBorders>
            <w:vAlign w:val="center"/>
          </w:tcPr>
          <w:p w14:paraId="60D2FCE5">
            <w:pPr>
              <w:jc w:val="center"/>
              <w:rPr>
                <w:rStyle w:val="6"/>
                <w:b w:val="0"/>
                <w:bCs/>
                <w:color w:val="08090C"/>
              </w:rPr>
            </w:pPr>
            <w:r>
              <w:rPr>
                <w:rStyle w:val="6"/>
                <w:rFonts w:eastAsia="等线"/>
                <w:b w:val="0"/>
                <w:bCs/>
                <w:color w:val="08090C"/>
                <w:sz w:val="18"/>
                <w:szCs w:val="18"/>
              </w:rPr>
              <w:t>https://github.com/NRC-Mila/OBELiX</w:t>
            </w:r>
          </w:p>
        </w:tc>
        <w:tc>
          <w:tcPr>
            <w:tcW w:w="3315" w:type="dxa"/>
            <w:tcBorders>
              <w:top w:val="single" w:color="FFFFFF" w:themeColor="background1" w:sz="18" w:space="0"/>
              <w:left w:val="nil"/>
              <w:bottom w:val="nil"/>
              <w:right w:val="nil"/>
            </w:tcBorders>
            <w:vAlign w:val="center"/>
          </w:tcPr>
          <w:p w14:paraId="193CBD41">
            <w:pPr>
              <w:jc w:val="center"/>
              <w:rPr>
                <w:b w:val="0"/>
                <w:bCs/>
              </w:rPr>
            </w:pPr>
            <w:r>
              <w:rPr>
                <w:rFonts w:eastAsia="等线"/>
                <w:b w:val="0"/>
                <w:bCs/>
                <w:color w:val="08090C"/>
                <w:sz w:val="18"/>
                <w:szCs w:val="18"/>
              </w:rPr>
              <w:t>A curated dataset of crystal structures and experimentally measured ionic conductivities for lithium solid-state electrolytes</w:t>
            </w:r>
          </w:p>
        </w:tc>
      </w:tr>
      <w:tr w14:paraId="3995D88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c>
          <w:tcPr>
            <w:tcW w:w="1985" w:type="dxa"/>
            <w:tcBorders>
              <w:top w:val="nil"/>
              <w:left w:val="nil"/>
              <w:bottom w:val="nil"/>
              <w:right w:val="nil"/>
            </w:tcBorders>
            <w:shd w:val="clear" w:color="auto" w:fill="FFFFFF"/>
            <w:vAlign w:val="center"/>
          </w:tcPr>
          <w:p w14:paraId="716D7F14">
            <w:pPr>
              <w:jc w:val="both"/>
              <w:rPr>
                <w:rFonts w:eastAsia="等线" w:cs="宋体"/>
                <w:b w:val="0"/>
                <w:bCs/>
                <w:color w:val="08090C"/>
                <w:sz w:val="18"/>
                <w:szCs w:val="18"/>
              </w:rPr>
            </w:pPr>
            <w:r>
              <w:rPr>
                <w:rFonts w:eastAsia="等线"/>
                <w:b w:val="0"/>
                <w:bCs/>
                <w:color w:val="08090C"/>
                <w:sz w:val="18"/>
                <w:szCs w:val="18"/>
              </w:rPr>
              <w:t>OC22</w:t>
            </w:r>
            <w:r>
              <w:rPr>
                <w:rFonts w:hint="eastAsia" w:eastAsia="等线"/>
                <w:b w:val="0"/>
                <w:bCs/>
                <w:color w:val="08090C"/>
                <w:sz w:val="18"/>
                <w:szCs w:val="18"/>
                <w:lang w:eastAsia="zh-CN"/>
              </w:rPr>
              <w:t xml:space="preserve"> </w:t>
            </w:r>
            <w:r>
              <w:rPr>
                <w:rFonts w:eastAsia="等线"/>
                <w:b w:val="0"/>
                <w:bCs/>
                <w:color w:val="08090C"/>
                <w:sz w:val="18"/>
                <w:szCs w:val="18"/>
                <w:lang w:eastAsia="zh-CN"/>
              </w:rPr>
              <w:t>[80]</w:t>
            </w:r>
            <w:r>
              <w:rPr>
                <w:rFonts w:hint="eastAsia"/>
                <w:b w:val="0"/>
                <w:bCs/>
                <w:sz w:val="18"/>
                <w:szCs w:val="18"/>
              </w:rPr>
              <w:fldChar w:fldCharType="begin"/>
            </w:r>
            <w:r>
              <w:rPr>
                <w:rFonts w:eastAsia="等线"/>
                <w:b w:val="0"/>
                <w:bCs/>
                <w:color w:val="08090C"/>
                <w:sz w:val="18"/>
                <w:szCs w:val="18"/>
              </w:rPr>
              <w:instrText xml:space="preserve"> ADDIN ZOTERO_ITEM CSL_CITATION {"citationID":"zCbGP9A2","properties":{"formattedCitation":"\\super 11\\nosupersub{}","plainCitation":"11","dontUpdate":true,"noteIndex":0},"citationItems":[{"id":"f7E0yMkP/vqJkOBd3","uris":["http://zotero.org/users/local/mzvUEDlV/items/S4WWJUUP"],"itemData":{"id":225,"type":"article-journal","abstract":"The development of machine learning models for electrocatalysts requires a broad set of training data to enable their use across a wide variety of materials. One class of materials that currently lacks sufficient training data is oxides, which are critical for the development of Oxygen Evolution Reaction (OER) catalysts. To address this, we developed the Open Catalyst 2022 (OC22) dataset, consisting of 62,331 Density Functional Theory (DFT) relaxations (</w:instrText>
            </w:r>
            <w:r>
              <w:rPr>
                <w:rFonts w:ascii="Cambria Math" w:hAnsi="Cambria Math" w:eastAsia="等线" w:cs="Cambria Math"/>
                <w:b w:val="0"/>
                <w:bCs/>
                <w:color w:val="08090C"/>
                <w:sz w:val="18"/>
                <w:szCs w:val="18"/>
              </w:rPr>
              <w:instrText xml:space="preserve">∼</w:instrText>
            </w:r>
            <w:r>
              <w:rPr>
                <w:rFonts w:eastAsia="等线"/>
                <w:b w:val="0"/>
                <w:bCs/>
                <w:color w:val="08090C"/>
                <w:sz w:val="18"/>
                <w:szCs w:val="18"/>
              </w:rPr>
              <w:instrText xml:space="preserve">9,854,504 single point calculations) across a range of oxide materials, coverages, and adsorbates. We define generalized total energy tasks that enable property prediction beyond adsorption energies; we test baseline performance of several graph neural networks; and we provide predefined dataset splits to establish clear benchmarks for future efforts. In the most general task, GemNet-OC sees a </w:instrText>
            </w:r>
            <w:r>
              <w:rPr>
                <w:rFonts w:ascii="Cambria Math" w:hAnsi="Cambria Math" w:eastAsia="等线" w:cs="Cambria Math"/>
                <w:b w:val="0"/>
                <w:bCs/>
                <w:color w:val="08090C"/>
                <w:sz w:val="18"/>
                <w:szCs w:val="18"/>
              </w:rPr>
              <w:instrText xml:space="preserve">∼</w:instrText>
            </w:r>
            <w:r>
              <w:rPr>
                <w:rFonts w:eastAsia="等线"/>
                <w:b w:val="0"/>
                <w:bCs/>
                <w:color w:val="08090C"/>
                <w:sz w:val="18"/>
                <w:szCs w:val="18"/>
              </w:rPr>
              <w:instrText xml:space="preserve">36% improvement in energy predictions when combining the chemically dissimilar Open Catalyst 2020 Data set (OC20) and OC22 datasets via fine-tuning. Similarly, we achieved a </w:instrText>
            </w:r>
            <w:r>
              <w:rPr>
                <w:rFonts w:ascii="Cambria Math" w:hAnsi="Cambria Math" w:eastAsia="等线" w:cs="Cambria Math"/>
                <w:b w:val="0"/>
                <w:bCs/>
                <w:color w:val="08090C"/>
                <w:sz w:val="18"/>
                <w:szCs w:val="18"/>
              </w:rPr>
              <w:instrText xml:space="preserve">∼</w:instrText>
            </w:r>
            <w:r>
              <w:rPr>
                <w:rFonts w:eastAsia="等线"/>
                <w:b w:val="0"/>
                <w:bCs/>
                <w:color w:val="08090C"/>
                <w:sz w:val="18"/>
                <w:szCs w:val="18"/>
              </w:rPr>
              <w:instrText xml:space="preserve">19% improvement in total energy predictions on OC20 and a </w:instrText>
            </w:r>
            <w:r>
              <w:rPr>
                <w:rFonts w:ascii="Cambria Math" w:hAnsi="Cambria Math" w:eastAsia="等线" w:cs="Cambria Math"/>
                <w:b w:val="0"/>
                <w:bCs/>
                <w:color w:val="08090C"/>
                <w:sz w:val="18"/>
                <w:szCs w:val="18"/>
              </w:rPr>
              <w:instrText xml:space="preserve">∼</w:instrText>
            </w:r>
            <w:r>
              <w:rPr>
                <w:rFonts w:eastAsia="等线"/>
                <w:b w:val="0"/>
                <w:bCs/>
                <w:color w:val="08090C"/>
                <w:sz w:val="18"/>
                <w:szCs w:val="18"/>
              </w:rPr>
              <w:instrText xml:space="preserve">9% improvement in force predictions in OC22 when using joint training. We demonstrate the practical utility of a top performing model by capturing literature adsorption energies and important OER scaling relationships. We expect OC22 to provide an important benchmark for models seeking to incorporate intricate long-range electrostatic and magnetic interactions in oxide surfaces. Data set and baseline models are open sourced, and a public leaderboard is available to encourage continued community developments on the total energy tasks and data.","container-title":"ACS Catalysis","DOI":"10.1021/acscatal.2c05426","ISSN":"2155-5435, 2155-5435","issue":"5","journalAbbreviation":"ACS Catal.","language":"en","license":"https://doi.org/10.15223/policy-029","page":"3066-3084","source":"DOI.org (Crossref)","title":"The Open Catalyst 2022 (OC22) Dataset and Challenges for Oxide Electrocatalysts","volume":"13","author":[{"family":"Tran","given":"Richard"},{"family":"Lan","given":"Janice"},{"family":"Shuaibi","given":"Muhammed"},{"family":"Wood","given":"Brandon M."},{"family":"Goyal","given":"Siddharth"},{"family":"Das","given":"Abhishek"},{"family":"Heras-Domingo","given":"Javier"},{"family":"Kolluru","given":"Adeesh"},{"family":"Rizvi","given":"Ammar"},{"family":"Shoghi","given":"Nima"},{"family":"Sriram","given":"Anuroop"},{"family":"Therrien","given":"Félix"},{"family":"Abed","given":"Jehad"},{"family":"Voznyy","given":"Oleksandr"},{"family":"Sargent","given":"Edward H."},{"family":"Ulissi","given":"Zachary"},{"family":"Zitnick","given":"C. Lawrence"}],"issued":{"date-parts":[["2023",3,3]]}}},{"id":208,"uris":["http://zotero.org/users/17527048/items/4QQJGR67"],"itemData":{"id":208,"type":"article-journal","abstract":"The development of machine learning models for electrocatalysts requires a broad set of training data to enable their use across a wide variety of materials. One class of materials that currently lacks sufficient training data is oxides, which are critical for the development of Oxygen Evolution Reaction (OER) catalysts. To address this, we developed the Open Catalyst 2022 (OC22) dataset, consisting of 62,331 Density Functional Theory (DFT) relaxations (</w:instrText>
            </w:r>
            <w:r>
              <w:rPr>
                <w:rFonts w:ascii="Cambria Math" w:hAnsi="Cambria Math" w:eastAsia="等线" w:cs="Cambria Math"/>
                <w:b w:val="0"/>
                <w:bCs/>
                <w:color w:val="08090C"/>
                <w:sz w:val="18"/>
                <w:szCs w:val="18"/>
              </w:rPr>
              <w:instrText xml:space="preserve">∼</w:instrText>
            </w:r>
            <w:r>
              <w:rPr>
                <w:rFonts w:eastAsia="等线"/>
                <w:b w:val="0"/>
                <w:bCs/>
                <w:color w:val="08090C"/>
                <w:sz w:val="18"/>
                <w:szCs w:val="18"/>
              </w:rPr>
              <w:instrText xml:space="preserve">9,854,504 single point calculations) across a range of oxide materials, coverages, and adsorbates. We define generalized total energy tasks that enable property prediction beyond adsorption energies; we test baseline performance of several graph neural networks; and we provide predefined dataset splits to establish clear benchmarks for future efforts. In the most general task, GemNet-OC sees a </w:instrText>
            </w:r>
            <w:r>
              <w:rPr>
                <w:rFonts w:ascii="Cambria Math" w:hAnsi="Cambria Math" w:eastAsia="等线" w:cs="Cambria Math"/>
                <w:b w:val="0"/>
                <w:bCs/>
                <w:color w:val="08090C"/>
                <w:sz w:val="18"/>
                <w:szCs w:val="18"/>
              </w:rPr>
              <w:instrText xml:space="preserve">∼</w:instrText>
            </w:r>
            <w:r>
              <w:rPr>
                <w:rFonts w:eastAsia="等线"/>
                <w:b w:val="0"/>
                <w:bCs/>
                <w:color w:val="08090C"/>
                <w:sz w:val="18"/>
                <w:szCs w:val="18"/>
              </w:rPr>
              <w:instrText xml:space="preserve">36% improvement in energy predictions when combining the chemically dissimilar Open Catalyst 2020 Data set (OC20) and OC22 datasets via fine-tuning. Similarly, we achieved a </w:instrText>
            </w:r>
            <w:r>
              <w:rPr>
                <w:rFonts w:ascii="Cambria Math" w:hAnsi="Cambria Math" w:eastAsia="等线" w:cs="Cambria Math"/>
                <w:b w:val="0"/>
                <w:bCs/>
                <w:color w:val="08090C"/>
                <w:sz w:val="18"/>
                <w:szCs w:val="18"/>
              </w:rPr>
              <w:instrText xml:space="preserve">∼</w:instrText>
            </w:r>
            <w:r>
              <w:rPr>
                <w:rFonts w:eastAsia="等线"/>
                <w:b w:val="0"/>
                <w:bCs/>
                <w:color w:val="08090C"/>
                <w:sz w:val="18"/>
                <w:szCs w:val="18"/>
              </w:rPr>
              <w:instrText xml:space="preserve">19% improvement in total energy predictions on OC20 and a </w:instrText>
            </w:r>
            <w:r>
              <w:rPr>
                <w:rFonts w:ascii="Cambria Math" w:hAnsi="Cambria Math" w:eastAsia="等线" w:cs="Cambria Math"/>
                <w:b w:val="0"/>
                <w:bCs/>
                <w:color w:val="08090C"/>
                <w:sz w:val="18"/>
                <w:szCs w:val="18"/>
              </w:rPr>
              <w:instrText xml:space="preserve">∼</w:instrText>
            </w:r>
            <w:r>
              <w:rPr>
                <w:rFonts w:eastAsia="等线"/>
                <w:b w:val="0"/>
                <w:bCs/>
                <w:color w:val="08090C"/>
                <w:sz w:val="18"/>
                <w:szCs w:val="18"/>
              </w:rPr>
              <w:instrText xml:space="preserve">9% improvement in force predictions in OC22 when using joint training. We demonstrate the practical utility of a top performing model by capturing literature adsorption energies and important OER scaling relationships. We expect OC22 to provide an important benchmark for models seeking to incorporate intricate long-range electrostatic and magnetic interactions in oxide surfaces. Data set and baseline models are open sourced, and a public leaderboard is available to encourage continued community developments on the total energy tasks and data.","container-title":"ACS Catalysis","DOI":"10.1021/acscatal.2c05426","ISSN":"2155-5435, 2155-5435","issue":"5","journalAbbreviation":"ACS Catal.","language":"en","license":"https://doi.org/10.15223/policy-029","page":"3066-3084","source":"DOI.org (Crossref)","title":"The Open Catalyst 2022 (OC22) Dataset and Challenges for Oxide Electrocatalysts","volume":"13","author":[{"family":"Tran","given":"Richard"},{"family":"Lan","given":"Janice"},{"family":"Shuaibi","given":"Muhammed"},{"family":"Wood","given":"Brandon M."},{"family":"Goyal","given":"Siddharth"},{"family":"Das","given":"Abhishek"},{"family":"Heras-Domingo","given":"Javier"},{"family":"Kolluru","given":"Adeesh"},{"family":"Rizvi","given":"Ammar"},{"family":"Shoghi","given":"Nima"},{"family":"Sriram","given":"Anuroop"},{"family":"Therrien","given":"Félix"},{"family":"Abed","given":"Jehad"},{"family":"Voznyy","given":"Oleksandr"},{"family":"Sargent","given":"Edward H."},{"family":"Ulissi","given":"Zachary"},{"family":"Zitnick","given":"C. Lawrence"}],"issued":{"date-parts":[["2023",3,3]]}}}],"schema":"https://github.com/citation-style-language/schema/raw/master/csl-citation.json"} </w:instrText>
            </w:r>
            <w:r>
              <w:rPr>
                <w:rFonts w:hint="eastAsia"/>
                <w:b w:val="0"/>
                <w:bCs/>
                <w:sz w:val="18"/>
                <w:szCs w:val="18"/>
              </w:rPr>
              <w:fldChar w:fldCharType="end"/>
            </w:r>
          </w:p>
        </w:tc>
        <w:tc>
          <w:tcPr>
            <w:tcW w:w="3010" w:type="dxa"/>
            <w:tcBorders>
              <w:top w:val="nil"/>
              <w:left w:val="nil"/>
              <w:bottom w:val="nil"/>
              <w:right w:val="nil"/>
            </w:tcBorders>
            <w:shd w:val="clear" w:color="auto" w:fill="FFFFFF"/>
            <w:vAlign w:val="center"/>
          </w:tcPr>
          <w:p w14:paraId="10B10F97">
            <w:pPr>
              <w:jc w:val="center"/>
              <w:rPr>
                <w:rFonts w:eastAsia="等线"/>
                <w:b w:val="0"/>
                <w:bCs/>
                <w:color w:val="08090C"/>
                <w:sz w:val="18"/>
                <w:szCs w:val="18"/>
                <w:u w:val="single"/>
              </w:rPr>
            </w:pPr>
            <w:r>
              <w:rPr>
                <w:rStyle w:val="6"/>
                <w:rFonts w:eastAsia="等线"/>
                <w:b w:val="0"/>
                <w:bCs/>
                <w:color w:val="08090C"/>
                <w:sz w:val="18"/>
                <w:szCs w:val="18"/>
              </w:rPr>
              <w:t>https://opencatalystproject.org/</w:t>
            </w:r>
          </w:p>
        </w:tc>
        <w:tc>
          <w:tcPr>
            <w:tcW w:w="3315" w:type="dxa"/>
            <w:tcBorders>
              <w:top w:val="nil"/>
              <w:left w:val="nil"/>
              <w:bottom w:val="nil"/>
              <w:right w:val="nil"/>
            </w:tcBorders>
            <w:shd w:val="clear" w:color="auto" w:fill="FFFFFF"/>
            <w:vAlign w:val="center"/>
          </w:tcPr>
          <w:p w14:paraId="73AFC7EE">
            <w:pPr>
              <w:jc w:val="center"/>
              <w:rPr>
                <w:rFonts w:eastAsia="等线"/>
                <w:b w:val="0"/>
                <w:bCs/>
                <w:color w:val="08090C"/>
                <w:sz w:val="18"/>
                <w:szCs w:val="18"/>
              </w:rPr>
            </w:pPr>
            <w:r>
              <w:rPr>
                <w:rFonts w:eastAsia="等线"/>
                <w:b w:val="0"/>
                <w:bCs/>
                <w:color w:val="08090C"/>
                <w:sz w:val="18"/>
                <w:szCs w:val="18"/>
              </w:rPr>
              <w:t>A representative dataset in materials science (aligned with the data-driven paradigm) that supports academic research and industrial practice in the field.</w:t>
            </w:r>
          </w:p>
        </w:tc>
      </w:tr>
      <w:tr w14:paraId="680AA25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c>
          <w:tcPr>
            <w:tcW w:w="1985" w:type="dxa"/>
            <w:tcBorders>
              <w:top w:val="nil"/>
              <w:left w:val="nil"/>
              <w:bottom w:val="nil"/>
              <w:right w:val="nil"/>
            </w:tcBorders>
            <w:shd w:val="clear" w:color="auto" w:fill="FFFFFF"/>
            <w:vAlign w:val="center"/>
          </w:tcPr>
          <w:p w14:paraId="44A01EE3">
            <w:pPr>
              <w:jc w:val="both"/>
              <w:rPr>
                <w:rFonts w:eastAsia="等线" w:cs="宋体"/>
                <w:b w:val="0"/>
                <w:bCs/>
                <w:color w:val="08090C"/>
                <w:sz w:val="18"/>
                <w:szCs w:val="18"/>
              </w:rPr>
            </w:pPr>
            <w:r>
              <w:rPr>
                <w:rFonts w:eastAsia="等线"/>
                <w:b w:val="0"/>
                <w:bCs/>
                <w:color w:val="08090C"/>
                <w:sz w:val="18"/>
                <w:szCs w:val="18"/>
              </w:rPr>
              <w:t xml:space="preserve">QMOF </w:t>
            </w:r>
            <w:r>
              <w:rPr>
                <w:b w:val="0"/>
                <w:bCs/>
                <w:sz w:val="18"/>
                <w:szCs w:val="18"/>
              </w:rPr>
              <w:t>[81]</w:t>
            </w:r>
          </w:p>
        </w:tc>
        <w:tc>
          <w:tcPr>
            <w:tcW w:w="3010" w:type="dxa"/>
            <w:tcBorders>
              <w:top w:val="nil"/>
              <w:left w:val="nil"/>
              <w:bottom w:val="nil"/>
              <w:right w:val="nil"/>
            </w:tcBorders>
            <w:shd w:val="clear" w:color="auto" w:fill="FFFFFF"/>
            <w:vAlign w:val="center"/>
          </w:tcPr>
          <w:p w14:paraId="4DCDC9A0">
            <w:pPr>
              <w:jc w:val="center"/>
              <w:rPr>
                <w:rFonts w:eastAsia="等线"/>
                <w:b w:val="0"/>
                <w:bCs/>
                <w:color w:val="08090C"/>
                <w:sz w:val="18"/>
                <w:szCs w:val="18"/>
                <w:u w:val="single"/>
              </w:rPr>
            </w:pPr>
            <w:r>
              <w:rPr>
                <w:rStyle w:val="6"/>
                <w:rFonts w:eastAsia="等线"/>
                <w:b w:val="0"/>
                <w:bCs/>
                <w:color w:val="08090C"/>
                <w:sz w:val="18"/>
                <w:szCs w:val="18"/>
              </w:rPr>
              <w:t>https://github.com/arosen93/QMOF</w:t>
            </w:r>
          </w:p>
        </w:tc>
        <w:tc>
          <w:tcPr>
            <w:tcW w:w="3315" w:type="dxa"/>
            <w:tcBorders>
              <w:top w:val="nil"/>
              <w:left w:val="nil"/>
              <w:bottom w:val="nil"/>
              <w:right w:val="nil"/>
            </w:tcBorders>
            <w:shd w:val="clear" w:color="auto" w:fill="FFFFFF"/>
            <w:vAlign w:val="center"/>
          </w:tcPr>
          <w:p w14:paraId="6ABCCCD3">
            <w:pPr>
              <w:jc w:val="center"/>
              <w:rPr>
                <w:rFonts w:ascii="Arial" w:hAnsi="Arial" w:eastAsia="等线" w:cs="Arial"/>
                <w:b w:val="0"/>
                <w:bCs/>
                <w:sz w:val="22"/>
              </w:rPr>
            </w:pPr>
            <w:r>
              <w:rPr>
                <w:rFonts w:eastAsia="等线"/>
                <w:b w:val="0"/>
                <w:bCs/>
                <w:color w:val="08090C"/>
                <w:sz w:val="18"/>
                <w:szCs w:val="18"/>
              </w:rPr>
              <w:t>MOF-focused database (22,000+ MOFs) for gas adsorption research and potential use in solid electrolytes/coatings.</w:t>
            </w:r>
          </w:p>
        </w:tc>
      </w:tr>
      <w:tr w14:paraId="3BB79E92">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c>
          <w:tcPr>
            <w:tcW w:w="1985" w:type="dxa"/>
            <w:tcBorders>
              <w:top w:val="nil"/>
              <w:left w:val="nil"/>
              <w:bottom w:val="nil"/>
              <w:right w:val="nil"/>
            </w:tcBorders>
            <w:shd w:val="clear" w:color="auto" w:fill="FFFFFF"/>
            <w:vAlign w:val="center"/>
          </w:tcPr>
          <w:p w14:paraId="7B033F84">
            <w:pPr>
              <w:jc w:val="both"/>
              <w:rPr>
                <w:rFonts w:eastAsia="等线" w:cs="宋体"/>
                <w:b w:val="0"/>
                <w:bCs/>
                <w:color w:val="08090C"/>
                <w:sz w:val="18"/>
                <w:szCs w:val="18"/>
              </w:rPr>
            </w:pPr>
            <w:r>
              <w:rPr>
                <w:rFonts w:eastAsia="等线"/>
                <w:b w:val="0"/>
                <w:bCs/>
                <w:color w:val="08090C"/>
                <w:sz w:val="18"/>
                <w:szCs w:val="18"/>
              </w:rPr>
              <w:t xml:space="preserve">MatKG </w:t>
            </w:r>
            <w:r>
              <w:rPr>
                <w:rFonts w:hint="eastAsia"/>
                <w:b w:val="0"/>
                <w:bCs/>
                <w:sz w:val="18"/>
                <w:szCs w:val="18"/>
              </w:rPr>
              <w:fldChar w:fldCharType="begin"/>
            </w:r>
            <w:r>
              <w:rPr>
                <w:rFonts w:eastAsia="等线"/>
                <w:b w:val="0"/>
                <w:bCs/>
                <w:color w:val="08090C"/>
                <w:sz w:val="18"/>
                <w:szCs w:val="18"/>
              </w:rPr>
              <w:instrText xml:space="preserve"> ADDIN ZOTERO_ITEM CSL_CITATION {"citationID":"AaYIwQoj","properties":{"formattedCitation":"({\\i{}84})","plainCitation":"(84)","noteIndex":0},"citationItems":[{"id":275,"uris":["http://zotero.org/users/17527048/items/VALHHXSU"],"itemData":{"id":275,"type":"article-journal","abstract":"Abstract\n            In this paper, we present MatKG, a knowledge graph in materials science that offers a repository of entities and relationships extracted from scientific literature. Using advanced natural language processing techniques, MatKG includes an array of entities, including materials, properties, applications, characterization and synthesis methods, descriptors, and symmetry phase labels. The graph is formulated based on statistical metrics, encompassing over 70,000 entities and 5.4 million unique triples. To enhance accessibility and utility, we have serialized MatKG in both CSV and RDF formats and made these, along with the code base, available to the research community. As the largest knowledge graph in materials science to date, MatKG provides structured organization of domain-specific data. Its deployment holds promise for various applications, including material discovery, recommendation systems, and advanced analytics.","container-title":"Scientific Data","DOI":"10.1038/s41597-024-03039-z","ISSN":"2052-4463","issue":"1","journalAbbreviation":"Sci Data","language":"en","page":"217","source":"DOI.org (Crossref)","title":"MatKG: An autonomously generated knowledge graph in Material Science","title-short":"MatKG","volume":"11","author":[{"family":"Venugopal","given":"Vineeth"},{"family":"Olivetti","given":"Elsa"}],"issued":{"date-parts":[["2024",2,17]]}}}],"schema":"https://github.com/citation-style-language/schema/raw/master/csl-citation.json"} </w:instrText>
            </w:r>
            <w:r>
              <w:rPr>
                <w:rFonts w:hint="eastAsia"/>
                <w:b w:val="0"/>
                <w:bCs/>
                <w:sz w:val="18"/>
                <w:szCs w:val="18"/>
              </w:rPr>
              <w:fldChar w:fldCharType="separate"/>
            </w:r>
            <w:r>
              <w:rPr>
                <w:b w:val="0"/>
                <w:bCs/>
                <w:sz w:val="18"/>
                <w:szCs w:val="18"/>
              </w:rPr>
              <w:t>[82]</w:t>
            </w:r>
            <w:r>
              <w:rPr>
                <w:rFonts w:hint="eastAsia"/>
                <w:b w:val="0"/>
                <w:bCs/>
                <w:sz w:val="18"/>
                <w:szCs w:val="18"/>
              </w:rPr>
              <w:fldChar w:fldCharType="end"/>
            </w:r>
          </w:p>
        </w:tc>
        <w:tc>
          <w:tcPr>
            <w:tcW w:w="3010" w:type="dxa"/>
            <w:tcBorders>
              <w:top w:val="nil"/>
              <w:left w:val="nil"/>
              <w:bottom w:val="nil"/>
              <w:right w:val="nil"/>
            </w:tcBorders>
            <w:shd w:val="clear" w:color="auto" w:fill="FFFFFF"/>
            <w:vAlign w:val="center"/>
          </w:tcPr>
          <w:p w14:paraId="46A8AF93">
            <w:pPr>
              <w:jc w:val="center"/>
              <w:rPr>
                <w:rFonts w:eastAsia="等线"/>
                <w:b w:val="0"/>
                <w:bCs/>
                <w:color w:val="08090C"/>
                <w:sz w:val="18"/>
                <w:szCs w:val="18"/>
                <w:u w:val="single"/>
              </w:rPr>
            </w:pPr>
            <w:r>
              <w:rPr>
                <w:rStyle w:val="6"/>
                <w:rFonts w:eastAsia="等线"/>
                <w:b w:val="0"/>
                <w:bCs/>
                <w:color w:val="08090C"/>
                <w:sz w:val="18"/>
                <w:szCs w:val="18"/>
              </w:rPr>
              <w:t>https://arxiv.org/abs/2410.12771</w:t>
            </w:r>
          </w:p>
        </w:tc>
        <w:tc>
          <w:tcPr>
            <w:tcW w:w="3315" w:type="dxa"/>
            <w:tcBorders>
              <w:top w:val="nil"/>
              <w:left w:val="nil"/>
              <w:bottom w:val="nil"/>
              <w:right w:val="nil"/>
            </w:tcBorders>
            <w:shd w:val="clear" w:color="auto" w:fill="FFFFFF"/>
            <w:vAlign w:val="center"/>
          </w:tcPr>
          <w:p w14:paraId="506487B9">
            <w:pPr>
              <w:jc w:val="center"/>
              <w:rPr>
                <w:rFonts w:ascii="Arial" w:hAnsi="Arial" w:eastAsia="等线" w:cs="Arial"/>
                <w:b w:val="0"/>
                <w:bCs/>
                <w:sz w:val="22"/>
              </w:rPr>
            </w:pPr>
            <w:r>
              <w:rPr>
                <w:rFonts w:eastAsia="等线"/>
                <w:b w:val="0"/>
                <w:bCs/>
                <w:color w:val="08090C"/>
                <w:sz w:val="18"/>
                <w:szCs w:val="18"/>
              </w:rPr>
              <w:t>Largest materials science knowledge graph (70k+ entities), offering structured data for material discovery and analysis.</w:t>
            </w:r>
          </w:p>
        </w:tc>
      </w:tr>
      <w:tr w14:paraId="57B90E2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710" w:hRule="atLeast"/>
        </w:trPr>
        <w:tc>
          <w:tcPr>
            <w:tcW w:w="1985" w:type="dxa"/>
            <w:tcBorders>
              <w:top w:val="nil"/>
              <w:left w:val="nil"/>
              <w:bottom w:val="nil"/>
              <w:right w:val="nil"/>
            </w:tcBorders>
            <w:shd w:val="clear" w:color="auto" w:fill="FFFFFF"/>
            <w:vAlign w:val="center"/>
          </w:tcPr>
          <w:p w14:paraId="0E4B2321">
            <w:pPr>
              <w:jc w:val="both"/>
              <w:rPr>
                <w:rFonts w:eastAsia="等线" w:cs="宋体"/>
                <w:b w:val="0"/>
                <w:bCs/>
                <w:color w:val="08090C"/>
                <w:sz w:val="18"/>
                <w:szCs w:val="18"/>
              </w:rPr>
            </w:pPr>
            <w:bookmarkStart w:id="2" w:name="_Hlk215500355"/>
            <w:r>
              <w:rPr>
                <w:rFonts w:eastAsia="等线"/>
                <w:b w:val="0"/>
                <w:bCs/>
                <w:color w:val="08090C"/>
                <w:sz w:val="18"/>
                <w:szCs w:val="18"/>
              </w:rPr>
              <w:t xml:space="preserve">OMat24 </w:t>
            </w:r>
            <w:r>
              <w:rPr>
                <w:rFonts w:hint="eastAsia"/>
                <w:b w:val="0"/>
                <w:bCs/>
                <w:sz w:val="18"/>
                <w:szCs w:val="18"/>
              </w:rPr>
              <w:fldChar w:fldCharType="begin"/>
            </w:r>
            <w:r>
              <w:rPr>
                <w:rFonts w:eastAsia="等线"/>
                <w:b w:val="0"/>
                <w:bCs/>
                <w:color w:val="08090C"/>
                <w:sz w:val="18"/>
                <w:szCs w:val="18"/>
              </w:rPr>
              <w:instrText xml:space="preserve"> ADDIN ZOTERO_ITEM CSL_CITATION {"citationID":"AaYIwQoj","properties":{"formattedCitation":"({\\i{}84})","plainCitation":"(84)","noteIndex":0},"citationItems":[{"id":275,"uris":["http://zotero.org/users/17527048/items/VALHHXSU"],"itemData":{"id":275,"type":"article-journal","abstract":"Abstract\n            In this paper, we present MatKG, a knowledge graph in materials science that offers a repository of entities and relationships extracted from scientific literature. Using advanced natural language processing techniques, MatKG includes an array of entities, including materials, properties, applications, characterization and synthesis methods, descriptors, and symmetry phase labels. The graph is formulated based on statistical metrics, encompassing over 70,000 entities and 5.4 million unique triples. To enhance accessibility and utility, we have serialized MatKG in both CSV and RDF formats and made these, along with the code base, available to the research community. As the largest knowledge graph in materials science to date, MatKG provides structured organization of domain-specific data. Its deployment holds promise for various applications, including material discovery, recommendation systems, and advanced analytics.","container-title":"Scientific Data","DOI":"10.1038/s41597-024-03039-z","ISSN":"2052-4463","issue":"1","journalAbbreviation":"Sci Data","language":"en","page":"217","source":"DOI.org (Crossref)","title":"MatKG: An autonomously generated knowledge graph in Material Science","title-short":"MatKG","volume":"11","author":[{"family":"Venugopal","given":"Vineeth"},{"family":"Olivetti","given":"Elsa"}],"issued":{"date-parts":[["2024",2,17]]}}}],"schema":"https://github.com/citation-style-language/schema/raw/master/csl-citation.json"} </w:instrText>
            </w:r>
            <w:r>
              <w:rPr>
                <w:rFonts w:hint="eastAsia"/>
                <w:b w:val="0"/>
                <w:bCs/>
                <w:sz w:val="18"/>
                <w:szCs w:val="18"/>
              </w:rPr>
              <w:fldChar w:fldCharType="separate"/>
            </w:r>
            <w:r>
              <w:rPr>
                <w:b w:val="0"/>
                <w:bCs/>
                <w:sz w:val="18"/>
                <w:szCs w:val="18"/>
              </w:rPr>
              <w:t>[83]</w:t>
            </w:r>
            <w:r>
              <w:rPr>
                <w:rFonts w:hint="eastAsia"/>
                <w:b w:val="0"/>
                <w:bCs/>
                <w:sz w:val="18"/>
                <w:szCs w:val="18"/>
              </w:rPr>
              <w:fldChar w:fldCharType="end"/>
            </w:r>
          </w:p>
        </w:tc>
        <w:tc>
          <w:tcPr>
            <w:tcW w:w="3010" w:type="dxa"/>
            <w:tcBorders>
              <w:top w:val="nil"/>
              <w:left w:val="nil"/>
              <w:bottom w:val="nil"/>
              <w:right w:val="nil"/>
            </w:tcBorders>
            <w:shd w:val="clear" w:color="auto" w:fill="FFFFFF"/>
            <w:vAlign w:val="center"/>
          </w:tcPr>
          <w:p w14:paraId="738F6587">
            <w:pPr>
              <w:jc w:val="center"/>
              <w:rPr>
                <w:rFonts w:eastAsia="等线"/>
                <w:b w:val="0"/>
                <w:bCs/>
                <w:color w:val="08090C"/>
                <w:sz w:val="18"/>
                <w:szCs w:val="18"/>
                <w:u w:val="single"/>
              </w:rPr>
            </w:pPr>
            <w:r>
              <w:rPr>
                <w:rStyle w:val="6"/>
                <w:rFonts w:eastAsia="等线"/>
                <w:b w:val="0"/>
                <w:bCs/>
                <w:color w:val="08090C"/>
                <w:sz w:val="18"/>
                <w:szCs w:val="18"/>
              </w:rPr>
              <w:t>https://huggingface.co/datasets/fairchem/OMAT24</w:t>
            </w:r>
          </w:p>
        </w:tc>
        <w:tc>
          <w:tcPr>
            <w:tcW w:w="3315" w:type="dxa"/>
            <w:tcBorders>
              <w:top w:val="nil"/>
              <w:left w:val="nil"/>
              <w:bottom w:val="nil"/>
              <w:right w:val="nil"/>
            </w:tcBorders>
            <w:shd w:val="clear" w:color="auto" w:fill="FFFFFF"/>
            <w:vAlign w:val="center"/>
          </w:tcPr>
          <w:p w14:paraId="5F36E341">
            <w:pPr>
              <w:jc w:val="center"/>
              <w:rPr>
                <w:rFonts w:eastAsia="等线"/>
                <w:b w:val="0"/>
                <w:bCs/>
                <w:color w:val="08090C"/>
                <w:sz w:val="18"/>
                <w:szCs w:val="18"/>
              </w:rPr>
            </w:pPr>
            <w:r>
              <w:rPr>
                <w:rFonts w:eastAsia="等线"/>
                <w:b w:val="0"/>
                <w:bCs/>
                <w:color w:val="08090C"/>
                <w:sz w:val="18"/>
                <w:szCs w:val="18"/>
              </w:rPr>
              <w:t>Meta’s 2024 database (118M non-equilibrium structures) for battery electrode material screening and mechanism exploration.</w:t>
            </w:r>
          </w:p>
        </w:tc>
      </w:tr>
      <w:tr w14:paraId="013949C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0" w:type="dxa"/>
            <w:bottom w:w="0" w:type="dxa"/>
            <w:right w:w="0" w:type="dxa"/>
          </w:tblCellMar>
        </w:tblPrEx>
        <w:trPr>
          <w:trHeight w:val="710" w:hRule="atLeast"/>
        </w:trPr>
        <w:tc>
          <w:tcPr>
            <w:tcW w:w="1985" w:type="dxa"/>
            <w:tcBorders>
              <w:top w:val="nil"/>
              <w:left w:val="nil"/>
              <w:bottom w:val="single" w:color="auto" w:sz="4" w:space="0"/>
              <w:right w:val="nil"/>
            </w:tcBorders>
            <w:shd w:val="clear" w:color="auto" w:fill="FFFFFF"/>
            <w:vAlign w:val="center"/>
          </w:tcPr>
          <w:p w14:paraId="7160CA54">
            <w:pPr>
              <w:jc w:val="both"/>
              <w:rPr>
                <w:rFonts w:eastAsia="等线" w:cs="宋体"/>
                <w:b w:val="0"/>
                <w:bCs/>
                <w:color w:val="08090C"/>
                <w:sz w:val="18"/>
                <w:szCs w:val="18"/>
              </w:rPr>
            </w:pPr>
            <w:r>
              <w:rPr>
                <w:rFonts w:eastAsia="等线"/>
                <w:b w:val="0"/>
                <w:bCs/>
                <w:color w:val="08090C"/>
                <w:sz w:val="18"/>
                <w:szCs w:val="18"/>
              </w:rPr>
              <w:t xml:space="preserve">DigCat </w:t>
            </w:r>
            <w:r>
              <w:rPr>
                <w:rFonts w:hint="eastAsia"/>
                <w:b w:val="0"/>
                <w:bCs/>
                <w:sz w:val="18"/>
                <w:szCs w:val="18"/>
              </w:rPr>
              <w:fldChar w:fldCharType="begin"/>
            </w:r>
            <w:r>
              <w:rPr>
                <w:b w:val="0"/>
                <w:bCs/>
                <w:sz w:val="18"/>
                <w:szCs w:val="18"/>
              </w:rPr>
              <w:instrText xml:space="preserve"> ADDIN ZOTERO_ITEM CSL_CITATION {"citationID":"AaYIwQoj","properties":{"formattedCitation":"({\\i{}84})","plainCitation":"(84)","noteIndex":0},"citationItems":[{"id":275,"uris":["http://zotero.org/users/17527048/items/VALHHXSU"],"itemData":{"id":275,"type":"article-journal","abstract":"Abstract\n            In this paper, we present MatKG, a knowledge graph in materials science that offers a repository of entities and relationships extracted from scientific literature. Using advanced natural language processing techniques, MatKG includes an array of entities, including materials, properties, applications, characterization and synthesis methods, descriptors, and symmetry phase labels. The graph is formulated based on statistical metrics, encompassing over 70,000 entities and 5.4 million unique triples. To enhance accessibility and utility, we have serialized MatKG in both CSV and RDF formats and made these, along with the code base, available to the research community. As the largest knowledge graph in materials science to date, MatKG provides structured organization of domain-specific data. Its deployment holds promise for various applications, including material discovery, recommendation systems, and advanced analytics.","container-title":"Scientific Data","DOI":"10.1038/s41597-024-03039-z","ISSN":"2052-4463","issue":"1","journalAbbreviation":"Sci Data","language":"en","page":"217","source":"DOI.org (Crossref)","title":"MatKG: An autonomously generated knowledge graph in Material Science","title-short":"MatKG","volume":"11","author":[{"family":"Venugopal","given":"Vineeth"},{"family":"Olivetti","given":"Elsa"}],"issued":{"date-parts":[["2024",2,17]]}}}],"schema":"https://github.com/citation-style-language/schema/raw/master/csl-citation.json"} </w:instrText>
            </w:r>
            <w:r>
              <w:rPr>
                <w:rFonts w:hint="eastAsia"/>
                <w:b w:val="0"/>
                <w:bCs/>
                <w:sz w:val="18"/>
                <w:szCs w:val="18"/>
              </w:rPr>
              <w:fldChar w:fldCharType="separate"/>
            </w:r>
            <w:r>
              <w:rPr>
                <w:b w:val="0"/>
                <w:bCs/>
                <w:sz w:val="18"/>
                <w:szCs w:val="18"/>
              </w:rPr>
              <w:t>[80]</w:t>
            </w:r>
            <w:r>
              <w:rPr>
                <w:rFonts w:hint="eastAsia"/>
                <w:b w:val="0"/>
                <w:bCs/>
                <w:sz w:val="18"/>
                <w:szCs w:val="18"/>
              </w:rPr>
              <w:fldChar w:fldCharType="end"/>
            </w:r>
          </w:p>
        </w:tc>
        <w:tc>
          <w:tcPr>
            <w:tcW w:w="3010" w:type="dxa"/>
            <w:tcBorders>
              <w:top w:val="nil"/>
              <w:left w:val="nil"/>
              <w:bottom w:val="single" w:color="auto" w:sz="4" w:space="0"/>
              <w:right w:val="nil"/>
            </w:tcBorders>
            <w:shd w:val="clear" w:color="auto" w:fill="FFFFFF"/>
            <w:vAlign w:val="center"/>
          </w:tcPr>
          <w:p w14:paraId="293EE264">
            <w:pPr>
              <w:jc w:val="center"/>
              <w:rPr>
                <w:rStyle w:val="6"/>
                <w:b w:val="0"/>
                <w:bCs/>
                <w:color w:val="08090C"/>
              </w:rPr>
            </w:pPr>
            <w:r>
              <w:rPr>
                <w:rStyle w:val="6"/>
                <w:rFonts w:eastAsia="等线"/>
                <w:b w:val="0"/>
                <w:bCs/>
                <w:color w:val="08090C"/>
                <w:sz w:val="18"/>
                <w:szCs w:val="18"/>
              </w:rPr>
              <w:t>https://www.digcat.org</w:t>
            </w:r>
          </w:p>
        </w:tc>
        <w:tc>
          <w:tcPr>
            <w:tcW w:w="3315" w:type="dxa"/>
            <w:tcBorders>
              <w:top w:val="nil"/>
              <w:left w:val="nil"/>
              <w:bottom w:val="single" w:color="auto" w:sz="4" w:space="0"/>
              <w:right w:val="nil"/>
            </w:tcBorders>
            <w:shd w:val="clear" w:color="auto" w:fill="FFFFFF"/>
            <w:vAlign w:val="center"/>
          </w:tcPr>
          <w:p w14:paraId="6C7FE321">
            <w:pPr>
              <w:jc w:val="center"/>
              <w:rPr>
                <w:b w:val="0"/>
                <w:bCs/>
              </w:rPr>
            </w:pPr>
            <w:r>
              <w:rPr>
                <w:rFonts w:eastAsia="等线"/>
                <w:b w:val="0"/>
                <w:bCs/>
                <w:color w:val="08090C"/>
                <w:sz w:val="18"/>
                <w:szCs w:val="18"/>
              </w:rPr>
              <w:t>A pioneering integration platform of big data and AI tailored for catalysis materials research</w:t>
            </w:r>
          </w:p>
        </w:tc>
      </w:tr>
      <w:bookmarkEnd w:id="1"/>
      <w:bookmarkEnd w:id="2"/>
    </w:tbl>
    <w:p w14:paraId="422F68D2">
      <w:pPr>
        <w:jc w:val="both"/>
      </w:pPr>
    </w:p>
    <w:p w14:paraId="57B36824">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6E108A"/>
    <w:rsid w:val="7E6E10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kern w:val="0"/>
      <w:sz w:val="24"/>
      <w:szCs w:val="24"/>
      <w:lang w:val="en-US" w:eastAsia="en-US"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hparagraphindent"/>
    <w:basedOn w:val="5"/>
    <w:qFormat/>
    <w:uiPriority w:val="0"/>
    <w:pPr>
      <w:ind w:firstLine="100" w:firstLineChars="100"/>
    </w:pPr>
    <w:rPr>
      <w:sz w:val="21"/>
      <w:szCs w:val="20"/>
    </w:rPr>
  </w:style>
  <w:style w:type="paragraph" w:customStyle="1" w:styleId="5">
    <w:name w:val="Base_Text"/>
    <w:qFormat/>
    <w:uiPriority w:val="0"/>
    <w:pPr>
      <w:spacing w:before="120"/>
    </w:pPr>
    <w:rPr>
      <w:rFonts w:ascii="Times New Roman" w:hAnsi="Times New Roman" w:eastAsia="宋体" w:cs="Times New Roman"/>
      <w:kern w:val="0"/>
      <w:sz w:val="24"/>
      <w:szCs w:val="24"/>
      <w:lang w:val="en-US" w:eastAsia="en-US" w:bidi="ar-SA"/>
    </w:rPr>
  </w:style>
  <w:style w:type="character" w:customStyle="1" w:styleId="6">
    <w:name w:val="15"/>
    <w:basedOn w:val="3"/>
    <w:qFormat/>
    <w:uiPriority w:val="0"/>
    <w:rPr>
      <w:rFonts w:hint="default" w:ascii="Times New Roman" w:hAnsi="Times New Roman" w:cs="Times New Roman"/>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2026-01-23T07:24:00Z</dcterms:created>
  <dc:creator>小乔流水</dc:creator>
  <cp:lastModifiedBy>小乔流水</cp:lastModifiedBy>
  <dcterms:modified xsi:type="dcterms:W3CDTF">2026-01-23T08:14:00Z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959EE72B395445DBA8C6C20DCC5D3282_11</vt:lpwstr>
  </property>
  <property fmtid="{D5CDD505-2E9C-101B-9397-08002B2CF9AE}" pid="4" name="KSOTemplateDocerSaveRecord">
    <vt:lpwstr>eyJoZGlkIjoiYTU1NjZlZjk5NDY4NzI2OWE4NzQzMTM5YWZiMzZmODgiLCJ1c2VySWQiOiI4NTAxMDEzMzgifQ==</vt:lpwstr>
  </property>
</Properties>
</file>