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9AC7A" w14:textId="77777777" w:rsidR="00CF7C6D" w:rsidRPr="00CF7C6D" w:rsidRDefault="00CF7C6D" w:rsidP="00CF7C6D">
      <w:pPr>
        <w:pBdr>
          <w:top w:val="nil"/>
          <w:left w:val="nil"/>
          <w:bottom w:val="nil"/>
          <w:right w:val="nil"/>
          <w:between w:val="nil"/>
        </w:pBdr>
        <w:spacing w:after="0" w:line="276" w:lineRule="auto"/>
        <w:jc w:val="both"/>
        <w:rPr>
          <w:b/>
          <w:color w:val="000000"/>
          <w:sz w:val="36"/>
          <w:szCs w:val="36"/>
        </w:rPr>
      </w:pPr>
      <w:r w:rsidRPr="00CF7C6D">
        <w:rPr>
          <w:b/>
          <w:color w:val="000000"/>
          <w:sz w:val="36"/>
          <w:szCs w:val="36"/>
        </w:rPr>
        <w:t>Early secondary prophylaxis</w:t>
      </w:r>
    </w:p>
    <w:p w14:paraId="3AEA8103" w14:textId="77777777" w:rsidR="00CF7C6D" w:rsidRDefault="00CF7C6D" w:rsidP="00CF7C6D">
      <w:pPr>
        <w:pBdr>
          <w:top w:val="nil"/>
          <w:left w:val="nil"/>
          <w:bottom w:val="nil"/>
          <w:right w:val="nil"/>
          <w:between w:val="nil"/>
        </w:pBdr>
        <w:spacing w:after="0" w:line="276" w:lineRule="auto"/>
        <w:ind w:firstLine="141"/>
        <w:jc w:val="both"/>
        <w:rPr>
          <w:color w:val="000000"/>
          <w:sz w:val="24"/>
          <w:szCs w:val="24"/>
        </w:rPr>
      </w:pPr>
    </w:p>
    <w:p w14:paraId="51642EE0" w14:textId="07D9BF10" w:rsidR="00CF7C6D" w:rsidRDefault="00CF7C6D" w:rsidP="00CF7C6D">
      <w:pPr>
        <w:pBdr>
          <w:top w:val="nil"/>
          <w:left w:val="nil"/>
          <w:bottom w:val="nil"/>
          <w:right w:val="nil"/>
          <w:between w:val="nil"/>
        </w:pBdr>
        <w:spacing w:after="0" w:line="276" w:lineRule="auto"/>
        <w:ind w:firstLine="141"/>
        <w:jc w:val="both"/>
        <w:rPr>
          <w:color w:val="000000"/>
          <w:sz w:val="24"/>
          <w:szCs w:val="24"/>
        </w:rPr>
      </w:pPr>
      <w:r>
        <w:rPr>
          <w:color w:val="000000"/>
          <w:sz w:val="24"/>
          <w:szCs w:val="24"/>
        </w:rPr>
        <w:t xml:space="preserve">Individuals experiencing ischemic stroke or transient ischemic attack </w:t>
      </w:r>
      <w:r>
        <w:rPr>
          <w:sz w:val="24"/>
          <w:szCs w:val="24"/>
        </w:rPr>
        <w:t>[</w:t>
      </w:r>
      <w:r>
        <w:rPr>
          <w:color w:val="000000"/>
          <w:sz w:val="24"/>
          <w:szCs w:val="24"/>
        </w:rPr>
        <w:t>TIA</w:t>
      </w:r>
      <w:r>
        <w:rPr>
          <w:sz w:val="24"/>
          <w:szCs w:val="24"/>
        </w:rPr>
        <w:t>]</w:t>
      </w:r>
      <w:r>
        <w:rPr>
          <w:color w:val="000000"/>
          <w:sz w:val="24"/>
          <w:szCs w:val="24"/>
        </w:rPr>
        <w:t xml:space="preserve"> face a heightened likelihood of early recurrence. Findings from randomized trials propose that initiating early secondary prophylaxis with antiplatelet agents </w:t>
      </w:r>
      <w:r>
        <w:rPr>
          <w:sz w:val="24"/>
          <w:szCs w:val="24"/>
        </w:rPr>
        <w:t>[</w:t>
      </w:r>
      <w:r>
        <w:rPr>
          <w:color w:val="000000"/>
          <w:sz w:val="24"/>
          <w:szCs w:val="24"/>
        </w:rPr>
        <w:t>specifically aspirin at a dosage of 160-300 mg per day</w:t>
      </w:r>
      <w:r>
        <w:rPr>
          <w:sz w:val="24"/>
          <w:szCs w:val="24"/>
        </w:rPr>
        <w:t>]</w:t>
      </w:r>
      <w:r>
        <w:rPr>
          <w:color w:val="000000"/>
          <w:sz w:val="24"/>
          <w:szCs w:val="24"/>
        </w:rPr>
        <w:t xml:space="preserve"> is advisable for all patients with ischemic stroke or TIA </w:t>
      </w:r>
      <w:r>
        <w:rPr>
          <w:sz w:val="24"/>
          <w:szCs w:val="24"/>
        </w:rPr>
        <w:t>[</w:t>
      </w:r>
      <w:r>
        <w:rPr>
          <w:color w:val="000000"/>
          <w:sz w:val="24"/>
          <w:szCs w:val="24"/>
        </w:rPr>
        <w:t>1</w:t>
      </w:r>
      <w:r>
        <w:rPr>
          <w:sz w:val="24"/>
          <w:szCs w:val="24"/>
        </w:rPr>
        <w:t>]</w:t>
      </w:r>
      <w:r>
        <w:rPr>
          <w:color w:val="000000"/>
          <w:sz w:val="24"/>
          <w:szCs w:val="24"/>
        </w:rPr>
        <w:t xml:space="preserve">. In cases where patients are undergoing revascularization therapies, the commencement of antiplatelet therapy should occur 24 hours post-procedure, following a confirmatory brain CT scan to rule out </w:t>
      </w:r>
      <w:proofErr w:type="spellStart"/>
      <w:r>
        <w:rPr>
          <w:color w:val="000000"/>
          <w:sz w:val="24"/>
          <w:szCs w:val="24"/>
        </w:rPr>
        <w:t>hemorrhagic</w:t>
      </w:r>
      <w:proofErr w:type="spellEnd"/>
      <w:r>
        <w:rPr>
          <w:color w:val="000000"/>
          <w:sz w:val="24"/>
          <w:szCs w:val="24"/>
        </w:rPr>
        <w:t xml:space="preserve"> transformations.</w:t>
      </w:r>
    </w:p>
    <w:p w14:paraId="0B67189A" w14:textId="6667C6DC" w:rsidR="00CF7C6D" w:rsidRDefault="00CF7C6D" w:rsidP="00CF7C6D">
      <w:pPr>
        <w:pBdr>
          <w:top w:val="nil"/>
          <w:left w:val="nil"/>
          <w:bottom w:val="nil"/>
          <w:right w:val="nil"/>
          <w:between w:val="nil"/>
        </w:pBdr>
        <w:spacing w:after="0" w:line="276" w:lineRule="auto"/>
        <w:ind w:firstLine="141"/>
        <w:jc w:val="both"/>
        <w:rPr>
          <w:color w:val="000000"/>
          <w:sz w:val="24"/>
          <w:szCs w:val="24"/>
        </w:rPr>
      </w:pPr>
      <w:r>
        <w:rPr>
          <w:color w:val="000000"/>
          <w:sz w:val="24"/>
          <w:szCs w:val="24"/>
        </w:rPr>
        <w:t xml:space="preserve">Additional randomized studies propose specific interventions for patients at high risk of early recurrence following transient ischemic attack </w:t>
      </w:r>
      <w:r>
        <w:rPr>
          <w:sz w:val="24"/>
          <w:szCs w:val="24"/>
        </w:rPr>
        <w:t>[</w:t>
      </w:r>
      <w:r>
        <w:rPr>
          <w:color w:val="000000"/>
          <w:sz w:val="24"/>
          <w:szCs w:val="24"/>
        </w:rPr>
        <w:t>TIA</w:t>
      </w:r>
      <w:r>
        <w:rPr>
          <w:sz w:val="24"/>
          <w:szCs w:val="24"/>
        </w:rPr>
        <w:t>]</w:t>
      </w:r>
      <w:r>
        <w:rPr>
          <w:color w:val="000000"/>
          <w:sz w:val="24"/>
          <w:szCs w:val="24"/>
        </w:rPr>
        <w:t xml:space="preserve">. Notably, those with a TIA at high risk </w:t>
      </w:r>
      <w:r>
        <w:rPr>
          <w:sz w:val="24"/>
          <w:szCs w:val="24"/>
        </w:rPr>
        <w:t>[</w:t>
      </w:r>
      <w:r>
        <w:rPr>
          <w:color w:val="000000"/>
          <w:sz w:val="24"/>
          <w:szCs w:val="24"/>
        </w:rPr>
        <w:t>ABCD2 score &gt;3</w:t>
      </w:r>
      <w:r>
        <w:rPr>
          <w:sz w:val="24"/>
          <w:szCs w:val="24"/>
        </w:rPr>
        <w:t>]</w:t>
      </w:r>
      <w:r>
        <w:rPr>
          <w:color w:val="000000"/>
          <w:sz w:val="24"/>
          <w:szCs w:val="24"/>
        </w:rPr>
        <w:t xml:space="preserve"> or presenting with a mild stroke </w:t>
      </w:r>
      <w:r>
        <w:rPr>
          <w:sz w:val="24"/>
          <w:szCs w:val="24"/>
        </w:rPr>
        <w:t>[</w:t>
      </w:r>
      <w:r>
        <w:rPr>
          <w:color w:val="000000"/>
          <w:sz w:val="24"/>
          <w:szCs w:val="24"/>
        </w:rPr>
        <w:t>NIHSS &lt; 4</w:t>
      </w:r>
      <w:r>
        <w:rPr>
          <w:sz w:val="24"/>
          <w:szCs w:val="24"/>
        </w:rPr>
        <w:t>]</w:t>
      </w:r>
      <w:r>
        <w:rPr>
          <w:color w:val="000000"/>
          <w:sz w:val="24"/>
          <w:szCs w:val="24"/>
        </w:rPr>
        <w:t xml:space="preserve"> of non-cardioembolic origin within 24 hours may benefit from dual antiplatelet therapy, involving clopidogrel </w:t>
      </w:r>
      <w:r>
        <w:rPr>
          <w:sz w:val="24"/>
          <w:szCs w:val="24"/>
        </w:rPr>
        <w:t>[</w:t>
      </w:r>
      <w:r>
        <w:rPr>
          <w:color w:val="000000"/>
          <w:sz w:val="24"/>
          <w:szCs w:val="24"/>
        </w:rPr>
        <w:t>300-600 mg loading dose on the first day, followed by 75 mg</w:t>
      </w:r>
      <w:r>
        <w:rPr>
          <w:sz w:val="24"/>
          <w:szCs w:val="24"/>
        </w:rPr>
        <w:t>]</w:t>
      </w:r>
      <w:r>
        <w:rPr>
          <w:color w:val="000000"/>
          <w:sz w:val="24"/>
          <w:szCs w:val="24"/>
        </w:rPr>
        <w:t xml:space="preserve"> and aspirin </w:t>
      </w:r>
      <w:r>
        <w:rPr>
          <w:sz w:val="24"/>
          <w:szCs w:val="24"/>
        </w:rPr>
        <w:t>[</w:t>
      </w:r>
      <w:r>
        <w:rPr>
          <w:color w:val="000000"/>
          <w:sz w:val="24"/>
          <w:szCs w:val="24"/>
        </w:rPr>
        <w:t>100-300 mg daily</w:t>
      </w:r>
      <w:r>
        <w:rPr>
          <w:sz w:val="24"/>
          <w:szCs w:val="24"/>
        </w:rPr>
        <w:t>]</w:t>
      </w:r>
      <w:r>
        <w:rPr>
          <w:color w:val="000000"/>
          <w:sz w:val="24"/>
          <w:szCs w:val="24"/>
        </w:rPr>
        <w:t xml:space="preserve"> </w:t>
      </w:r>
      <w:r>
        <w:rPr>
          <w:sz w:val="24"/>
          <w:szCs w:val="24"/>
        </w:rPr>
        <w:t>[</w:t>
      </w:r>
      <w:r>
        <w:rPr>
          <w:color w:val="000000"/>
          <w:sz w:val="24"/>
          <w:szCs w:val="24"/>
        </w:rPr>
        <w:t>2]</w:t>
      </w:r>
      <w:r>
        <w:rPr>
          <w:color w:val="000000"/>
          <w:sz w:val="24"/>
          <w:szCs w:val="24"/>
        </w:rPr>
        <w:t xml:space="preserve">. The optimal duration for this dual antiplatelet regimen, balancing </w:t>
      </w:r>
      <w:proofErr w:type="gramStart"/>
      <w:r>
        <w:rPr>
          <w:color w:val="000000"/>
          <w:sz w:val="24"/>
          <w:szCs w:val="24"/>
        </w:rPr>
        <w:t>efficacy</w:t>
      </w:r>
      <w:proofErr w:type="gramEnd"/>
      <w:r>
        <w:rPr>
          <w:color w:val="000000"/>
          <w:sz w:val="24"/>
          <w:szCs w:val="24"/>
        </w:rPr>
        <w:t xml:space="preserve"> and safety, appears to be 21 days </w:t>
      </w:r>
      <w:r>
        <w:rPr>
          <w:sz w:val="24"/>
          <w:szCs w:val="24"/>
        </w:rPr>
        <w:t>[</w:t>
      </w:r>
      <w:r>
        <w:rPr>
          <w:color w:val="000000"/>
          <w:sz w:val="24"/>
          <w:szCs w:val="24"/>
        </w:rPr>
        <w:t>3</w:t>
      </w:r>
      <w:r>
        <w:rPr>
          <w:sz w:val="24"/>
          <w:szCs w:val="24"/>
        </w:rPr>
        <w:t>]</w:t>
      </w:r>
      <w:r>
        <w:rPr>
          <w:color w:val="000000"/>
          <w:sz w:val="24"/>
          <w:szCs w:val="24"/>
        </w:rPr>
        <w:t>.</w:t>
      </w:r>
    </w:p>
    <w:p w14:paraId="0D277B87" w14:textId="6E7E73AE" w:rsidR="00CF7C6D" w:rsidRDefault="00CF7C6D" w:rsidP="00CF7C6D">
      <w:pPr>
        <w:pBdr>
          <w:top w:val="nil"/>
          <w:left w:val="nil"/>
          <w:bottom w:val="nil"/>
          <w:right w:val="nil"/>
          <w:between w:val="nil"/>
        </w:pBdr>
        <w:spacing w:after="0" w:line="276" w:lineRule="auto"/>
        <w:ind w:firstLine="141"/>
        <w:jc w:val="both"/>
        <w:rPr>
          <w:color w:val="000000"/>
          <w:sz w:val="24"/>
          <w:szCs w:val="24"/>
        </w:rPr>
      </w:pPr>
      <w:r>
        <w:rPr>
          <w:color w:val="000000"/>
          <w:sz w:val="24"/>
          <w:szCs w:val="24"/>
        </w:rPr>
        <w:t xml:space="preserve">For individuals with TIA or minor stroke from cardioembolic causes early initiation of oral anticoagulants might be considered </w:t>
      </w:r>
      <w:r>
        <w:rPr>
          <w:sz w:val="24"/>
          <w:szCs w:val="24"/>
        </w:rPr>
        <w:t>[</w:t>
      </w:r>
      <w:r>
        <w:rPr>
          <w:color w:val="000000"/>
          <w:sz w:val="24"/>
          <w:szCs w:val="24"/>
        </w:rPr>
        <w:t>4</w:t>
      </w:r>
      <w:r>
        <w:rPr>
          <w:sz w:val="24"/>
          <w:szCs w:val="24"/>
        </w:rPr>
        <w:t>]</w:t>
      </w:r>
      <w:r>
        <w:rPr>
          <w:color w:val="000000"/>
          <w:sz w:val="24"/>
          <w:szCs w:val="24"/>
        </w:rPr>
        <w:t>. It is crucial to recognize that patients with posterior circulation stroke often exhibit low NIHSS scores, designed for anterior circulation strokes. Therefore, careful consideration is warranted, especially when symptoms such as isolated vertigo and ataxia due to a cerebellar lesion may yield a low NIHSS, classifying the patient as experiencing a minor stroke and possibly eligible for dual antiplatelet therapy. However, it's essential to assess each case individually, as, for example, a patient within the thrombolysis time window exhibiting significant disability, such as the inability to stand and walk, should be considered for thrombolysis, despite a seemingly low NIHSS.</w:t>
      </w:r>
    </w:p>
    <w:p w14:paraId="682E0D32" w14:textId="77777777" w:rsidR="00CF7C6D" w:rsidRDefault="00CF7C6D" w:rsidP="00CF7C6D">
      <w:pPr>
        <w:pBdr>
          <w:top w:val="nil"/>
          <w:left w:val="nil"/>
          <w:bottom w:val="nil"/>
          <w:right w:val="nil"/>
          <w:between w:val="nil"/>
        </w:pBdr>
        <w:spacing w:after="0" w:line="276" w:lineRule="auto"/>
        <w:ind w:firstLine="141"/>
        <w:jc w:val="both"/>
        <w:rPr>
          <w:color w:val="000000"/>
          <w:sz w:val="24"/>
          <w:szCs w:val="24"/>
        </w:rPr>
      </w:pPr>
    </w:p>
    <w:p w14:paraId="51438740" w14:textId="77777777" w:rsidR="00CF7C6D" w:rsidRDefault="00CF7C6D" w:rsidP="00CF7C6D">
      <w:pPr>
        <w:pBdr>
          <w:top w:val="nil"/>
          <w:left w:val="nil"/>
          <w:bottom w:val="nil"/>
          <w:right w:val="nil"/>
          <w:between w:val="nil"/>
        </w:pBdr>
        <w:spacing w:after="0" w:line="276" w:lineRule="auto"/>
        <w:ind w:firstLine="141"/>
        <w:jc w:val="both"/>
        <w:rPr>
          <w:color w:val="000000"/>
          <w:sz w:val="24"/>
          <w:szCs w:val="24"/>
        </w:rPr>
      </w:pPr>
    </w:p>
    <w:p w14:paraId="249D7638" w14:textId="77777777" w:rsidR="00CF7C6D" w:rsidRPr="00CF7C6D" w:rsidRDefault="00CF7C6D" w:rsidP="00CF7C6D">
      <w:pPr>
        <w:pBdr>
          <w:top w:val="nil"/>
          <w:left w:val="nil"/>
          <w:bottom w:val="nil"/>
          <w:right w:val="nil"/>
          <w:between w:val="nil"/>
        </w:pBdr>
        <w:spacing w:after="0" w:line="276" w:lineRule="auto"/>
        <w:jc w:val="both"/>
        <w:rPr>
          <w:b/>
          <w:color w:val="000000"/>
          <w:sz w:val="28"/>
          <w:szCs w:val="28"/>
          <w:highlight w:val="white"/>
        </w:rPr>
      </w:pPr>
      <w:r w:rsidRPr="00CF7C6D">
        <w:rPr>
          <w:b/>
          <w:color w:val="000000"/>
          <w:sz w:val="28"/>
          <w:szCs w:val="28"/>
          <w:highlight w:val="white"/>
        </w:rPr>
        <w:t>References</w:t>
      </w:r>
    </w:p>
    <w:p w14:paraId="7813A492" w14:textId="77777777" w:rsidR="00CF7C6D" w:rsidRDefault="00CF7C6D" w:rsidP="00CF7C6D">
      <w:pPr>
        <w:pBdr>
          <w:top w:val="nil"/>
          <w:left w:val="nil"/>
          <w:bottom w:val="nil"/>
          <w:right w:val="nil"/>
          <w:between w:val="nil"/>
        </w:pBdr>
        <w:spacing w:after="0" w:line="276" w:lineRule="auto"/>
        <w:ind w:firstLine="141"/>
        <w:jc w:val="both"/>
        <w:rPr>
          <w:color w:val="000000"/>
          <w:sz w:val="24"/>
          <w:szCs w:val="24"/>
        </w:rPr>
      </w:pPr>
    </w:p>
    <w:p w14:paraId="257BFDF7" w14:textId="77777777" w:rsidR="00CF7C6D" w:rsidRPr="00CF7C6D" w:rsidRDefault="00CF7C6D" w:rsidP="00CF7C6D">
      <w:pPr>
        <w:numPr>
          <w:ilvl w:val="0"/>
          <w:numId w:val="1"/>
        </w:numPr>
        <w:pBdr>
          <w:top w:val="nil"/>
          <w:left w:val="nil"/>
          <w:bottom w:val="nil"/>
          <w:right w:val="nil"/>
          <w:between w:val="nil"/>
        </w:pBdr>
        <w:spacing w:after="0" w:line="276" w:lineRule="auto"/>
        <w:jc w:val="both"/>
        <w:rPr>
          <w:color w:val="000000"/>
          <w:sz w:val="24"/>
          <w:szCs w:val="24"/>
        </w:rPr>
      </w:pPr>
      <w:r w:rsidRPr="00CF7C6D">
        <w:rPr>
          <w:color w:val="000000"/>
          <w:sz w:val="24"/>
          <w:szCs w:val="24"/>
        </w:rPr>
        <w:t xml:space="preserve">Chen ZM, Sandercock P, Pan HC, Counsell C, Collins R, Liu LS, Xie JX, Warlow C, Peto R. Indications for early aspirin use in acute ischemic </w:t>
      </w:r>
      <w:proofErr w:type="gramStart"/>
      <w:r w:rsidRPr="00CF7C6D">
        <w:rPr>
          <w:color w:val="000000"/>
          <w:sz w:val="24"/>
          <w:szCs w:val="24"/>
        </w:rPr>
        <w:t>stroke :</w:t>
      </w:r>
      <w:proofErr w:type="gramEnd"/>
      <w:r w:rsidRPr="00CF7C6D">
        <w:rPr>
          <w:color w:val="000000"/>
          <w:sz w:val="24"/>
          <w:szCs w:val="24"/>
        </w:rPr>
        <w:t xml:space="preserve"> A combined analysis of 40 000 randomized patients from the </w:t>
      </w:r>
      <w:proofErr w:type="spellStart"/>
      <w:r w:rsidRPr="00CF7C6D">
        <w:rPr>
          <w:color w:val="000000"/>
          <w:sz w:val="24"/>
          <w:szCs w:val="24"/>
        </w:rPr>
        <w:t>chinese</w:t>
      </w:r>
      <w:proofErr w:type="spellEnd"/>
      <w:r w:rsidRPr="00CF7C6D">
        <w:rPr>
          <w:color w:val="000000"/>
          <w:sz w:val="24"/>
          <w:szCs w:val="24"/>
        </w:rPr>
        <w:t xml:space="preserve"> acute stroke trial and the international stroke trial. On behalf of the CAST and IST collaborative groups. Stroke. 2000 Jun;31[6]:1240-9</w:t>
      </w:r>
    </w:p>
    <w:p w14:paraId="20CABD35" w14:textId="77777777" w:rsidR="00CF7C6D" w:rsidRPr="00CF7C6D" w:rsidRDefault="00CF7C6D" w:rsidP="00CF7C6D">
      <w:pPr>
        <w:numPr>
          <w:ilvl w:val="0"/>
          <w:numId w:val="1"/>
        </w:numPr>
        <w:pBdr>
          <w:top w:val="nil"/>
          <w:left w:val="nil"/>
          <w:bottom w:val="nil"/>
          <w:right w:val="nil"/>
          <w:between w:val="nil"/>
        </w:pBdr>
        <w:spacing w:after="0" w:line="276" w:lineRule="auto"/>
        <w:jc w:val="both"/>
        <w:rPr>
          <w:color w:val="000000"/>
          <w:sz w:val="24"/>
          <w:szCs w:val="24"/>
        </w:rPr>
      </w:pPr>
      <w:r w:rsidRPr="00CF7C6D">
        <w:rPr>
          <w:color w:val="000000"/>
          <w:sz w:val="24"/>
          <w:szCs w:val="24"/>
        </w:rPr>
        <w:t xml:space="preserve">Trifan G, Gorelick PB, </w:t>
      </w:r>
      <w:proofErr w:type="spellStart"/>
      <w:r w:rsidRPr="00CF7C6D">
        <w:rPr>
          <w:color w:val="000000"/>
          <w:sz w:val="24"/>
          <w:szCs w:val="24"/>
        </w:rPr>
        <w:t>Testai</w:t>
      </w:r>
      <w:proofErr w:type="spellEnd"/>
      <w:r w:rsidRPr="00CF7C6D">
        <w:rPr>
          <w:color w:val="000000"/>
          <w:sz w:val="24"/>
          <w:szCs w:val="24"/>
        </w:rPr>
        <w:t xml:space="preserve"> FD. Efficacy and Safety of Using Dual Versus Monotherapy Antiplatelet Agents in Secondary Stroke Prevention: Systematic Review and Meta-Analysis of Randomized Controlled Clinical Trials. Circulation. 2021 Jun 22;143[25]:2441-2453</w:t>
      </w:r>
    </w:p>
    <w:p w14:paraId="1CC950E1" w14:textId="77777777" w:rsidR="00CF7C6D" w:rsidRPr="00CF7C6D" w:rsidRDefault="00CF7C6D" w:rsidP="00CF7C6D">
      <w:pPr>
        <w:numPr>
          <w:ilvl w:val="0"/>
          <w:numId w:val="1"/>
        </w:numPr>
        <w:pBdr>
          <w:top w:val="nil"/>
          <w:left w:val="nil"/>
          <w:bottom w:val="nil"/>
          <w:right w:val="nil"/>
          <w:between w:val="nil"/>
        </w:pBdr>
        <w:spacing w:after="0" w:line="276" w:lineRule="auto"/>
        <w:jc w:val="both"/>
        <w:rPr>
          <w:color w:val="000000"/>
          <w:sz w:val="24"/>
          <w:szCs w:val="24"/>
        </w:rPr>
      </w:pPr>
      <w:hyperlink r:id="rId5">
        <w:proofErr w:type="spellStart"/>
        <w:r w:rsidRPr="00CF7C6D">
          <w:rPr>
            <w:color w:val="000000"/>
            <w:sz w:val="24"/>
            <w:szCs w:val="24"/>
          </w:rPr>
          <w:t>Qiukui</w:t>
        </w:r>
        <w:proofErr w:type="spellEnd"/>
        <w:r w:rsidRPr="00CF7C6D">
          <w:rPr>
            <w:color w:val="000000"/>
            <w:sz w:val="24"/>
            <w:szCs w:val="24"/>
          </w:rPr>
          <w:t xml:space="preserve"> Hao</w:t>
        </w:r>
      </w:hyperlink>
      <w:r w:rsidRPr="00CF7C6D">
        <w:rPr>
          <w:color w:val="000000"/>
          <w:sz w:val="24"/>
          <w:szCs w:val="24"/>
        </w:rPr>
        <w:t xml:space="preserve">, </w:t>
      </w:r>
      <w:hyperlink r:id="rId6">
        <w:r w:rsidRPr="00CF7C6D">
          <w:rPr>
            <w:color w:val="000000"/>
            <w:sz w:val="24"/>
            <w:szCs w:val="24"/>
          </w:rPr>
          <w:t xml:space="preserve">Malavika </w:t>
        </w:r>
        <w:proofErr w:type="spellStart"/>
        <w:r w:rsidRPr="00CF7C6D">
          <w:rPr>
            <w:color w:val="000000"/>
            <w:sz w:val="24"/>
            <w:szCs w:val="24"/>
          </w:rPr>
          <w:t>Tampi</w:t>
        </w:r>
        <w:proofErr w:type="spellEnd"/>
      </w:hyperlink>
      <w:r w:rsidRPr="00CF7C6D">
        <w:rPr>
          <w:color w:val="000000"/>
          <w:sz w:val="24"/>
          <w:szCs w:val="24"/>
        </w:rPr>
        <w:t xml:space="preserve">, </w:t>
      </w:r>
      <w:hyperlink r:id="rId7">
        <w:r w:rsidRPr="00CF7C6D">
          <w:rPr>
            <w:color w:val="000000"/>
            <w:sz w:val="24"/>
            <w:szCs w:val="24"/>
          </w:rPr>
          <w:t>Martin O'Donnell</w:t>
        </w:r>
      </w:hyperlink>
      <w:r w:rsidRPr="00CF7C6D">
        <w:rPr>
          <w:color w:val="000000"/>
          <w:sz w:val="24"/>
          <w:szCs w:val="24"/>
        </w:rPr>
        <w:t xml:space="preserve">, </w:t>
      </w:r>
      <w:hyperlink r:id="rId8">
        <w:r w:rsidRPr="00CF7C6D">
          <w:rPr>
            <w:color w:val="000000"/>
            <w:sz w:val="24"/>
            <w:szCs w:val="24"/>
          </w:rPr>
          <w:t>Farid Foroutan</w:t>
        </w:r>
      </w:hyperlink>
      <w:r w:rsidRPr="00CF7C6D">
        <w:rPr>
          <w:color w:val="000000"/>
          <w:sz w:val="24"/>
          <w:szCs w:val="24"/>
        </w:rPr>
        <w:t xml:space="preserve">, </w:t>
      </w:r>
      <w:hyperlink r:id="rId9">
        <w:r w:rsidRPr="00CF7C6D">
          <w:rPr>
            <w:color w:val="000000"/>
            <w:sz w:val="24"/>
            <w:szCs w:val="24"/>
          </w:rPr>
          <w:t xml:space="preserve">Reed Ac </w:t>
        </w:r>
        <w:proofErr w:type="spellStart"/>
        <w:r w:rsidRPr="00CF7C6D">
          <w:rPr>
            <w:color w:val="000000"/>
            <w:sz w:val="24"/>
            <w:szCs w:val="24"/>
          </w:rPr>
          <w:t>Siemieniuk</w:t>
        </w:r>
        <w:proofErr w:type="spellEnd"/>
      </w:hyperlink>
      <w:r w:rsidRPr="00CF7C6D">
        <w:rPr>
          <w:color w:val="000000"/>
          <w:sz w:val="24"/>
          <w:szCs w:val="24"/>
        </w:rPr>
        <w:t xml:space="preserve">, </w:t>
      </w:r>
      <w:hyperlink r:id="rId10">
        <w:r w:rsidRPr="00CF7C6D">
          <w:rPr>
            <w:color w:val="000000"/>
            <w:sz w:val="24"/>
            <w:szCs w:val="24"/>
          </w:rPr>
          <w:t>Gordon Guyatt</w:t>
        </w:r>
      </w:hyperlink>
      <w:r w:rsidRPr="00CF7C6D">
        <w:rPr>
          <w:color w:val="000000"/>
          <w:sz w:val="24"/>
          <w:szCs w:val="24"/>
        </w:rPr>
        <w:t xml:space="preserve">. Clopidogrel plus aspirin versus aspirin alone for acute minor ischaemic stroke or high risk transient ischaemic attack: systematic review and </w:t>
      </w:r>
      <w:proofErr w:type="gramStart"/>
      <w:r w:rsidRPr="00CF7C6D">
        <w:rPr>
          <w:color w:val="000000"/>
          <w:sz w:val="24"/>
          <w:szCs w:val="24"/>
        </w:rPr>
        <w:t>meta-</w:t>
      </w:r>
      <w:proofErr w:type="spellStart"/>
      <w:r w:rsidRPr="00CF7C6D">
        <w:rPr>
          <w:color w:val="000000"/>
          <w:sz w:val="24"/>
          <w:szCs w:val="24"/>
        </w:rPr>
        <w:t>analysis.BMJ</w:t>
      </w:r>
      <w:proofErr w:type="spellEnd"/>
      <w:r w:rsidRPr="00CF7C6D">
        <w:rPr>
          <w:color w:val="000000"/>
          <w:sz w:val="24"/>
          <w:szCs w:val="24"/>
        </w:rPr>
        <w:t>..</w:t>
      </w:r>
      <w:proofErr w:type="gramEnd"/>
      <w:r w:rsidRPr="00CF7C6D">
        <w:rPr>
          <w:color w:val="000000"/>
          <w:sz w:val="24"/>
          <w:szCs w:val="24"/>
        </w:rPr>
        <w:t xml:space="preserve"> 2018 Dec </w:t>
      </w:r>
      <w:proofErr w:type="gramStart"/>
      <w:r w:rsidRPr="00CF7C6D">
        <w:rPr>
          <w:color w:val="000000"/>
          <w:sz w:val="24"/>
          <w:szCs w:val="24"/>
        </w:rPr>
        <w:t>18:363:k</w:t>
      </w:r>
      <w:proofErr w:type="gramEnd"/>
      <w:r w:rsidRPr="00CF7C6D">
        <w:rPr>
          <w:color w:val="000000"/>
          <w:sz w:val="24"/>
          <w:szCs w:val="24"/>
        </w:rPr>
        <w:t xml:space="preserve">5108. </w:t>
      </w:r>
    </w:p>
    <w:p w14:paraId="72308B2C" w14:textId="77777777" w:rsidR="00CF7C6D" w:rsidRDefault="00CF7C6D" w:rsidP="00CF7C6D">
      <w:pPr>
        <w:numPr>
          <w:ilvl w:val="0"/>
          <w:numId w:val="1"/>
        </w:numPr>
        <w:pBdr>
          <w:top w:val="nil"/>
          <w:left w:val="nil"/>
          <w:bottom w:val="nil"/>
          <w:right w:val="nil"/>
          <w:between w:val="nil"/>
        </w:pBdr>
        <w:spacing w:after="0" w:line="276" w:lineRule="auto"/>
        <w:jc w:val="both"/>
        <w:rPr>
          <w:color w:val="000000"/>
          <w:highlight w:val="white"/>
        </w:rPr>
      </w:pPr>
      <w:proofErr w:type="spellStart"/>
      <w:r w:rsidRPr="00CF7C6D">
        <w:rPr>
          <w:color w:val="000000"/>
          <w:sz w:val="24"/>
          <w:szCs w:val="24"/>
        </w:rPr>
        <w:lastRenderedPageBreak/>
        <w:t>Seiffge</w:t>
      </w:r>
      <w:proofErr w:type="spellEnd"/>
      <w:r w:rsidRPr="00CF7C6D">
        <w:rPr>
          <w:color w:val="000000"/>
          <w:sz w:val="24"/>
          <w:szCs w:val="24"/>
        </w:rPr>
        <w:t xml:space="preserve"> DJ, Werring DJ, </w:t>
      </w:r>
      <w:proofErr w:type="spellStart"/>
      <w:r w:rsidRPr="00CF7C6D">
        <w:rPr>
          <w:color w:val="000000"/>
          <w:sz w:val="24"/>
          <w:szCs w:val="24"/>
        </w:rPr>
        <w:t>Paciaroni</w:t>
      </w:r>
      <w:proofErr w:type="spellEnd"/>
      <w:r w:rsidRPr="00CF7C6D">
        <w:rPr>
          <w:color w:val="000000"/>
          <w:sz w:val="24"/>
          <w:szCs w:val="24"/>
        </w:rPr>
        <w:t xml:space="preserve"> M, Dawson J, </w:t>
      </w:r>
      <w:proofErr w:type="spellStart"/>
      <w:r w:rsidRPr="00CF7C6D">
        <w:rPr>
          <w:color w:val="000000"/>
          <w:sz w:val="24"/>
          <w:szCs w:val="24"/>
        </w:rPr>
        <w:t>Warach</w:t>
      </w:r>
      <w:proofErr w:type="spellEnd"/>
      <w:r w:rsidRPr="00CF7C6D">
        <w:rPr>
          <w:color w:val="000000"/>
          <w:sz w:val="24"/>
          <w:szCs w:val="24"/>
        </w:rPr>
        <w:t xml:space="preserve"> S, Milling TJ, </w:t>
      </w:r>
      <w:proofErr w:type="spellStart"/>
      <w:r w:rsidRPr="00CF7C6D">
        <w:rPr>
          <w:color w:val="000000"/>
          <w:sz w:val="24"/>
          <w:szCs w:val="24"/>
        </w:rPr>
        <w:t>Engelter</w:t>
      </w:r>
      <w:proofErr w:type="spellEnd"/>
      <w:r w:rsidRPr="00CF7C6D">
        <w:rPr>
          <w:color w:val="000000"/>
          <w:sz w:val="24"/>
          <w:szCs w:val="24"/>
        </w:rPr>
        <w:t xml:space="preserve"> ST, Fischer U, </w:t>
      </w:r>
      <w:proofErr w:type="spellStart"/>
      <w:r w:rsidRPr="00CF7C6D">
        <w:rPr>
          <w:color w:val="000000"/>
          <w:sz w:val="24"/>
          <w:szCs w:val="24"/>
        </w:rPr>
        <w:t>Norrving</w:t>
      </w:r>
      <w:proofErr w:type="spellEnd"/>
      <w:r w:rsidRPr="00CF7C6D">
        <w:rPr>
          <w:color w:val="000000"/>
          <w:sz w:val="24"/>
          <w:szCs w:val="24"/>
        </w:rPr>
        <w:t xml:space="preserve"> B. Timing of anticoagulation after recent ischaemic stroke in patients with atrial fibrillation. Lancet Neurol. 2019 Jan;18[1]:117-126</w:t>
      </w:r>
      <w:r>
        <w:rPr>
          <w:color w:val="000000"/>
          <w:highlight w:val="white"/>
        </w:rPr>
        <w:t>.</w:t>
      </w:r>
    </w:p>
    <w:p w14:paraId="5C0E23B0" w14:textId="77777777" w:rsidR="00CF7C6D" w:rsidRDefault="00CF7C6D"/>
    <w:sectPr w:rsidR="00CF7C6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DDD7BAB"/>
    <w:multiLevelType w:val="multilevel"/>
    <w:tmpl w:val="2800EC22"/>
    <w:lvl w:ilvl="0">
      <w:start w:val="1"/>
      <w:numFmt w:val="decimal"/>
      <w:lvlText w:val="%1)"/>
      <w:lvlJc w:val="left"/>
      <w:pPr>
        <w:ind w:left="720" w:hanging="360"/>
      </w:pPr>
      <w:rPr>
        <w:rFonts w:ascii="Arial" w:eastAsia="Arial" w:hAnsi="Arial" w:cs="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20915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E4A"/>
    <w:rsid w:val="00350C36"/>
    <w:rsid w:val="00460E4A"/>
    <w:rsid w:val="00775527"/>
    <w:rsid w:val="00AC317D"/>
    <w:rsid w:val="00CF7C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2A4DA"/>
  <w15:chartTrackingRefBased/>
  <w15:docId w15:val="{6A97F26C-E014-4440-A871-A8777BB20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F7C6D"/>
    <w:rPr>
      <w:rFonts w:ascii="Calibri" w:eastAsia="Calibri" w:hAnsi="Calibri" w:cs="Calibri"/>
      <w:kern w:val="0"/>
      <w:lang w:val="en-GB" w:eastAsia="it-IT"/>
      <w14:ligatures w14:val="none"/>
    </w:rPr>
  </w:style>
  <w:style w:type="paragraph" w:styleId="Titolo1">
    <w:name w:val="heading 1"/>
    <w:basedOn w:val="Normale"/>
    <w:next w:val="Normale"/>
    <w:link w:val="Titolo1Carattere"/>
    <w:uiPriority w:val="9"/>
    <w:qFormat/>
    <w:rsid w:val="00460E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60E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60E4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60E4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60E4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60E4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60E4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60E4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60E4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60E4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60E4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60E4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60E4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60E4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60E4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60E4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60E4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60E4A"/>
    <w:rPr>
      <w:rFonts w:eastAsiaTheme="majorEastAsia" w:cstheme="majorBidi"/>
      <w:color w:val="272727" w:themeColor="text1" w:themeTint="D8"/>
    </w:rPr>
  </w:style>
  <w:style w:type="paragraph" w:styleId="Titolo">
    <w:name w:val="Title"/>
    <w:basedOn w:val="Normale"/>
    <w:next w:val="Normale"/>
    <w:link w:val="TitoloCarattere"/>
    <w:uiPriority w:val="10"/>
    <w:qFormat/>
    <w:rsid w:val="00460E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60E4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60E4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60E4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60E4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60E4A"/>
    <w:rPr>
      <w:i/>
      <w:iCs/>
      <w:color w:val="404040" w:themeColor="text1" w:themeTint="BF"/>
    </w:rPr>
  </w:style>
  <w:style w:type="paragraph" w:styleId="Paragrafoelenco">
    <w:name w:val="List Paragraph"/>
    <w:basedOn w:val="Normale"/>
    <w:uiPriority w:val="34"/>
    <w:qFormat/>
    <w:rsid w:val="00460E4A"/>
    <w:pPr>
      <w:ind w:left="720"/>
      <w:contextualSpacing/>
    </w:pPr>
  </w:style>
  <w:style w:type="character" w:styleId="Enfasiintensa">
    <w:name w:val="Intense Emphasis"/>
    <w:basedOn w:val="Carpredefinitoparagrafo"/>
    <w:uiPriority w:val="21"/>
    <w:qFormat/>
    <w:rsid w:val="00460E4A"/>
    <w:rPr>
      <w:i/>
      <w:iCs/>
      <w:color w:val="0F4761" w:themeColor="accent1" w:themeShade="BF"/>
    </w:rPr>
  </w:style>
  <w:style w:type="paragraph" w:styleId="Citazioneintensa">
    <w:name w:val="Intense Quote"/>
    <w:basedOn w:val="Normale"/>
    <w:next w:val="Normale"/>
    <w:link w:val="CitazioneintensaCarattere"/>
    <w:uiPriority w:val="30"/>
    <w:qFormat/>
    <w:rsid w:val="00460E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60E4A"/>
    <w:rPr>
      <w:i/>
      <w:iCs/>
      <w:color w:val="0F4761" w:themeColor="accent1" w:themeShade="BF"/>
    </w:rPr>
  </w:style>
  <w:style w:type="character" w:styleId="Riferimentointenso">
    <w:name w:val="Intense Reference"/>
    <w:basedOn w:val="Carpredefinitoparagrafo"/>
    <w:uiPriority w:val="32"/>
    <w:qFormat/>
    <w:rsid w:val="00460E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med.ncbi.nlm.nih.gov/?sort=pubdate&amp;term=Foroutan+F&amp;cauthor_id=30563866" TargetMode="External"/><Relationship Id="rId3" Type="http://schemas.openxmlformats.org/officeDocument/2006/relationships/settings" Target="settings.xml"/><Relationship Id="rId7" Type="http://schemas.openxmlformats.org/officeDocument/2006/relationships/hyperlink" Target="https://pubmed.ncbi.nlm.nih.gov/?sort=pubdate&amp;term=O'Donnell+M&amp;cauthor_id=3056386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med.ncbi.nlm.nih.gov/?sort=pubdate&amp;term=Tampi+M&amp;cauthor_id=30563866" TargetMode="External"/><Relationship Id="rId11" Type="http://schemas.openxmlformats.org/officeDocument/2006/relationships/fontTable" Target="fontTable.xml"/><Relationship Id="rId5" Type="http://schemas.openxmlformats.org/officeDocument/2006/relationships/hyperlink" Target="https://pubmed.ncbi.nlm.nih.gov/?sort=pubdate&amp;term=Hao+Q&amp;cauthor_id=30563866" TargetMode="External"/><Relationship Id="rId10" Type="http://schemas.openxmlformats.org/officeDocument/2006/relationships/hyperlink" Target="https://pubmed.ncbi.nlm.nih.gov/?sort=pubdate&amp;term=Guyatt+G&amp;cauthor_id=30563866" TargetMode="External"/><Relationship Id="rId4" Type="http://schemas.openxmlformats.org/officeDocument/2006/relationships/webSettings" Target="webSettings.xml"/><Relationship Id="rId9" Type="http://schemas.openxmlformats.org/officeDocument/2006/relationships/hyperlink" Target="https://pubmed.ncbi.nlm.nih.gov/?sort=pubdate&amp;term=Siemieniuk+RA&amp;cauthor_id=3056386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558</Words>
  <Characters>3185</Characters>
  <Application>Microsoft Office Word</Application>
  <DocSecurity>0</DocSecurity>
  <Lines>26</Lines>
  <Paragraphs>7</Paragraphs>
  <ScaleCrop>false</ScaleCrop>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 Ronchetti</dc:creator>
  <cp:keywords/>
  <dc:description/>
  <cp:lastModifiedBy>Mattia Ronchetti</cp:lastModifiedBy>
  <cp:revision>2</cp:revision>
  <dcterms:created xsi:type="dcterms:W3CDTF">2024-04-16T20:59:00Z</dcterms:created>
  <dcterms:modified xsi:type="dcterms:W3CDTF">2024-04-16T21:03:00Z</dcterms:modified>
</cp:coreProperties>
</file>