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Supplementary table 1 - Risk Ratio of the study population according 2MACE score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1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80"/>
        <w:gridCol w:w="2280"/>
        <w:gridCol w:w="2280"/>
        <w:gridCol w:w="2280"/>
        <w:tblGridChange w:id="0">
          <w:tblGrid>
            <w:gridCol w:w="2280"/>
            <w:gridCol w:w="2280"/>
            <w:gridCol w:w="2280"/>
            <w:gridCol w:w="22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2MACE score &lt;4 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Gungsuh" w:cs="Gungsuh" w:eastAsia="Gungsuh" w:hAnsi="Gungsuh"/>
                <w:b w:val="1"/>
                <w:sz w:val="24"/>
                <w:szCs w:val="24"/>
                <w:rtl w:val="0"/>
              </w:rPr>
              <w:t xml:space="preserve">2MACE score≥4 pt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Risk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Risk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Risk Ratio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year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years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13.2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years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7.5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15.9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years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years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years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14.3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34.7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2.4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years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20.6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47.7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2.3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years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27.2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62.7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2.3</w:t>
            </w:r>
          </w:p>
        </w:tc>
      </w:tr>
    </w:tbl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ungsuh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