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364E5">
        <w:rPr>
          <w:rFonts w:ascii="Times New Roman" w:hAnsi="Times New Roman" w:cs="Times New Roman"/>
          <w:b/>
          <w:sz w:val="24"/>
        </w:rPr>
        <w:t>WEB APPENDIX A</w:t>
      </w:r>
      <w:r w:rsidRPr="001364E5">
        <w:rPr>
          <w:rFonts w:ascii="Times New Roman" w:hAnsi="Times New Roman" w:cs="Times New Roman"/>
          <w:b/>
          <w:sz w:val="24"/>
        </w:rPr>
        <w:br/>
        <w:t>STUDIES INCLUDED IN THE META-ANALYSIS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Abdullah, N. A. H. N. (2012). Technology readiness and users satisfaction towards self-service technology at Malaysian airport. </w:t>
      </w:r>
      <w:r w:rsidRPr="001364E5">
        <w:rPr>
          <w:rFonts w:ascii="Times New Roman" w:hAnsi="Times New Roman" w:cs="Times New Roman"/>
          <w:i/>
          <w:sz w:val="24"/>
          <w:szCs w:val="24"/>
        </w:rPr>
        <w:t>Information Management and Business Review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4(8), 453-460.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Aboelmaged, M. G. (2014). Predicting e-readiness at firm-level: An analysis of technological, organizational and environmental (TOE) effects on e-maintenance readiness in manufacturing firms.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Information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34(5), 639-651.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Al-Ajam, A. S., &amp; Nor, K. M. (2015). Challenges of adoption of internet banking service in Yemen.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Bank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33(2), 178-194.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Al-Ajam, A. S., &amp; Nor, K. M. (2013). Predicting internet banking adoption determinants in Yemen using extended theory of reasoned action. </w:t>
      </w:r>
      <w:r w:rsidRPr="001364E5">
        <w:rPr>
          <w:rFonts w:ascii="Times New Roman" w:hAnsi="Times New Roman" w:cs="Times New Roman"/>
          <w:i/>
          <w:sz w:val="24"/>
          <w:szCs w:val="24"/>
        </w:rPr>
        <w:t>Research Journal of Applied Sciences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8(5), 278-285.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Al-shareem, K. M., Yusof, N. A., &amp; Kamal, E. M. (2015). External factors influencing the readiness for implementing public-private partnerships among public and private organizations in Yemen.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Science and Technology Policy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6(1), 56-75.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Arroyo, P. E., Ramirez, J. A., &amp; Erosa, V. E. (2007). The elaboration of a model to explain the adoption of information technologies for supply chain.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Portland International Center for Management of Engineering and Technology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2379-2390).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Ashraf, A. R., Thongpapanl, N., Menguc, B., &amp; Northey, G. (2017). The role of m-commerce readiness in emerging and developed markets.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International Marketing</w:t>
      </w:r>
      <w:r w:rsidRPr="001364E5">
        <w:rPr>
          <w:rFonts w:ascii="Times New Roman" w:hAnsi="Times New Roman" w:cs="Times New Roman"/>
          <w:sz w:val="24"/>
          <w:szCs w:val="24"/>
        </w:rPr>
        <w:t>, 25(2), 25-51.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Badri, M., Al Rashedi, A., Yang, G., Mohaidat, J., &amp; Al Hammadi, A. (2014). Technology Readiness of School Teachers: An Empirical Study of Measurement and Segmentation.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Information Technology Education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13, 257-275.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Baird, A., Raghu, T. S., North, F., &amp; Edwards, F. (2014). When traditionally inseparable services are separated by technology: the case of patient portal features offered by primary care providers. </w:t>
      </w:r>
      <w:r w:rsidRPr="001364E5">
        <w:rPr>
          <w:rFonts w:ascii="Times New Roman" w:hAnsi="Times New Roman" w:cs="Times New Roman"/>
          <w:i/>
          <w:sz w:val="24"/>
          <w:szCs w:val="24"/>
        </w:rPr>
        <w:t>Health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3(2), 143-158.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Barrutia, J. M., &amp; Gilsanz, A. (2013). Electronic service quality and value: do consumer knowledge-related resources matter?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Service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16(2), 231-246.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Başgöze, P. (2015). Integration of Technology Readiness (Tr) into the Technology Acceptance Model (Tam) for M-Shopping.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Scientific Research and Innovative Technology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2(3), 26-35.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Berger, S. C. (2009). Self-service technology for sales purposes in branch banking: The impact of personality and relationship on customer adoption.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Bank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27(7), 488-505.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Berndt, A. D., Saunders, S. G., &amp; Petzer, D. J. (2010). Readiness for banking technologies in developing countries. </w:t>
      </w:r>
      <w:r w:rsidRPr="001364E5">
        <w:rPr>
          <w:rFonts w:ascii="Times New Roman" w:hAnsi="Times New Roman" w:cs="Times New Roman"/>
          <w:i/>
          <w:sz w:val="24"/>
          <w:szCs w:val="24"/>
        </w:rPr>
        <w:t>Southern African Business Review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14(3).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Bissola, R., &amp; Imperatori, B. (2013). Facing e-HRM: the consequences on employee attitude towards the organisation and the HR department in Italian SMEs. </w:t>
      </w:r>
      <w:r w:rsidRPr="001364E5">
        <w:rPr>
          <w:rFonts w:ascii="Times New Roman" w:hAnsi="Times New Roman" w:cs="Times New Roman"/>
          <w:i/>
          <w:sz w:val="24"/>
          <w:szCs w:val="24"/>
        </w:rPr>
        <w:t>European Journal of International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7(4), 450-468.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Bissola, R., &amp; Imperatori, B. (2014). The unexpected side of relational e-HRM: Developing trust in the HR department. </w:t>
      </w:r>
      <w:r w:rsidRPr="001364E5">
        <w:rPr>
          <w:rFonts w:ascii="Times New Roman" w:hAnsi="Times New Roman" w:cs="Times New Roman"/>
          <w:i/>
          <w:sz w:val="24"/>
          <w:szCs w:val="24"/>
        </w:rPr>
        <w:t>Employee Relations</w:t>
      </w:r>
      <w:r w:rsidRPr="001364E5">
        <w:rPr>
          <w:rFonts w:ascii="Times New Roman" w:hAnsi="Times New Roman" w:cs="Times New Roman"/>
          <w:sz w:val="24"/>
          <w:szCs w:val="24"/>
        </w:rPr>
        <w:t>, 36(4), 376-397.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Boonitt, S. (2015). Managing self-service technology service quality to enhance e-satisfaction.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Quality and Service Sciences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7(4), 373-391.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lastRenderedPageBreak/>
        <w:t xml:space="preserve">Borrero, J. D., Yousafzai, S. Y., Javed, U., &amp; Page, K. L. (2014). Expressive participation in Internet social movements: Testing the moderating effect of technology readiness and sex on student SNS use. </w:t>
      </w:r>
      <w:r w:rsidRPr="001364E5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30, 39-49.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Carlet, F. (2015). Understanding attitudes toward adoption of green infrastructure: A case study of US municipal officials. </w:t>
      </w:r>
      <w:r w:rsidRPr="001364E5">
        <w:rPr>
          <w:rFonts w:ascii="Times New Roman" w:hAnsi="Times New Roman" w:cs="Times New Roman"/>
          <w:i/>
          <w:sz w:val="24"/>
          <w:szCs w:val="24"/>
        </w:rPr>
        <w:t>Environmental Science and Policy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51, 65-76.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Chang, A. M., &amp; Kannan, P. K. (2006). Employee technology readiness and adoption of wireless technology and services.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39th Annual Hawaii International Conference on System Sciences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  <w:lang w:val="de-DE"/>
        </w:rPr>
        <w:t xml:space="preserve">Chen, C. W., &amp; Huang, E. (2006). </w:t>
      </w:r>
      <w:r w:rsidRPr="001364E5">
        <w:rPr>
          <w:rFonts w:ascii="Times New Roman" w:hAnsi="Times New Roman" w:cs="Times New Roman"/>
          <w:sz w:val="24"/>
          <w:szCs w:val="24"/>
        </w:rPr>
        <w:t xml:space="preserve">Predicting taxpayers’ acceptance of online taxation use.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5th WSEAS International Conference on E-Activities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Venice, Italy.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Chen, S. C. (2011). Understanding the effects of technology readiness, satisfaction and electronic word-of-mouth on loyalty in 3C products. </w:t>
      </w:r>
      <w:r w:rsidRPr="001364E5">
        <w:rPr>
          <w:rFonts w:ascii="Times New Roman" w:hAnsi="Times New Roman" w:cs="Times New Roman"/>
          <w:i/>
          <w:sz w:val="24"/>
          <w:szCs w:val="24"/>
        </w:rPr>
        <w:t>Australian Journal of Business and Management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1(3), 1-9.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Chen, S. C., Chen, H. H., &amp; Chen, M. F. (2009). Determinants of satisfaction and continuance intention towards self-service technologies. </w:t>
      </w:r>
      <w:r w:rsidRPr="001364E5">
        <w:rPr>
          <w:rFonts w:ascii="Times New Roman" w:hAnsi="Times New Roman" w:cs="Times New Roman"/>
          <w:i/>
          <w:sz w:val="24"/>
          <w:szCs w:val="24"/>
        </w:rPr>
        <w:t>Industrial Management and Data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109(9), 1248-1263.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Chen, S. C., Jong, D., &amp; Lai, M. T. (2014). Assessing the relationship between technology readiness and continuance intention in an E-appointment system: relationship quality as a mediator.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Medical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38(76), 1-12.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Chen, S. C., Liu, M. L., &amp; Lin, C. P. (2013). Integrating technology readiness into the expectation–confirmation model: An empirical study of mobile services. </w:t>
      </w:r>
      <w:r w:rsidRPr="001364E5">
        <w:rPr>
          <w:rFonts w:ascii="Times New Roman" w:hAnsi="Times New Roman" w:cs="Times New Roman"/>
          <w:i/>
          <w:sz w:val="24"/>
          <w:szCs w:val="24"/>
        </w:rPr>
        <w:t>Cyberpsychology, Behavior, &amp; Social Networking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16(8), 604-612.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Chen, W. H. (2014). </w:t>
      </w:r>
      <w:r w:rsidRPr="001364E5">
        <w:rPr>
          <w:rFonts w:ascii="Times New Roman" w:hAnsi="Times New Roman" w:cs="Times New Roman"/>
          <w:i/>
          <w:sz w:val="24"/>
          <w:szCs w:val="24"/>
        </w:rPr>
        <w:t>Determinants of internet banking adoption by corporate customers: a study of behavioural intentions in Taiwanese businesses</w:t>
      </w:r>
      <w:r w:rsidRPr="001364E5">
        <w:rPr>
          <w:rFonts w:ascii="Times New Roman" w:hAnsi="Times New Roman" w:cs="Times New Roman"/>
          <w:sz w:val="24"/>
          <w:szCs w:val="24"/>
        </w:rPr>
        <w:t xml:space="preserve">. Doctoral dissertation, University of Warwick.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Chiu, Y. T. H., &amp; Hofer, K. M. (2015). Service innovation and usage intention: a cross-market analysis.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Service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26(3), 516-538.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Chris Choi, H. S., Cho, J., &amp; Kazda, P. (2010). The Effect of Culture Differences on Self Check-in Kiosk Use: An Empirical Study of Canadian Travellers.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Tourism Sciences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10(2), 117-152.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Chung, N., Han, H., &amp; Joun, Y. (2015). Tourists’ intention to visit a destination: The role of augmented reality (AR) application for a heritage site. </w:t>
      </w:r>
      <w:r w:rsidRPr="001364E5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50, 588-599.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Dahlan, N., Ramayah, T., &amp; Mei, L. L. (2002). Readiness to adopt data mining technologies: an exploratory study of telecommunication employees in Malaysia.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Practical Aspects of Knowledge Management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Vienna, Austria, December 2-3, 2002 (pp. 75-86).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de Melo Pereira, F. A., Ramos, A. S. M., Gouvêa, M. A., &amp; da Costa, M. F. (2015). Satisfaction and continuous use intention of e-learning service in Brazilian public organizations. </w:t>
      </w:r>
      <w:r w:rsidRPr="001364E5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46, 139-148.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Ding, X. D., Huang, Y., &amp; Verma, R. (2011). Customer experience in online financial services: A study of behavioral intentions for techno-ready market segments.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Service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22(3), 344-366.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Dorasamy, M., Marimuthu, M., Raman, M., &amp; Kaliannan, M. (2010). E-Government services online: An exploratory study on tax e-filing in Malaysia. In </w:t>
      </w:r>
      <w:r w:rsidRPr="001364E5">
        <w:rPr>
          <w:rFonts w:ascii="Times New Roman" w:hAnsi="Times New Roman" w:cs="Times New Roman"/>
          <w:i/>
          <w:sz w:val="24"/>
          <w:szCs w:val="24"/>
        </w:rPr>
        <w:t>Technology Enabled Transformation of the Public Sector: Advances in E-Government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312-325). 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Dutot, V. (2014). Adoption of social media using technology acceptance model: The generational effect.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Technology and Human Interaction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10(4), 18-35.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6118E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Elliott, K. M., &amp; Hall, M. C. (2005). </w:t>
      </w:r>
      <w:r w:rsidRPr="001364E5">
        <w:rPr>
          <w:rFonts w:ascii="Times New Roman" w:hAnsi="Times New Roman" w:cs="Times New Roman"/>
          <w:sz w:val="24"/>
          <w:szCs w:val="24"/>
        </w:rPr>
        <w:t xml:space="preserve">Assessing Consumers’ Propensity to Embrace Self-Service Technologies: Are there Gender Differences?. </w:t>
      </w:r>
      <w:r w:rsidRPr="001364E5">
        <w:rPr>
          <w:rFonts w:ascii="Times New Roman" w:hAnsi="Times New Roman" w:cs="Times New Roman"/>
          <w:i/>
          <w:sz w:val="24"/>
          <w:szCs w:val="24"/>
        </w:rPr>
        <w:t>Marketing Management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15(2), 98-107.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Elliott, K. M., &amp; Meng, J. (2009). Assessing Chinese consumers’ likelihood to adopt self-service technologies.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Business and Economics Research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8(2), 27-40.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Elliott, K. M., Hall, M. C., &amp; Meng, J. G. (2013). Consumers’ intention to use self-scanning technology: The role of technology readiness and perceptions toward self-service technology. </w:t>
      </w:r>
      <w:r w:rsidRPr="001364E5">
        <w:rPr>
          <w:rFonts w:ascii="Times New Roman" w:hAnsi="Times New Roman" w:cs="Times New Roman"/>
          <w:i/>
          <w:sz w:val="24"/>
          <w:szCs w:val="24"/>
        </w:rPr>
        <w:t>Academy of Marketing Studies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17(1), 129-143.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Elliott, K. M., Meng, J., &amp; Hall, M. C. (2008). Technology readiness and the likelihood to use self-service technology: Chinese vs. American consumers. </w:t>
      </w:r>
      <w:r w:rsidRPr="001364E5">
        <w:rPr>
          <w:rFonts w:ascii="Times New Roman" w:hAnsi="Times New Roman" w:cs="Times New Roman"/>
          <w:i/>
          <w:sz w:val="24"/>
          <w:szCs w:val="24"/>
        </w:rPr>
        <w:t>Marketing Management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18(2), 20-31.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Elliott, K., Meng, G., &amp; Hall, M. (2012). The influence of technology readiness on the evaluation of self-service technology attributes and resulting attitude toward technology usage. </w:t>
      </w:r>
      <w:r w:rsidRPr="001364E5">
        <w:rPr>
          <w:rFonts w:ascii="Times New Roman" w:hAnsi="Times New Roman" w:cs="Times New Roman"/>
          <w:i/>
          <w:sz w:val="24"/>
          <w:szCs w:val="24"/>
        </w:rPr>
        <w:t>Services Marketing Quarterly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33(4), 311-329.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Erdoğmuş, N., &amp; Esen, M. (2011). An investigation of the effects of technology readiness on technology acceptance in e-HRM. </w:t>
      </w:r>
      <w:r w:rsidRPr="001364E5">
        <w:rPr>
          <w:rFonts w:ascii="Times New Roman" w:hAnsi="Times New Roman" w:cs="Times New Roman"/>
          <w:i/>
          <w:sz w:val="24"/>
          <w:szCs w:val="24"/>
        </w:rPr>
        <w:t>Procedia-Social and Behavioral Sciences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24, 487-495.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Ferreira, J. B., da Rocha, A., &amp; da Silva, J. F. (2014). Impacts of technology readiness on emotions and cognition in Brazil.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Business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67(5), 865-873.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Gelderman, C. J., Paul, W. T., &amp; Van Diemen, R. (2011). Choosing self-service technologies or interpersonal services–The impact of situational factors and technology-related attitudes.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Retailing and Consumer Services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18(5), 414-421.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Gharpure, C. P., &amp; Kulyukin, V. A. (2008). Robot-assisted shopping for the blind: issues in spatial cognition and product selection. </w:t>
      </w:r>
      <w:r w:rsidRPr="001364E5">
        <w:rPr>
          <w:rFonts w:ascii="Times New Roman" w:hAnsi="Times New Roman" w:cs="Times New Roman"/>
          <w:i/>
          <w:sz w:val="24"/>
          <w:szCs w:val="24"/>
        </w:rPr>
        <w:t>Intelligent Service Robotics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1(3), 237-251.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6118E">
        <w:rPr>
          <w:rFonts w:ascii="Times New Roman" w:hAnsi="Times New Roman" w:cs="Times New Roman"/>
          <w:sz w:val="24"/>
          <w:szCs w:val="24"/>
          <w:lang w:val="de-DE"/>
        </w:rPr>
        <w:t xml:space="preserve">Gilly, M. C., Celsi, M. W., &amp; Schau, H. J. (2012). </w:t>
      </w:r>
      <w:r w:rsidRPr="001364E5">
        <w:rPr>
          <w:rFonts w:ascii="Times New Roman" w:hAnsi="Times New Roman" w:cs="Times New Roman"/>
          <w:sz w:val="24"/>
          <w:szCs w:val="24"/>
        </w:rPr>
        <w:t xml:space="preserve">It don't come easy: Overcoming obstacles to technology use within a resistant consumer group.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Consumer Affairs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46(1), 62-89.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Glenn Richey Jr., R., &amp; Autry, C. W. (2009). Assessing interfirm collaboration/technology investment tradeoffs: The effects of technological readiness and organizational learning.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Logistics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20(1), 30-56.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Godoe, P., &amp; Johansen, T. (2012). Understanding adoption of new technologies: Technology readiness and technology acceptance as an integrated concept.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European Psychology Students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3(1), 38-52.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Gombachika, H. S., &amp; Khangamwa, G. (2012). ICT readiness and acceptance among TEVT students in University of Malawi. </w:t>
      </w:r>
      <w:r w:rsidRPr="001364E5">
        <w:rPr>
          <w:rFonts w:ascii="Times New Roman" w:hAnsi="Times New Roman" w:cs="Times New Roman"/>
          <w:i/>
          <w:sz w:val="24"/>
          <w:szCs w:val="24"/>
        </w:rPr>
        <w:t>Campus-Wide Information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30(1), 35-43.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Ha, S., Chung, T. L., Hamilton, J., &amp; Park, J. (2010). Moving Beyond Acceptance: Exploring Determinants of Consumer Use of Mobile Services.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Mobile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5(2), 30-42.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Han, S. L., Song, H., &amp; Han, J. J. (2013). Effects of technology readiness on prosumer attitude and eWOM.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Global Scholars of Marketing Science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23(2), 159-174.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Helena Chiu, Y. T., Fang, S. C., &amp; Tseng, C. C. (2010). Early versus potential adopters: Exploring the antecedents of use intention in the context of retail service innovations.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Retail and Distribution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38(6), 443-459.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Ho, L. A. (2009). The antecedents of e-learning outcome: an examination of system quality, technology readiness, &amp; learning behavior. </w:t>
      </w:r>
      <w:r w:rsidRPr="001364E5">
        <w:rPr>
          <w:rFonts w:ascii="Times New Roman" w:hAnsi="Times New Roman" w:cs="Times New Roman"/>
          <w:i/>
          <w:sz w:val="24"/>
          <w:szCs w:val="24"/>
        </w:rPr>
        <w:t>Adolescence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44(175), 581-599.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Ho, S. H., &amp; Ko, Y. Y. (2008). Effects of self-service technology on customer value and customer readiness: The case of Internet banking.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Internet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18(4), 427-446.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Huang, J. M., Ho, T. K., Liu, Y. C., &amp; Lin, Y. H. (2015). A discussion on the user intention of golfers toward golf GPS navigation.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Hospitality and Tourism Technology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6(1), 26-39.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lastRenderedPageBreak/>
        <w:t xml:space="preserve">Hubert, M., Florack, A., Gattringer, R., Eberhardt, T., Enkel, E., &amp; Kenning, P. (2017). Flag up!–Flagship products as important drivers of perceived brand innovativeness.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Business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71, 154-163.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Hung, C. J., Chang, H. H., Eng, C. J., &amp; Wong, K. H. (2013). Service quality and perceived value of technology-based service encounters: evaluation of clinical staff satisfaction in Taiwan. </w:t>
      </w:r>
      <w:r w:rsidRPr="001364E5">
        <w:rPr>
          <w:rFonts w:ascii="Times New Roman" w:hAnsi="Times New Roman" w:cs="Times New Roman"/>
          <w:i/>
          <w:sz w:val="24"/>
          <w:szCs w:val="24"/>
        </w:rPr>
        <w:t>Health Information Management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42(1), 29-36.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Hung, S. W., &amp; Cheng, M. J. (2013). Are you ready for knowledge sharing? An empirical study of virtual communities. </w:t>
      </w:r>
      <w:r w:rsidRPr="001364E5">
        <w:rPr>
          <w:rFonts w:ascii="Times New Roman" w:hAnsi="Times New Roman" w:cs="Times New Roman"/>
          <w:i/>
          <w:sz w:val="24"/>
          <w:szCs w:val="24"/>
        </w:rPr>
        <w:t>Computers and Education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62, 8-17.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Hur, H. J., Lee, H. K., &amp; Choo, H. J. (2017). Understanding usage intention in innovative mobile app service: Comparison between millennial and mature consumers. </w:t>
      </w:r>
      <w:r w:rsidRPr="001364E5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1364E5">
        <w:rPr>
          <w:rFonts w:ascii="Times New Roman" w:hAnsi="Times New Roman" w:cs="Times New Roman"/>
          <w:sz w:val="24"/>
          <w:szCs w:val="24"/>
        </w:rPr>
        <w:t>, 73, 353-361.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Hwang, J., &amp; Good, L. (2014). Intelligent sensor-based services success: the role of consumer characteristics and information. </w:t>
      </w:r>
      <w:r w:rsidRPr="001364E5">
        <w:rPr>
          <w:rFonts w:ascii="Times New Roman" w:hAnsi="Times New Roman" w:cs="Times New Roman"/>
          <w:i/>
          <w:sz w:val="24"/>
          <w:szCs w:val="24"/>
        </w:rPr>
        <w:t>European Journal of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48(3/4), 406-431.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Ismail, I., Azizan, S. N., &amp; Azman, N. (2011). Accessing innovativeness of distance learners toward their readiness in embracing technology. </w:t>
      </w:r>
      <w:r w:rsidRPr="001364E5">
        <w:rPr>
          <w:rFonts w:ascii="Times New Roman" w:hAnsi="Times New Roman" w:cs="Times New Roman"/>
          <w:i/>
          <w:sz w:val="24"/>
          <w:szCs w:val="24"/>
        </w:rPr>
        <w:t>African Journal of Business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5(33), 12768-12776.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Ismail, I., Azizan, S. N., &amp; Gunasegaran, T. (2016). Mobile Learning in Malaysian Universities: Are Students Ready?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Interactive Mobile Technologies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10(3), 17-23.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Jaafar, M., Aziz, A. R. A., Ramayah, T., &amp; Saad, B. (2007). Integrating information technology in the construction industry: Technology readiness assessment of Malaysian contractors.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Project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25(2), 115-120.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Jaafar, M., Ramayah, T., Abdul-Aziz, A. R., &amp; Saad, B. (2007). Technology readiness among managers of Malaysian construction firms. </w:t>
      </w:r>
      <w:r w:rsidRPr="001364E5">
        <w:rPr>
          <w:rFonts w:ascii="Times New Roman" w:hAnsi="Times New Roman" w:cs="Times New Roman"/>
          <w:i/>
          <w:sz w:val="24"/>
          <w:szCs w:val="24"/>
        </w:rPr>
        <w:t>Engineering, Construction and Architectural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14(2), 180-191.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Janom, N., Syazrah, W. N., Arshad, N. H., Salleh, S. S., &amp; Aris, S. R. S. (2014). Investigating the B40 Crowd Worker Technology and Knowledge Readiness in Malaysia.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Knowledge Management International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12-15).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Jin, C. (2013). The perspective of a revised TRAM on social capital building: The case of Facebook usage. </w:t>
      </w:r>
      <w:r w:rsidRPr="001364E5">
        <w:rPr>
          <w:rFonts w:ascii="Times New Roman" w:hAnsi="Times New Roman" w:cs="Times New Roman"/>
          <w:i/>
          <w:sz w:val="24"/>
          <w:szCs w:val="24"/>
        </w:rPr>
        <w:t>Information and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50(4), 162-168.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Johnson, D. S., Bardhi, F., &amp; Dunn, D. T. (2008). Understanding how technology paradoxes affect customer satisfaction with self</w:t>
      </w:r>
      <w:r w:rsidRPr="001364E5">
        <w:rPr>
          <w:rFonts w:ascii="Cambria Math" w:hAnsi="Cambria Math" w:cs="Cambria Math"/>
          <w:sz w:val="24"/>
          <w:szCs w:val="24"/>
        </w:rPr>
        <w:t>‐</w:t>
      </w:r>
      <w:r w:rsidRPr="001364E5">
        <w:rPr>
          <w:rFonts w:ascii="Times New Roman" w:hAnsi="Times New Roman" w:cs="Times New Roman"/>
          <w:sz w:val="24"/>
          <w:szCs w:val="24"/>
        </w:rPr>
        <w:t xml:space="preserve">service technology: The role of performance ambiguity and trust in technology. </w:t>
      </w:r>
      <w:r w:rsidRPr="001364E5">
        <w:rPr>
          <w:rFonts w:ascii="Times New Roman" w:hAnsi="Times New Roman" w:cs="Times New Roman"/>
          <w:i/>
          <w:sz w:val="24"/>
          <w:szCs w:val="24"/>
        </w:rPr>
        <w:t>Psychology and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25(5), 416-443.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Kaur Sahi, G., &amp; Gupta, S. (2013). Predicting customers' behavioral intentions toward ATM services.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Indian Business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5(4), 251-270.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Kaur, G., &amp; Gupta, S. (2012). Consumers’ behavioral intentions toward self-service technology in the emerging markets.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Global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25(5), 241-261.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Kleijnen, M., Wetzels, M., &amp; De Ruyter, K. (2004). Consumer acceptance of wireless finance.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Financial Services Marketing</w:t>
      </w:r>
      <w:r w:rsidRPr="001364E5">
        <w:rPr>
          <w:rFonts w:ascii="Times New Roman" w:hAnsi="Times New Roman" w:cs="Times New Roman"/>
          <w:sz w:val="24"/>
          <w:szCs w:val="24"/>
        </w:rPr>
        <w:t>, 8(3), 206-217.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Kros, J. F., Glenn Richey Jr, R., Chen, H., &amp; Nadler, S. S. (2011). Technology emergence between mandate and acceptance: an exploratory examination of RFID.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Physical Distribution and Logistics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41(7), 697-716.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Kulyukin, V., Gharpure, C., &amp; Pentico, C. (2007). Robots as interfaces to haptic and locomotor spaces.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International Conference on Human-Robot Interaction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325-331).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Kumar, A., &amp; Mukherjee, A. (2013). Shop while you talk: Determinants of purchase intentions through a mobile device.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Mobile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8(1), 23-37.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lastRenderedPageBreak/>
        <w:t xml:space="preserve">Kuo, F. R., &amp; Hwang, G. J. (2015). A structural equation model to analyse the antecedents to students’ web-based problem-solving performance. </w:t>
      </w:r>
      <w:r w:rsidRPr="001364E5">
        <w:rPr>
          <w:rFonts w:ascii="Times New Roman" w:hAnsi="Times New Roman" w:cs="Times New Roman"/>
          <w:i/>
          <w:sz w:val="24"/>
          <w:szCs w:val="24"/>
        </w:rPr>
        <w:t>Australasian Journal of Educational Technology,</w:t>
      </w:r>
      <w:r w:rsidRPr="001364E5">
        <w:rPr>
          <w:rFonts w:ascii="Times New Roman" w:hAnsi="Times New Roman" w:cs="Times New Roman"/>
          <w:sz w:val="24"/>
          <w:szCs w:val="24"/>
        </w:rPr>
        <w:t xml:space="preserve"> 31(4), 400-420.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Kuo, K. M., Liu, C. F., &amp; Ma, C. C. (2013). An investigation of the effect of nurses’ technology readiness on the acceptance of mobile electronic medical record systems. </w:t>
      </w:r>
      <w:r w:rsidRPr="001364E5">
        <w:rPr>
          <w:rFonts w:ascii="Times New Roman" w:hAnsi="Times New Roman" w:cs="Times New Roman"/>
          <w:i/>
          <w:sz w:val="24"/>
          <w:szCs w:val="24"/>
        </w:rPr>
        <w:t>BMC Medical Informatics and Decision Making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13, 88-102.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Kuo, T. H. (2011). The antecedents of customer relationship in e-banking industry.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Computer Information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51(3), 57-66.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Kuo, Y. L. (2009). The driving forces for design project effectiveness.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Computer Information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50(2), 60-70.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Kuo, Y. L. (2013). Technology readiness as moderator for construction company performance. </w:t>
      </w:r>
      <w:r w:rsidRPr="001364E5">
        <w:rPr>
          <w:rFonts w:ascii="Times New Roman" w:hAnsi="Times New Roman" w:cs="Times New Roman"/>
          <w:i/>
          <w:sz w:val="24"/>
          <w:szCs w:val="24"/>
        </w:rPr>
        <w:t>Industrial Management and Data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113(4), 558-572.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Lai, C. S. (2007). The effects of technology readiness index and IT-based services on the service quality in the hotel industry.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Portland International Center for Management of Engineering and Technology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2743-2747).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Lai, M. L., Obid, S. N. S., &amp; Meera, A. K. (2004). Towards an electronic filing system: A Malaysian survey. </w:t>
      </w:r>
      <w:r w:rsidRPr="001364E5">
        <w:rPr>
          <w:rFonts w:ascii="Times New Roman" w:hAnsi="Times New Roman" w:cs="Times New Roman"/>
          <w:i/>
          <w:sz w:val="24"/>
          <w:szCs w:val="24"/>
        </w:rPr>
        <w:t>eJournal of Tax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2(1), 100-112.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Lam, S. Y., Chiang, J., &amp; Parasuraman, A. (2008). The effects of the dimensions of technology readiness on technology acceptance: An empirical analysis.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Interactive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22(4), 19-39.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Lanseng, E. J., &amp; Andreassen, T. W. (2007). Electronic healthcare: a study of people's readiness and attitude toward performing self-diagnosis.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Service Industry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18(4), 394-417.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Lee, J. M., &amp; Rha, J. Y. (2016). Personalization–privacy paradox and consumer conflict with the use of location-based mobile commerce. </w:t>
      </w:r>
      <w:r w:rsidRPr="001364E5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63, 453-462.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Lee, W. I., Chiu, Y. T. H., Chiang, M. H., &amp; Chiu, C. C. (2009). Technology Readiness in the Quality-value-loyalty Chain.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Electronic Business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7(2), 112-126.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Lee, W., Castellanos, C., &amp; Chris Choi, H. S. (2012). The effect of technology readiness on customers' attitudes toward self-service technology and its adoption; the empirical study of US airline self-service check-in kiosks.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Travel and Tourism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29(8), 731-743.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Lian, J. W. (2015). Critical factors for cloud based e-invoice service adoption in Taiwan: An empirical study.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Information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35(1), 98-109.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Liljander, V., Gillberg, F., Gummerus, J., &amp; Van Riel, A. (2006). Technology readiness and the evaluation and adoption of self-service technologies.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Retailing and Consumer Services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13(3), 177-191.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Lin, C. H. (2007). The Effects of Technology Readiness on the Formation of E-Service Value.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Portland International Center for Management of Engineering and Technology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1811-1817).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Lin, C. H. (2009). The effects of utilitarian shopping and technology belief on perceived E-Service value.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Portland International Center for Management of Engineering and Technology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2940-2942).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Lin, C. H. (2010). In search of e-service value: technology-exploitation vs. certainty-seeking online behaviours. </w:t>
      </w:r>
      <w:r w:rsidRPr="001364E5">
        <w:rPr>
          <w:rFonts w:ascii="Times New Roman" w:hAnsi="Times New Roman" w:cs="Times New Roman"/>
          <w:i/>
          <w:sz w:val="24"/>
          <w:szCs w:val="24"/>
        </w:rPr>
        <w:t>Service Industries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30(8), 1377-1400.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Lin, C. H., Shih, H. Y., &amp; Sher, P. J. (2007). Integrating technology readiness into technology acceptance: The TRAM model. </w:t>
      </w:r>
      <w:r w:rsidRPr="001364E5">
        <w:rPr>
          <w:rFonts w:ascii="Times New Roman" w:hAnsi="Times New Roman" w:cs="Times New Roman"/>
          <w:i/>
          <w:sz w:val="24"/>
          <w:szCs w:val="24"/>
        </w:rPr>
        <w:t>Psychology and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24(7), 641-657.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de-DE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Lin, C. H., Shih, H. Y., Sher, P. J., &amp; Wang, Y. L. (2005). Consumer adoption of e-service: Integrating technology readiness with the technology acceptance model. In </w:t>
      </w:r>
      <w:r w:rsidRPr="001364E5">
        <w:rPr>
          <w:rFonts w:ascii="Times New Roman" w:hAnsi="Times New Roman" w:cs="Times New Roman"/>
          <w:i/>
          <w:sz w:val="24"/>
          <w:szCs w:val="24"/>
        </w:rPr>
        <w:t xml:space="preserve">Proceedings of </w:t>
      </w:r>
      <w:r w:rsidRPr="001364E5">
        <w:rPr>
          <w:rFonts w:ascii="Times New Roman" w:hAnsi="Times New Roman" w:cs="Times New Roman"/>
          <w:i/>
          <w:sz w:val="24"/>
          <w:szCs w:val="24"/>
        </w:rPr>
        <w:lastRenderedPageBreak/>
        <w:t>the Technology Management: A Unifying Discipline for Melting the Boundaries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July 31-Aug. </w:t>
      </w:r>
      <w:r w:rsidRPr="001364E5">
        <w:rPr>
          <w:rFonts w:ascii="Times New Roman" w:hAnsi="Times New Roman" w:cs="Times New Roman"/>
          <w:sz w:val="24"/>
          <w:szCs w:val="24"/>
          <w:lang w:val="de-DE"/>
        </w:rPr>
        <w:t xml:space="preserve">4, 2005, Portland, USA (pp. 483-488).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  <w:lang w:val="de-DE"/>
        </w:rPr>
        <w:t xml:space="preserve">Lin, J. S. C., &amp; Chang, H. C. (2011). </w:t>
      </w:r>
      <w:r w:rsidRPr="001364E5">
        <w:rPr>
          <w:rFonts w:ascii="Times New Roman" w:hAnsi="Times New Roman" w:cs="Times New Roman"/>
          <w:sz w:val="24"/>
          <w:szCs w:val="24"/>
        </w:rPr>
        <w:t xml:space="preserve">The role of technology readiness in self-service technology acceptance. </w:t>
      </w:r>
      <w:r w:rsidRPr="001364E5">
        <w:rPr>
          <w:rFonts w:ascii="Times New Roman" w:hAnsi="Times New Roman" w:cs="Times New Roman"/>
          <w:i/>
          <w:sz w:val="24"/>
          <w:szCs w:val="24"/>
        </w:rPr>
        <w:t>Managing Service Quality: An International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21(4), 424-444.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Lin, J. S. C., &amp; Hsieh, P. L. (2006). The role of technology readiness in customers' perception and adoption of self-service technologies.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Service Industry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17(5), 497-517.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Lin, J. S. C., &amp; Hsieh, P. L. (2007). The influence of technology readiness on satisfaction and behavioral intentions toward self-service technologies. </w:t>
      </w:r>
      <w:r w:rsidRPr="001364E5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23(3), 1597-1615.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Lin, J. S. C., &amp; Hsieh, P. L. (2011). Assessing the self-service technology encounters: development and validation of SSTQUAL scale.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Retailing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87(2), 194-206.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Lin, S. F., Lin, C. L., &amp; Lee, D. C. (2015). The relationship between elementary school teachers’ technology readiness and intention to use social media platforms for classroom management.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Organizational Innovation</w:t>
      </w:r>
      <w:r w:rsidRPr="001364E5">
        <w:rPr>
          <w:rFonts w:ascii="Times New Roman" w:hAnsi="Times New Roman" w:cs="Times New Roman"/>
          <w:sz w:val="24"/>
          <w:szCs w:val="24"/>
        </w:rPr>
        <w:t xml:space="preserve">, 8(1), 48-63.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Ling, L. M., &amp; Moi, C. M. (2007). Professional students’ technology readiness, prior computing experience and acceptance of an e-learning system. </w:t>
      </w:r>
      <w:r w:rsidRPr="001364E5">
        <w:rPr>
          <w:rFonts w:ascii="Times New Roman" w:hAnsi="Times New Roman" w:cs="Times New Roman"/>
          <w:i/>
          <w:sz w:val="24"/>
          <w:szCs w:val="24"/>
        </w:rPr>
        <w:t>Malaysian Accounting Review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6(1), 85-99.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Liu, S. F., Huang, L. S., &amp; Chiou, Y. H. (2012). An integrated attitude model of self-service technologies: evidence from online stock trading systems brokers. </w:t>
      </w:r>
      <w:r w:rsidRPr="001364E5">
        <w:rPr>
          <w:rFonts w:ascii="Times New Roman" w:hAnsi="Times New Roman" w:cs="Times New Roman"/>
          <w:i/>
          <w:sz w:val="24"/>
          <w:szCs w:val="24"/>
        </w:rPr>
        <w:t>Service Industries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32(11), 1823-1835.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Lu, J., Hayes, L., Yu, C. S., &amp; Wang, L. Z. (2010). Technology readiness, trustworthiness, and use of e-auctions.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Southwest decision sciences Institute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Dallas, TX (pp. 1-16).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Macdonald, E. K., &amp; Uncles, M. D. (2007). Consumer savvy: Conceptualisation and measurement.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Marketing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23(5-6), 497-517.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Mady, T. T. (2011). Sentiment toward marketing: Should we care about consumer alienation and readiness to use technology?.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Consumer Behaviour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10(4), 192-204.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Maier, E. (2016). Supply and demand on crowdlending platforms: connecting small and medium-sized enterprise borrowers and consumer investors.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Retailing and Consumer Services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33, 143-153.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Massey, A. P., Khatri, V., &amp; Minas, R. K. (2013). The Influence of Psychographic Beliefs on Website Usability Requirements. </w:t>
      </w:r>
      <w:r w:rsidRPr="001364E5">
        <w:rPr>
          <w:rFonts w:ascii="Times New Roman" w:hAnsi="Times New Roman" w:cs="Times New Roman"/>
          <w:i/>
          <w:sz w:val="24"/>
          <w:szCs w:val="24"/>
        </w:rPr>
        <w:t>AIS Transactions on Human-Computer Interaction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5(4), 157-174.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Mathwick, C., Wagner, J., &amp; Unni, R. (2010). Computer-mediated customization tendency (CMCT) and the adaptive e-service experience.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Retailing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86(1), 11-21.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Matthing, J., Kristensson, P., Gustafsson, A., &amp; Parasuraman, A. (2006). Developing successful technology-based services: the issue of identifying and involving innovative users.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Services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20(5), 288-297.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Melas, C. D., Zampetakis, L. A., Dimopoulou, A., &amp; Moustakis, V. S. (2014). An empirical investigation of Technology Readiness among medical staff based in Greek hospitals. </w:t>
      </w:r>
      <w:r w:rsidRPr="001364E5">
        <w:rPr>
          <w:rFonts w:ascii="Times New Roman" w:hAnsi="Times New Roman" w:cs="Times New Roman"/>
          <w:i/>
          <w:sz w:val="24"/>
          <w:szCs w:val="24"/>
        </w:rPr>
        <w:t>European Journal of Information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23(6), 672-690.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Meng, J., Elliott, K. M., &amp; Hall, M. C. (2010). Technology readiness index (TRI): Assessing cross-cultural validity.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International Consumer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22(1), 19-31.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Ming Ling, L., &amp; Muhammad, I. (2006). Taxation and technology: Technology readiness of Malaysian tax officers in petaling jaya branch.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Financial Reporting and Accounting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4(1), 147-163.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Mueller, C. A. (2009). </w:t>
      </w:r>
      <w:r w:rsidRPr="001364E5">
        <w:rPr>
          <w:rFonts w:ascii="Times New Roman" w:hAnsi="Times New Roman" w:cs="Times New Roman"/>
          <w:i/>
          <w:sz w:val="24"/>
          <w:szCs w:val="24"/>
        </w:rPr>
        <w:t>Influence of transformational leadership style on decision-making style and technology readiness: A correlation study</w:t>
      </w:r>
      <w:r w:rsidRPr="001364E5">
        <w:rPr>
          <w:rFonts w:ascii="Times New Roman" w:hAnsi="Times New Roman" w:cs="Times New Roman"/>
          <w:sz w:val="24"/>
          <w:szCs w:val="24"/>
        </w:rPr>
        <w:t xml:space="preserve">. Dissertation. University of Phoenix.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6118E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Mummalaneni, V., Meng, J., &amp; Elliott, K. M. (2016). </w:t>
      </w:r>
      <w:r w:rsidRPr="001364E5">
        <w:rPr>
          <w:rFonts w:ascii="Times New Roman" w:hAnsi="Times New Roman" w:cs="Times New Roman"/>
          <w:sz w:val="24"/>
          <w:szCs w:val="24"/>
        </w:rPr>
        <w:t xml:space="preserve">Consumer Technology Readiness and E-Service Quality in E-Tailing: What is the Impact on Predicting Online Purchasing?.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Internet Commerce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15(4), 311-331.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Nugroho, M. A. (2015). Impact of Government Support and Competitor Pressure on the Readiness of SMEs in Indonesia in Adopting the Information Technology. </w:t>
      </w:r>
      <w:r w:rsidRPr="001364E5">
        <w:rPr>
          <w:rFonts w:ascii="Times New Roman" w:hAnsi="Times New Roman" w:cs="Times New Roman"/>
          <w:i/>
          <w:sz w:val="24"/>
          <w:szCs w:val="24"/>
        </w:rPr>
        <w:t>Procedia Computer Science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72, 102-111.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Olschewski, M., Renken, U. B., Bullinger, A. C., &amp; Möslein, K. M. (2013). Are you ready to use? Assessing the meaning of social influence and technology readiness in collaboration technology adoption.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46th Hawaii International Conference on System Sciences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620-629).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Ong, C. S., &amp; Lin, C. T. (2013). The impacts of user readiness on perceived value.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Association for Information Science and Technology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50(1), 1-10.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Parasuraman, A. (2000). Technology Readiness Index (TRI) a multiple-item scale to measure readiness to embrace new technologies.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Service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2(4), 307-320.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Parasuraman, A., &amp; Colby, C. L. (2015). An updated and streamlined technology readiness index: TRI 2.0.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Service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18(1), 59-74.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Pashupati, K., &amp; Kendrick, A. (2008). Advertising practitioner perceptions of HDTV advertising: A diffusion of innovations perspective.</w:t>
      </w:r>
      <w:r w:rsidRPr="001364E5">
        <w:rPr>
          <w:rFonts w:ascii="Times New Roman" w:hAnsi="Times New Roman" w:cs="Times New Roman"/>
          <w:i/>
          <w:sz w:val="24"/>
          <w:szCs w:val="24"/>
        </w:rPr>
        <w:t xml:space="preserve"> International Journal on Media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10(4), 158-178.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Pires, P. J., da Costa Filho, B. A., &amp; da Cunha, J. C. (2011). Technology readiness index (TRI) factors as differentiating elements between users and non-users of internet banking, a as antecedents of the technology acceptance model (TAM).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International Conference on ENTERprise Information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215-229).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  <w:lang w:val="de-DE"/>
        </w:rPr>
        <w:t xml:space="preserve">Rahman, S. A., Taghizadeh, S. K., Ramayah, T., &amp; Alam, M. M. D. (2017). </w:t>
      </w:r>
      <w:r w:rsidRPr="001364E5">
        <w:rPr>
          <w:rFonts w:ascii="Times New Roman" w:hAnsi="Times New Roman" w:cs="Times New Roman"/>
          <w:sz w:val="24"/>
          <w:szCs w:val="24"/>
        </w:rPr>
        <w:t xml:space="preserve">Technology acceptance among micro-entrepreneurs in marginalized social strata: The case of social innovation in Bangladesh. </w:t>
      </w:r>
      <w:r w:rsidRPr="001364E5">
        <w:rPr>
          <w:rFonts w:ascii="Times New Roman" w:hAnsi="Times New Roman" w:cs="Times New Roman"/>
          <w:i/>
          <w:sz w:val="24"/>
          <w:szCs w:val="24"/>
        </w:rPr>
        <w:t>Technological Forecasting and Social Change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118, 236-245.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Ranaweera, C., Bansal, H., &amp; McDougall, G. (2008). Web site satisfaction and purchase intentions: impact of personality characteristics during initial web site visit. </w:t>
      </w:r>
      <w:r w:rsidRPr="001364E5">
        <w:rPr>
          <w:rFonts w:ascii="Times New Roman" w:hAnsi="Times New Roman" w:cs="Times New Roman"/>
          <w:i/>
          <w:sz w:val="24"/>
          <w:szCs w:val="24"/>
        </w:rPr>
        <w:t>Managing Service Quality: An International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18(4), 329-348.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Reday, P. A., Marshall, R., &amp; Parasuraman, A. (2009). An interdisciplinary approach to assessing the characteristics and sales potential of modern salespeople. </w:t>
      </w:r>
      <w:r w:rsidRPr="001364E5">
        <w:rPr>
          <w:rFonts w:ascii="Times New Roman" w:hAnsi="Times New Roman" w:cs="Times New Roman"/>
          <w:i/>
          <w:sz w:val="24"/>
          <w:szCs w:val="24"/>
        </w:rPr>
        <w:t>Industrial Marketing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38(7), 838-844.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Reisenwitz, T. H. (2016). Student Evaluation of Teaching: An Investigation of Nonresponse Bias in an Online Context.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Marketing Education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38(1), 7-17.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Richey, R. G. (2003). </w:t>
      </w:r>
      <w:r w:rsidRPr="001364E5">
        <w:rPr>
          <w:rFonts w:ascii="Times New Roman" w:hAnsi="Times New Roman" w:cs="Times New Roman"/>
          <w:i/>
          <w:sz w:val="24"/>
          <w:szCs w:val="24"/>
        </w:rPr>
        <w:t>Technological readiness and strategic interactive fit: Dynamic capabilities impacting logistics service competency and performance</w:t>
      </w:r>
      <w:r w:rsidRPr="001364E5">
        <w:rPr>
          <w:rFonts w:ascii="Times New Roman" w:hAnsi="Times New Roman" w:cs="Times New Roman"/>
          <w:sz w:val="24"/>
          <w:szCs w:val="24"/>
        </w:rPr>
        <w:t>. Dissertation. University of Oklahoma.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Richey, R. G., Adams, F. G., &amp; Dalela, V. (2012). Technology and Flexibility: Enablers of Collaboration and Time</w:t>
      </w:r>
      <w:r w:rsidRPr="001364E5">
        <w:rPr>
          <w:rFonts w:ascii="Cambria Math" w:hAnsi="Cambria Math" w:cs="Cambria Math"/>
          <w:sz w:val="24"/>
          <w:szCs w:val="24"/>
        </w:rPr>
        <w:t>‐</w:t>
      </w:r>
      <w:r w:rsidRPr="001364E5">
        <w:rPr>
          <w:rFonts w:ascii="Times New Roman" w:hAnsi="Times New Roman" w:cs="Times New Roman"/>
          <w:sz w:val="24"/>
          <w:szCs w:val="24"/>
        </w:rPr>
        <w:t xml:space="preserve">Based Logistics Quality.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Business Logistics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33(1), 34-49.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Richey, R. G., Tokman, M., &amp; Skinner, L. R. (2008). Exploring collaborative technology utilization in retailer–supplier performance.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Business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61(8), 842-849.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Rojas-Méndez, J. I., Parasuraman, A., &amp; Papadopoulos, N. (2017). Demographics, attitudes, and technology readiness: A cross-cultural analysis and model validation. </w:t>
      </w:r>
      <w:r w:rsidRPr="001364E5">
        <w:rPr>
          <w:rFonts w:ascii="Times New Roman" w:hAnsi="Times New Roman" w:cs="Times New Roman"/>
          <w:i/>
          <w:sz w:val="24"/>
          <w:szCs w:val="24"/>
        </w:rPr>
        <w:t>Marketing Intelligence and Planning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35(1), 18-39.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Said, R. F. M., Rahman, S. A., Mutalib, S., Yusoff, M., &amp; Mohamed, A. (2008). User technology readiness measurement in fingerprint adoption at higher education institution.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International Conference on Computational Science and Its Applications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91-104).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lastRenderedPageBreak/>
        <w:t xml:space="preserve">Shambare, R. (2013). Technology readiness and EFTPoS usage in Zimbabwe.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Business and Economic Development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1(1), 13-22.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Shanahan, K. J., &amp; Hyman, M. R. (2010). Motivators and enablers of SCOURing: A study of online piracy in the US and UK.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Business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63(9), 1095-1102.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Shen, Y. C., Huang, C. Y., Chu, C. H., &amp; Hsu, C. T. (2010). A benefit–cost perspective of the consumer adoption of the mobile banking system. </w:t>
      </w:r>
      <w:r w:rsidRPr="001364E5">
        <w:rPr>
          <w:rFonts w:ascii="Times New Roman" w:hAnsi="Times New Roman" w:cs="Times New Roman"/>
          <w:i/>
          <w:sz w:val="24"/>
          <w:szCs w:val="24"/>
        </w:rPr>
        <w:t>Behaviour and Information Technology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29(5), 497-511.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Shih, Y. C., &amp; Fan, S. T. (2013). Adoption of instant messaging by travel agency workers in Taiwan: Integrating technology readiness with the theory of planned behavior.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Business and Information</w:t>
      </w:r>
      <w:r w:rsidRPr="001364E5">
        <w:rPr>
          <w:rFonts w:ascii="Times New Roman" w:hAnsi="Times New Roman" w:cs="Times New Roman"/>
          <w:sz w:val="24"/>
          <w:szCs w:val="24"/>
        </w:rPr>
        <w:t xml:space="preserve">, 8(1), 120-136.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Shin, S., &amp; Lee, W. J. (2014). The effects of technology readiness and technology acceptance on NFC mobile payment services in Korea.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Applied Business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30(6), 1615-1626.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Son, M., &amp; Han, K. (2011). Beyond the technology adoption: Technology readiness effects on post-adoption behavior.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Business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64(11), 1178-1182.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Sophonthummapharn, K., &amp; Tesar, G. (2007). Technology readiness and propensity of cell phone users to subscribe to commercial messaging services. </w:t>
      </w:r>
      <w:r w:rsidRPr="001364E5">
        <w:rPr>
          <w:rFonts w:ascii="Times New Roman" w:hAnsi="Times New Roman" w:cs="Times New Roman"/>
          <w:i/>
          <w:sz w:val="24"/>
          <w:szCs w:val="24"/>
        </w:rPr>
        <w:t>Marketing Management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17(2), 81-95.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Stock, R., &amp; Gross, M. (2016). How Does Knowledge Workers' Social Technology Readiness Affect Their Innovative Work Behavior?.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49th Hawaii International Conference on System Sciences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2166-2175).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Summak, M. S., Bağlıbel, M., &amp; Samancıoğlu, M. (2010). Technology readiness of primary school teachers: A case study in Turkey. </w:t>
      </w:r>
      <w:r w:rsidRPr="001364E5">
        <w:rPr>
          <w:rFonts w:ascii="Times New Roman" w:hAnsi="Times New Roman" w:cs="Times New Roman"/>
          <w:i/>
          <w:sz w:val="24"/>
          <w:szCs w:val="24"/>
        </w:rPr>
        <w:t>Procedia-Social and Behavioral Sciences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2(2), 2671-2675.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Theotokis, A., Vlachos, P. A., &amp; Pramatari, K. (2008). The moderating role of customer–technology contact on attitude towards technology-based services. </w:t>
      </w:r>
      <w:r w:rsidRPr="001364E5">
        <w:rPr>
          <w:rFonts w:ascii="Times New Roman" w:hAnsi="Times New Roman" w:cs="Times New Roman"/>
          <w:i/>
          <w:sz w:val="24"/>
          <w:szCs w:val="24"/>
        </w:rPr>
        <w:t>European Journal of Information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17(4), 343-351.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Tsikriktsis, N. (2004). A technology readiness-based taxonomy of customers: A replication and extension.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Service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7(1), 42-52.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Tsourela, M., &amp; Roumeliotis, M. (2015). The moderating role of technology readiness, gender, and sex in consumer acceptance and actual use of Technology-based services.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High Technology Management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26(2), 124-136.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Uncu, C. E. (2014). </w:t>
      </w:r>
      <w:r w:rsidRPr="001364E5">
        <w:rPr>
          <w:rFonts w:ascii="Times New Roman" w:hAnsi="Times New Roman" w:cs="Times New Roman"/>
          <w:i/>
          <w:sz w:val="24"/>
          <w:szCs w:val="24"/>
        </w:rPr>
        <w:t>The effect of stakeholders’ general beliefs of technology on perceived usefulness and eventually intention to use a product in medical innovation management: A review of type 1 diabetes patients and physicians in the Netherlands</w:t>
      </w:r>
      <w:r w:rsidRPr="001364E5">
        <w:rPr>
          <w:rFonts w:ascii="Times New Roman" w:hAnsi="Times New Roman" w:cs="Times New Roman"/>
          <w:sz w:val="24"/>
          <w:szCs w:val="24"/>
        </w:rPr>
        <w:t xml:space="preserve">. Dissertation. University of Twente.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Van Ittersum, K., Rogers, W. A., Capar, M., Park, S., O’Brien, M. A., Caine, K. E., Parsons, L. J., &amp; Fisk, A. D. (2006). Understanding technology acceptance: Phase 2–Identifying and validating the metrics and preliminary testing of a quantitative model. Working paper. Georgia Institute of Technology.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Vize, R., Coughlan, J., Kennedy, A., &amp; Ellis-Chadwick, F. (2013). Technology readiness in a B2B online retail context: An examination of antecedents and outcomes. </w:t>
      </w:r>
      <w:r w:rsidRPr="001364E5">
        <w:rPr>
          <w:rFonts w:ascii="Times New Roman" w:hAnsi="Times New Roman" w:cs="Times New Roman"/>
          <w:i/>
          <w:sz w:val="24"/>
          <w:szCs w:val="24"/>
        </w:rPr>
        <w:t>Industrial Marketing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42(6), 909-918.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Walczuch, R., Lemmink, J., &amp; Streukens, S. (2007). The effect of service employees’ technology readiness on technology acceptance. </w:t>
      </w:r>
      <w:r w:rsidRPr="001364E5">
        <w:rPr>
          <w:rFonts w:ascii="Times New Roman" w:hAnsi="Times New Roman" w:cs="Times New Roman"/>
          <w:i/>
          <w:sz w:val="24"/>
          <w:szCs w:val="24"/>
        </w:rPr>
        <w:t>Information and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44(2), 206-215.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Wang, Y., &amp; Sparks, B. (2014). Technology-enabled services: importance and role of Technology readiness. </w:t>
      </w:r>
      <w:r w:rsidRPr="001364E5">
        <w:rPr>
          <w:rFonts w:ascii="Times New Roman" w:hAnsi="Times New Roman" w:cs="Times New Roman"/>
          <w:i/>
          <w:sz w:val="24"/>
          <w:szCs w:val="24"/>
        </w:rPr>
        <w:t>Tourism Analysis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19(1), 19-33.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lastRenderedPageBreak/>
        <w:t xml:space="preserve">Wang, Y., So, K. K. F., &amp; Sparks, B. A. (2014). What technology-enabled Services do air travelers value? Investigating the role of technology readiness.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Hospitality and Tourism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41(7), 771-796.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Wang, Y., So, K. K. F., &amp; Sparks, B. A. (2017). Technology Readiness and Customer Satisfaction with Travel Technologies: A Cross-Country Investigation.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Travel Research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56(5), 563-577.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Wästlund, E., Reinikka, H., Norlander, T., &amp; Archer, T. (2005). Effects of VDT and paper presentation on consumption and production of information: Psychological and physiological factors. </w:t>
      </w:r>
      <w:r w:rsidRPr="001364E5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21(2), 377-394.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Wati, Y., &amp; Koo, C. (2009). A comparative study of Internet banking satisfaction model in South Korea and Indonesia. </w:t>
      </w:r>
      <w:r w:rsidRPr="001364E5">
        <w:rPr>
          <w:rFonts w:ascii="Times New Roman" w:hAnsi="Times New Roman" w:cs="Times New Roman"/>
          <w:i/>
          <w:sz w:val="24"/>
          <w:szCs w:val="24"/>
        </w:rPr>
        <w:t>Asia Pacific Journal of Information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19(4), 1-11.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Westjohn, S. A., Arnold, M. J., Magnusson, P., Zdravkovic, S., &amp; Zhou, J. X. (2009). Technology readiness and usage: a global-identity perspective.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the Academy of Marketing Science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37(3), 250-265.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White, A., Breazeale, M., &amp; Collier, J. E. (2012). The effects of perceived fairness on customer responses to retailer SST push policies.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Retailing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88(2), 250-261.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White, C., McMurray, A. J., &amp; Rudito, P. (2012). Using mature concepts to generate new ideas: technology acceptance revisited.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Technology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7(4), 361-378.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Wirtz, B. W., &amp; Piehler, R. (2016). eGovernment Applications and public personnel acceptance: an empirical analysis of the public servant perspective.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Public Administration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39(3), 238-247.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Wong, C. H., Tan, G. W. H., Hew, T. S., &amp; Ooi, K. B. (2016). Can mobile TV be a new revolution in the television industry?. </w:t>
      </w:r>
      <w:r w:rsidRPr="001364E5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1364E5">
        <w:rPr>
          <w:rFonts w:ascii="Times New Roman" w:hAnsi="Times New Roman" w:cs="Times New Roman"/>
          <w:sz w:val="24"/>
          <w:szCs w:val="24"/>
        </w:rPr>
        <w:t xml:space="preserve">, 55, 764-776.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Wook, M., Yusof, Z. M., &amp; Nazri, M. Z. A. (2017). Educational data mining acceptance among undergraduate students. </w:t>
      </w:r>
      <w:r w:rsidRPr="001364E5">
        <w:rPr>
          <w:rFonts w:ascii="Times New Roman" w:hAnsi="Times New Roman" w:cs="Times New Roman"/>
          <w:i/>
          <w:sz w:val="24"/>
          <w:szCs w:val="24"/>
        </w:rPr>
        <w:t>Education and Information Technologies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22(3), 1195-1216.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Yang, H. S., &amp; Park, C. K. (2012). The effect of technology readiness, fashion innovativeness, and participation level perception on acceptance intention of 3D virtual fitting systems.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the Korean Society of Clothing and Textiles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36(3), 269-281.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Yang, Y. C., Liu, S. W., &amp; Ding, M. C. (2012). Determinants of self-service technology adoption. </w:t>
      </w:r>
      <w:r w:rsidRPr="001364E5">
        <w:rPr>
          <w:rFonts w:ascii="Times New Roman" w:hAnsi="Times New Roman" w:cs="Times New Roman"/>
          <w:i/>
          <w:sz w:val="24"/>
          <w:szCs w:val="24"/>
        </w:rPr>
        <w:t>African Journal of Business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6(40), 10514-10523.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Yen, H. R. (2005). An attribute-based model of quality satisfaction for internet self-service technology. </w:t>
      </w:r>
      <w:r w:rsidRPr="001364E5">
        <w:rPr>
          <w:rFonts w:ascii="Times New Roman" w:hAnsi="Times New Roman" w:cs="Times New Roman"/>
          <w:i/>
          <w:sz w:val="24"/>
          <w:szCs w:val="24"/>
        </w:rPr>
        <w:t>Service Industries Journal</w:t>
      </w:r>
      <w:r w:rsidRPr="001364E5">
        <w:rPr>
          <w:rFonts w:ascii="Times New Roman" w:hAnsi="Times New Roman" w:cs="Times New Roman"/>
          <w:sz w:val="24"/>
          <w:szCs w:val="24"/>
        </w:rPr>
        <w:t xml:space="preserve">, 25(5), 641-659.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Yi, Y., Tung, L. L., &amp; Wu, Z. (2003). Incorporating technology readiness (TR) into TAM: are individual traits important to understand technology acceptance?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2003 Diffusion Interest Group in Information Technology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, Seattle, December 14, 2003.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  <w:lang w:val="de-DE"/>
        </w:rPr>
        <w:t xml:space="preserve">Yi, Y., Wu, Z., &amp; Tung, L. L. (2005). </w:t>
      </w:r>
      <w:r w:rsidRPr="001364E5">
        <w:rPr>
          <w:rFonts w:ascii="Times New Roman" w:hAnsi="Times New Roman" w:cs="Times New Roman"/>
          <w:sz w:val="24"/>
          <w:szCs w:val="24"/>
        </w:rPr>
        <w:t xml:space="preserve">How individual differences influence technology usage behavior? Toward an integrated framework.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Computer Information Systems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46(2), 52-63.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Yieh, K., Chen, J. S., &amp; Wei, M. B. (2012). The Effects of Technology Readiness on Customer Perceived Value: An Empirical Analysis.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Family and Economic Issues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33(2), 177-183.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Yousafzai, S., &amp; Yani-de-Soriano, M. (2012). Understanding customer-specific factors underpinning internet banking adoption.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Bank Marketing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30(1), 60-81.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 xml:space="preserve">Yusof, N. A., Sibly, S., &amp; Osman, Z. (2012). Are housing developers ready for innovation? The case for a new housing delivery system in Malaysia. </w:t>
      </w:r>
      <w:r w:rsidRPr="001364E5">
        <w:rPr>
          <w:rFonts w:ascii="Times New Roman" w:hAnsi="Times New Roman" w:cs="Times New Roman"/>
          <w:i/>
          <w:sz w:val="24"/>
          <w:szCs w:val="24"/>
        </w:rPr>
        <w:t>International Journal of Innovation and Technology Management</w:t>
      </w:r>
      <w:r w:rsidRPr="001364E5">
        <w:rPr>
          <w:rFonts w:ascii="Times New Roman" w:hAnsi="Times New Roman" w:cs="Times New Roman"/>
          <w:sz w:val="24"/>
          <w:szCs w:val="24"/>
        </w:rPr>
        <w:t xml:space="preserve">, 9(6), 1-16.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lastRenderedPageBreak/>
        <w:t xml:space="preserve">Zagel, C., &amp; Bodendorf, F. (2014). Success factors and approaches of service fascination–A research framework.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Advances in the Human Side of Service Engineering Conference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537-548).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  <w:lang w:val="de-DE"/>
        </w:rPr>
        <w:t xml:space="preserve">Zhu, Y. Q., &amp; Chen, H. G. (2011). </w:t>
      </w:r>
      <w:r w:rsidRPr="001364E5">
        <w:rPr>
          <w:rFonts w:ascii="Times New Roman" w:hAnsi="Times New Roman" w:cs="Times New Roman"/>
          <w:sz w:val="24"/>
          <w:szCs w:val="24"/>
        </w:rPr>
        <w:t xml:space="preserve">An integrative model of consumer's adoption of RFID credit card service. In </w:t>
      </w:r>
      <w:r w:rsidRPr="001364E5">
        <w:rPr>
          <w:rFonts w:ascii="Times New Roman" w:hAnsi="Times New Roman" w:cs="Times New Roman"/>
          <w:i/>
          <w:sz w:val="24"/>
          <w:szCs w:val="24"/>
        </w:rPr>
        <w:t>Proceedings of the 44th Hawaii International Conference on System Sciences</w:t>
      </w:r>
      <w:r w:rsidRPr="001364E5">
        <w:rPr>
          <w:rFonts w:ascii="Times New Roman" w:hAnsi="Times New Roman" w:cs="Times New Roman"/>
          <w:sz w:val="24"/>
          <w:szCs w:val="24"/>
        </w:rPr>
        <w:t xml:space="preserve"> (pp. 1-9). </w:t>
      </w:r>
    </w:p>
    <w:p w:rsidR="00053CE2" w:rsidRPr="001364E5" w:rsidRDefault="00053CE2" w:rsidP="00053CE2">
      <w:pPr>
        <w:spacing w:after="0" w:line="240" w:lineRule="auto"/>
        <w:ind w:left="284" w:hanging="284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  <w:lang w:val="de-DE"/>
        </w:rPr>
        <w:t xml:space="preserve">Zhu, Z., Nakata, C., Sivakumar, K., &amp; Grewal, D. (2013). </w:t>
      </w:r>
      <w:r w:rsidRPr="001364E5">
        <w:rPr>
          <w:rFonts w:ascii="Times New Roman" w:hAnsi="Times New Roman" w:cs="Times New Roman"/>
          <w:sz w:val="24"/>
          <w:szCs w:val="24"/>
        </w:rPr>
        <w:t xml:space="preserve">Fix it or leave it? Customer recovery from self-service technology failures. </w:t>
      </w:r>
      <w:r w:rsidRPr="001364E5">
        <w:rPr>
          <w:rFonts w:ascii="Times New Roman" w:hAnsi="Times New Roman" w:cs="Times New Roman"/>
          <w:i/>
          <w:sz w:val="24"/>
          <w:szCs w:val="24"/>
        </w:rPr>
        <w:t>Journal of Retailing</w:t>
      </w:r>
      <w:r w:rsidRPr="001364E5">
        <w:rPr>
          <w:rFonts w:ascii="Times New Roman" w:hAnsi="Times New Roman" w:cs="Times New Roman"/>
          <w:sz w:val="24"/>
          <w:szCs w:val="24"/>
        </w:rPr>
        <w:t xml:space="preserve">, 89(1), 15-29. 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  <w:sectPr w:rsidR="00053CE2" w:rsidRPr="001364E5" w:rsidSect="00786C1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lastRenderedPageBreak/>
        <w:t>Web Appendix B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64E5">
        <w:rPr>
          <w:rFonts w:ascii="Times New Roman" w:hAnsi="Times New Roman" w:cs="Times New Roman"/>
          <w:b/>
          <w:sz w:val="24"/>
        </w:rPr>
        <w:t>DESCRIPTIVE STATISTICS FOR TECHNOLOGY READINESS CONSTRUCT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2591"/>
        <w:gridCol w:w="676"/>
        <w:gridCol w:w="678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56"/>
      </w:tblGrid>
      <w:tr w:rsidR="00053CE2" w:rsidRPr="001364E5" w:rsidTr="000718E2">
        <w:trPr>
          <w:trHeight w:val="62"/>
          <w:tblHeader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Var 1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Var 2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k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N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r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rw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rwc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SD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CI</w:t>
            </w:r>
            <w:r w:rsidRPr="001364E5">
              <w:rPr>
                <w:rFonts w:ascii="Times New Roman" w:hAnsi="Times New Roman" w:cs="Times New Roman"/>
                <w:b/>
                <w:sz w:val="18"/>
                <w:vertAlign w:val="subscript"/>
              </w:rPr>
              <w:t>low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CI</w:t>
            </w:r>
            <w:r w:rsidRPr="001364E5">
              <w:rPr>
                <w:rFonts w:ascii="Times New Roman" w:hAnsi="Times New Roman" w:cs="Times New Roman"/>
                <w:b/>
                <w:sz w:val="18"/>
                <w:vertAlign w:val="subscript"/>
              </w:rPr>
              <w:t>high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CR</w:t>
            </w:r>
            <w:r w:rsidRPr="001364E5">
              <w:rPr>
                <w:rFonts w:ascii="Times New Roman" w:hAnsi="Times New Roman" w:cs="Times New Roman"/>
                <w:b/>
                <w:sz w:val="18"/>
                <w:vertAlign w:val="subscript"/>
              </w:rPr>
              <w:t>low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CR</w:t>
            </w:r>
            <w:r w:rsidRPr="001364E5">
              <w:rPr>
                <w:rFonts w:ascii="Times New Roman" w:hAnsi="Times New Roman" w:cs="Times New Roman"/>
                <w:b/>
                <w:sz w:val="18"/>
                <w:vertAlign w:val="subscript"/>
              </w:rPr>
              <w:t>high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Q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I2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FSN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64E5">
              <w:rPr>
                <w:rFonts w:ascii="Times New Roman" w:hAnsi="Times New Roman" w:cs="Times New Roman"/>
                <w:b/>
                <w:sz w:val="18"/>
              </w:rPr>
              <w:t>Power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intention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15,118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549*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93%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10,030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Usefulness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10,605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.38*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203*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86%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9,839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Ease of use (C)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8,848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.37*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177*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87%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6,700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behavior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9,043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196*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1,716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Age  (A)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6,768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-.22*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167*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866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Satisfaction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4,777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.37*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.69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235*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95%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2,422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131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Education  (A)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3,548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45%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179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Experience  (A)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2,566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.32*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26%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418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</w:t>
            </w:r>
            <w:r w:rsidRPr="001364E5">
              <w:rPr>
                <w:rFonts w:ascii="Times New Roman" w:hAnsi="Times New Roman" w:cs="Times New Roman"/>
                <w:sz w:val="18"/>
              </w:rPr>
              <w:t>uality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2,352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26*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226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Value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Motivators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1,969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39%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intention (C)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8,567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285*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91%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.236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Usefulness (C)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7,588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155*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86%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.051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Ease of use (C)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6,123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-.14*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218*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92%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377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Age (A)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5,322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71*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83%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140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behavior (C)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5,233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-.10*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71*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85%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66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Satisfaction (C)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2,548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-.60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198*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97%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Education  (A)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3,298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-.29*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23*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78%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317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lastRenderedPageBreak/>
              <w:t>Experience  (A)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2,268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-.19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-.25*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.08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-.17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14*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65%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111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</w:t>
            </w:r>
            <w:r w:rsidRPr="001364E5">
              <w:rPr>
                <w:rFonts w:ascii="Times New Roman" w:hAnsi="Times New Roman" w:cs="Times New Roman"/>
                <w:sz w:val="18"/>
              </w:rPr>
              <w:t>uality (C)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915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-.43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.01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17*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94%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  <w:lang w:val="en-US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Value (C)</w:t>
            </w:r>
          </w:p>
        </w:tc>
        <w:tc>
          <w:tcPr>
            <w:tcW w:w="92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Inhibitors (2 dimensions)</w:t>
            </w:r>
          </w:p>
        </w:tc>
        <w:tc>
          <w:tcPr>
            <w:tcW w:w="242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330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.02*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.100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intention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34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16,551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.31*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569*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94%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14,183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Usefulness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9,410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.44*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.71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333*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93%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10,484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Ease of use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6,115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.56*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.67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.87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273*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93%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7,626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Quality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4,488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.57*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.77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389*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97%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4,009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behavior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6,257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.20*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112*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897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Satisfaction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2,879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.65*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.79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114*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92%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3,023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Value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2,345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.35*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44*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89%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276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Experience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619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.49*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.63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.61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62%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89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Age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1,155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.388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Education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TR (1 dimension)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373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.928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intention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35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13,687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476*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93%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6,386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Usefulness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9,401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.30*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247*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89%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4,117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Ease of use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7,644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.30*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218*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3,388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behavior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8,289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168*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89%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1,355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Age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6,768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-.24*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165*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1,092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Satisfaction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4,777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.34*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.64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206*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94%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1,971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lastRenderedPageBreak/>
              <w:t>Quality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2,352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20*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59%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146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Experience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2,566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.33*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25%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483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Education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3,548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13*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54%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130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Value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Innovativeness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1,198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.13*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48%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.998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  <w:vAlign w:val="center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intention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34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10,460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.25*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.70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1002*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97%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6,245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Usefulness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7,943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.48*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.75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273*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11,314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Ease of use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7,472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.44*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.67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195*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89%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7,083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behavior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6,837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212*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93%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1,507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Age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5,322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116*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266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Satisfaction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2,554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.55*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.75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201*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96%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1,872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Experience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2,374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38%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212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Education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3,298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.23*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45%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216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Quality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1,375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.32*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32*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87%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196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Value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Optimism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1,393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.13*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51%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  <w:vAlign w:val="center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intention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6,868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134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83%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.994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Usefulness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6,101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96*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80%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.194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Ease of use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5,707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-.22*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-.53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245*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94%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776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behavior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5,082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87%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Age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4,906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.20*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84%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403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lastRenderedPageBreak/>
              <w:t>Satisfaction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2,548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-.64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-.87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315*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98%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Education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3,298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-.31*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29*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83%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354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Experience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1,852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-.29*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83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Quality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94%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Value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Discomfort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330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.100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  <w:vAlign w:val="center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5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intention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7,894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387*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94%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.553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Usefulness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7,299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260*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92%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.526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Ease of use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5,834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360*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95%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Age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4,876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78*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86%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Usage behavior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4,787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-.13*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122*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92%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124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Satisfaction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2,548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.49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.37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-.62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.63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385*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98%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.127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Experience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2,268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-.27*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-.18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-.39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17*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71%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125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Education (A)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2,852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-.31*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-.36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42%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269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Quality (C)</w:t>
            </w:r>
          </w:p>
        </w:tc>
        <w:tc>
          <w:tcPr>
            <w:tcW w:w="92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915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-.17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-.20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.16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-.43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.04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-.40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.01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19*</w:t>
            </w:r>
          </w:p>
        </w:tc>
        <w:tc>
          <w:tcPr>
            <w:tcW w:w="244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95%</w:t>
            </w:r>
          </w:p>
        </w:tc>
        <w:tc>
          <w:tcPr>
            <w:tcW w:w="24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68" w:type="pct"/>
            <w:tcBorders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Value (C)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Insecurity (4 dimensions)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330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.02*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.02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—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18"/>
              </w:rPr>
            </w:pPr>
            <w:r w:rsidRPr="001364E5">
              <w:rPr>
                <w:rFonts w:ascii="Times New Roman" w:hAnsi="Times New Roman" w:cs="Times New Roman"/>
                <w:sz w:val="18"/>
              </w:rPr>
              <w:t>.100</w:t>
            </w:r>
          </w:p>
        </w:tc>
      </w:tr>
    </w:tbl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364E5">
        <w:rPr>
          <w:rFonts w:ascii="Times New Roman" w:hAnsi="Times New Roman" w:cs="Times New Roman"/>
          <w:b/>
          <w:i/>
          <w:sz w:val="20"/>
          <w:szCs w:val="20"/>
        </w:rPr>
        <w:t>Notes</w:t>
      </w:r>
      <w:r w:rsidRPr="001364E5">
        <w:rPr>
          <w:rFonts w:ascii="Times New Roman" w:hAnsi="Times New Roman" w:cs="Times New Roman"/>
          <w:sz w:val="20"/>
          <w:szCs w:val="20"/>
        </w:rPr>
        <w:t xml:space="preserve">. </w:t>
      </w:r>
      <w:r w:rsidRPr="001364E5">
        <w:rPr>
          <w:rFonts w:ascii="Times New Roman" w:hAnsi="Times New Roman" w:cs="Times New Roman"/>
          <w:sz w:val="20"/>
        </w:rPr>
        <w:t>A = antecedent; C = consequence; k=number of effect sizes; N=cumulative sample size; r=observed average correlation; rw= sample-weighted average correlation; rwc=sample-weighted reliability adjusted average correlation; CI=95%-confidence interval; CR=80% credibility interval; Q=Q statistic; I</w:t>
      </w:r>
      <w:r w:rsidRPr="001364E5">
        <w:rPr>
          <w:rFonts w:ascii="Times New Roman" w:hAnsi="Times New Roman" w:cs="Times New Roman"/>
          <w:sz w:val="20"/>
          <w:vertAlign w:val="superscript"/>
        </w:rPr>
        <w:t>2</w:t>
      </w:r>
      <w:r w:rsidRPr="001364E5">
        <w:rPr>
          <w:rFonts w:ascii="Times New Roman" w:hAnsi="Times New Roman" w:cs="Times New Roman"/>
          <w:sz w:val="20"/>
        </w:rPr>
        <w:t>=I</w:t>
      </w:r>
      <w:r w:rsidRPr="001364E5">
        <w:rPr>
          <w:rFonts w:ascii="Times New Roman" w:hAnsi="Times New Roman" w:cs="Times New Roman"/>
          <w:sz w:val="20"/>
          <w:vertAlign w:val="superscript"/>
        </w:rPr>
        <w:t>2</w:t>
      </w:r>
      <w:r w:rsidRPr="001364E5">
        <w:rPr>
          <w:rFonts w:ascii="Times New Roman" w:hAnsi="Times New Roman" w:cs="Times New Roman"/>
          <w:sz w:val="20"/>
        </w:rPr>
        <w:t>-statistic; FSN=fail-safe N; Power=power test using N as sample size. * p&lt;.05 (rwc: two-tailed).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  <w:sectPr w:rsidR="00053CE2" w:rsidRPr="001364E5" w:rsidSect="00786C1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lastRenderedPageBreak/>
        <w:t>Web Appendix C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64E5">
        <w:rPr>
          <w:rFonts w:ascii="Times New Roman" w:hAnsi="Times New Roman" w:cs="Times New Roman"/>
          <w:b/>
          <w:sz w:val="24"/>
        </w:rPr>
        <w:t>EQUATION OF THE MULTI-LEVEL MODEL</w:t>
      </w: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53CE2" w:rsidRPr="001364E5" w:rsidRDefault="00053CE2" w:rsidP="00053CE2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Level 1:</w:t>
      </w:r>
      <w:r w:rsidRPr="001364E5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Pr="001364E5">
        <w:rPr>
          <w:rFonts w:ascii="Times New Roman" w:hAnsi="Times New Roman" w:cs="Times New Roman"/>
          <w:sz w:val="24"/>
          <w:szCs w:val="24"/>
        </w:rPr>
        <w:t>, and</w:t>
      </w:r>
    </w:p>
    <w:p w:rsidR="00053CE2" w:rsidRPr="001364E5" w:rsidRDefault="00053CE2" w:rsidP="00053CE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53CE2" w:rsidRPr="001364E5" w:rsidRDefault="00053CE2" w:rsidP="00053CE2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Level 2:</w:t>
      </w:r>
      <w:r w:rsidRPr="001364E5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10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1j</m:t>
            </m:r>
          </m:sub>
        </m:sSub>
      </m:oMath>
      <w:r w:rsidRPr="001364E5">
        <w:rPr>
          <w:rFonts w:ascii="Times New Roman" w:hAnsi="Times New Roman" w:cs="Times New Roman"/>
          <w:sz w:val="24"/>
          <w:szCs w:val="24"/>
        </w:rPr>
        <w:t>,</w:t>
      </w: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where</w:t>
      </w:r>
    </w:p>
    <w:p w:rsidR="00053CE2" w:rsidRPr="001364E5" w:rsidRDefault="00053CE2" w:rsidP="00053CE2">
      <w:pPr>
        <w:tabs>
          <w:tab w:val="left" w:pos="993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53CE2" w:rsidRPr="001364E5" w:rsidRDefault="00053CE2" w:rsidP="00053CE2">
      <w:pPr>
        <w:tabs>
          <w:tab w:val="left" w:pos="567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Y</w:t>
      </w:r>
      <w:r w:rsidRPr="001364E5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r w:rsidRPr="001364E5">
        <w:rPr>
          <w:rFonts w:ascii="Times New Roman" w:hAnsi="Times New Roman" w:cs="Times New Roman"/>
          <w:sz w:val="24"/>
          <w:szCs w:val="24"/>
        </w:rPr>
        <w:t xml:space="preserve"> </w:t>
      </w:r>
      <w:r w:rsidRPr="001364E5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1364E5">
        <w:rPr>
          <w:rFonts w:ascii="Times New Roman" w:hAnsi="Times New Roman" w:cs="Times New Roman"/>
          <w:i/>
          <w:sz w:val="24"/>
          <w:szCs w:val="24"/>
        </w:rPr>
        <w:t>i</w:t>
      </w:r>
      <w:r w:rsidRPr="001364E5">
        <w:rPr>
          <w:rFonts w:ascii="Times New Roman" w:hAnsi="Times New Roman" w:cs="Times New Roman"/>
          <w:sz w:val="24"/>
          <w:szCs w:val="24"/>
        </w:rPr>
        <w:t xml:space="preserve">th reliability-adjusted correlation of the </w:t>
      </w:r>
      <w:r w:rsidRPr="001364E5">
        <w:rPr>
          <w:rFonts w:ascii="Times New Roman" w:hAnsi="Times New Roman" w:cs="Times New Roman"/>
          <w:i/>
          <w:sz w:val="24"/>
          <w:szCs w:val="24"/>
        </w:rPr>
        <w:t>j</w:t>
      </w:r>
      <w:r w:rsidRPr="001364E5">
        <w:rPr>
          <w:rFonts w:ascii="Times New Roman" w:hAnsi="Times New Roman" w:cs="Times New Roman"/>
          <w:sz w:val="24"/>
          <w:szCs w:val="24"/>
        </w:rPr>
        <w:t xml:space="preserve">th study, </w:t>
      </w:r>
    </w:p>
    <w:p w:rsidR="00053CE2" w:rsidRPr="001364E5" w:rsidRDefault="00053CE2" w:rsidP="00053CE2">
      <w:pPr>
        <w:tabs>
          <w:tab w:val="left" w:pos="567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X</w:t>
      </w:r>
      <w:r w:rsidRPr="001364E5">
        <w:rPr>
          <w:rFonts w:ascii="Times New Roman" w:hAnsi="Times New Roman" w:cs="Times New Roman"/>
          <w:sz w:val="24"/>
          <w:szCs w:val="24"/>
          <w:vertAlign w:val="subscript"/>
        </w:rPr>
        <w:t xml:space="preserve">ij </w:t>
      </w:r>
      <w:r w:rsidRPr="001364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1364E5">
        <w:rPr>
          <w:rFonts w:ascii="Times New Roman" w:hAnsi="Times New Roman" w:cs="Times New Roman"/>
          <w:sz w:val="24"/>
          <w:szCs w:val="24"/>
        </w:rPr>
        <w:t xml:space="preserve">= level 1 predictors (TR dimensions, mediators, and outcomes), </w:t>
      </w:r>
    </w:p>
    <w:p w:rsidR="00053CE2" w:rsidRPr="001364E5" w:rsidRDefault="00053CE2" w:rsidP="00053CE2">
      <w:pPr>
        <w:tabs>
          <w:tab w:val="left" w:pos="567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W</w:t>
      </w:r>
      <w:r w:rsidRPr="001364E5">
        <w:rPr>
          <w:rFonts w:ascii="Times New Roman" w:hAnsi="Times New Roman" w:cs="Times New Roman"/>
          <w:sz w:val="24"/>
          <w:szCs w:val="24"/>
          <w:vertAlign w:val="subscript"/>
        </w:rPr>
        <w:t>1j</w:t>
      </w:r>
      <w:r w:rsidRPr="001364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1364E5">
        <w:rPr>
          <w:rFonts w:ascii="Times New Roman" w:hAnsi="Times New Roman" w:cs="Times New Roman"/>
          <w:sz w:val="24"/>
          <w:szCs w:val="24"/>
        </w:rPr>
        <w:t>= level 2 predictors (technology, firm, country, controls),</w:t>
      </w:r>
    </w:p>
    <w:p w:rsidR="00053CE2" w:rsidRPr="001364E5" w:rsidRDefault="00053CE2" w:rsidP="00053CE2">
      <w:pPr>
        <w:tabs>
          <w:tab w:val="left" w:pos="567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sz w:val="24"/>
          <w:szCs w:val="24"/>
        </w:rPr>
        <w:t>ɛ</w:t>
      </w:r>
      <w:r w:rsidRPr="001364E5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r w:rsidRPr="001364E5">
        <w:rPr>
          <w:rFonts w:ascii="Times New Roman" w:hAnsi="Times New Roman" w:cs="Times New Roman"/>
          <w:sz w:val="24"/>
          <w:szCs w:val="24"/>
        </w:rPr>
        <w:t xml:space="preserve"> </w:t>
      </w:r>
      <w:r w:rsidRPr="001364E5">
        <w:rPr>
          <w:rFonts w:ascii="Times New Roman" w:hAnsi="Times New Roman" w:cs="Times New Roman"/>
          <w:sz w:val="24"/>
          <w:szCs w:val="24"/>
        </w:rPr>
        <w:tab/>
        <w:t>= residual error at level 1, and</w:t>
      </w:r>
    </w:p>
    <w:p w:rsidR="00053CE2" w:rsidRPr="001364E5" w:rsidRDefault="00053CE2" w:rsidP="00053CE2">
      <w:pPr>
        <w:tabs>
          <w:tab w:val="left" w:pos="567"/>
        </w:tabs>
        <w:spacing w:after="0" w:line="240" w:lineRule="auto"/>
        <w:ind w:left="720"/>
        <w:rPr>
          <w:rFonts w:ascii="Times New Roman" w:hAnsi="Times New Roman" w:cs="Times New Roman"/>
          <w:caps/>
          <w:sz w:val="24"/>
          <w:szCs w:val="24"/>
        </w:rPr>
        <w:sectPr w:rsidR="00053CE2" w:rsidRPr="001364E5" w:rsidSect="006D74D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364E5">
        <w:rPr>
          <w:rFonts w:ascii="Times New Roman" w:hAnsi="Times New Roman" w:cs="Times New Roman"/>
          <w:sz w:val="24"/>
          <w:szCs w:val="24"/>
        </w:rPr>
        <w:t>μ</w:t>
      </w:r>
      <w:r w:rsidRPr="001364E5">
        <w:rPr>
          <w:rFonts w:ascii="Times New Roman" w:hAnsi="Times New Roman" w:cs="Times New Roman"/>
          <w:sz w:val="24"/>
          <w:szCs w:val="24"/>
          <w:vertAlign w:val="subscript"/>
        </w:rPr>
        <w:t>1j</w:t>
      </w:r>
      <w:r w:rsidRPr="001364E5">
        <w:rPr>
          <w:rFonts w:ascii="Times New Roman" w:hAnsi="Times New Roman" w:cs="Times New Roman"/>
          <w:sz w:val="24"/>
          <w:szCs w:val="24"/>
        </w:rPr>
        <w:t xml:space="preserve"> </w:t>
      </w:r>
      <w:r w:rsidRPr="001364E5">
        <w:rPr>
          <w:rFonts w:ascii="Times New Roman" w:hAnsi="Times New Roman" w:cs="Times New Roman"/>
          <w:sz w:val="24"/>
          <w:szCs w:val="24"/>
        </w:rPr>
        <w:tab/>
        <w:t>= residual error terms at level 2.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lastRenderedPageBreak/>
        <w:t>Web Appendix D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64E5">
        <w:rPr>
          <w:rFonts w:ascii="Times New Roman" w:hAnsi="Times New Roman" w:cs="Times New Roman"/>
          <w:b/>
          <w:sz w:val="24"/>
        </w:rPr>
        <w:t>FUNNEL PLOT OF EFFECT SIZES BY SAMPLE SIZES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64E5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40C745AC" wp14:editId="37C8A9D5">
            <wp:extent cx="7923621" cy="44040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0"/>
                    <a:stretch/>
                  </pic:blipFill>
                  <pic:spPr bwMode="auto">
                    <a:xfrm>
                      <a:off x="0" y="0"/>
                      <a:ext cx="7924165" cy="4404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  <w:sectPr w:rsidR="00053CE2" w:rsidRPr="001364E5" w:rsidSect="00786C1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lastRenderedPageBreak/>
        <w:t>Web Appendix E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64E5">
        <w:rPr>
          <w:rFonts w:ascii="Times New Roman" w:hAnsi="Times New Roman" w:cs="Times New Roman"/>
          <w:b/>
          <w:sz w:val="24"/>
        </w:rPr>
        <w:t>CORRELATION MATRIX</w:t>
      </w: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0"/>
        <w:gridCol w:w="690"/>
        <w:gridCol w:w="690"/>
        <w:gridCol w:w="689"/>
        <w:gridCol w:w="689"/>
        <w:gridCol w:w="692"/>
        <w:gridCol w:w="689"/>
        <w:gridCol w:w="689"/>
        <w:gridCol w:w="689"/>
        <w:gridCol w:w="689"/>
        <w:gridCol w:w="689"/>
        <w:gridCol w:w="689"/>
        <w:gridCol w:w="692"/>
        <w:gridCol w:w="689"/>
        <w:gridCol w:w="689"/>
        <w:gridCol w:w="689"/>
        <w:gridCol w:w="689"/>
        <w:gridCol w:w="692"/>
      </w:tblGrid>
      <w:tr w:rsidR="00053CE2" w:rsidRPr="001364E5" w:rsidTr="000718E2">
        <w:trPr>
          <w:trHeight w:val="62"/>
        </w:trPr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17.</w:t>
            </w: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-.22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-.29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-.14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-.29</w:t>
            </w:r>
          </w:p>
        </w:tc>
        <w:tc>
          <w:tcPr>
            <w:tcW w:w="24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-.25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-.24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-.14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  <w:r w:rsidRPr="001364E5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-.31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-.27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4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-.19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43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-.15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Quality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43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.61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243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-.38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.82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.65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3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43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.76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3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43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.58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243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864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lastRenderedPageBreak/>
              <w:t>Value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.46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.58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1.00</w:t>
            </w:r>
          </w:p>
        </w:tc>
      </w:tr>
    </w:tbl>
    <w:p w:rsidR="00053CE2" w:rsidRPr="001364E5" w:rsidRDefault="00053CE2" w:rsidP="00053CE2">
      <w:pPr>
        <w:spacing w:after="0" w:line="240" w:lineRule="auto"/>
        <w:rPr>
          <w:rFonts w:ascii="Times New Roman" w:eastAsia="Batang" w:hAnsi="Times New Roman" w:cs="Times New Roman"/>
          <w:sz w:val="20"/>
          <w:szCs w:val="24"/>
          <w:lang w:eastAsia="ko-KR" w:bidi="th-TH"/>
        </w:rPr>
      </w:pPr>
      <w:r w:rsidRPr="001364E5">
        <w:rPr>
          <w:rFonts w:ascii="Times New Roman" w:hAnsi="Times New Roman" w:cs="Times New Roman"/>
          <w:b/>
          <w:i/>
          <w:sz w:val="20"/>
          <w:szCs w:val="20"/>
        </w:rPr>
        <w:t>Notes</w:t>
      </w:r>
      <w:r w:rsidRPr="001364E5">
        <w:rPr>
          <w:rFonts w:ascii="Times New Roman" w:hAnsi="Times New Roman" w:cs="Times New Roman"/>
          <w:sz w:val="20"/>
          <w:szCs w:val="20"/>
        </w:rPr>
        <w:t xml:space="preserve">. </w:t>
      </w:r>
      <w:r w:rsidRPr="001364E5">
        <w:rPr>
          <w:rFonts w:ascii="Times New Roman" w:eastAsia="Batang" w:hAnsi="Times New Roman" w:cs="Times New Roman"/>
          <w:sz w:val="20"/>
          <w:szCs w:val="24"/>
          <w:lang w:eastAsia="ko-KR" w:bidi="th-TH"/>
        </w:rPr>
        <w:t>Harmonic mean: 1,337. We used the harmonic of the four-dimensional model for comparison reasons in all analyses. a. A dash indicates that a correlation was not reported because the motivators (inhibitors) correlations were calculated by averaging innovativeness (discomfort) and optimism (insecurity) correlations.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  <w:sectPr w:rsidR="00053CE2" w:rsidRPr="001364E5" w:rsidSect="00786C1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lastRenderedPageBreak/>
        <w:t>Web Appendix F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t>Descriptive Statistics</w:t>
      </w: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leGrid"/>
        <w:tblW w:w="48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782"/>
        <w:gridCol w:w="704"/>
        <w:gridCol w:w="704"/>
        <w:gridCol w:w="704"/>
        <w:gridCol w:w="704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</w:tblGrid>
      <w:tr w:rsidR="00053CE2" w:rsidRPr="001364E5" w:rsidTr="000718E2">
        <w:trPr>
          <w:trHeight w:val="62"/>
          <w:tblHeader/>
        </w:trPr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Var 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Var 2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rw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rwc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CI</w:t>
            </w:r>
            <w:r w:rsidRPr="001364E5">
              <w:rPr>
                <w:rFonts w:ascii="Times New Roman" w:hAnsi="Times New Roman" w:cs="Times New Roman"/>
                <w:b/>
                <w:vertAlign w:val="subscript"/>
              </w:rPr>
              <w:t>low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CI</w:t>
            </w:r>
            <w:r w:rsidRPr="001364E5">
              <w:rPr>
                <w:rFonts w:ascii="Times New Roman" w:hAnsi="Times New Roman" w:cs="Times New Roman"/>
                <w:b/>
                <w:vertAlign w:val="subscript"/>
              </w:rPr>
              <w:t>high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CR</w:t>
            </w:r>
            <w:r w:rsidRPr="001364E5">
              <w:rPr>
                <w:rFonts w:ascii="Times New Roman" w:hAnsi="Times New Roman" w:cs="Times New Roman"/>
                <w:b/>
                <w:vertAlign w:val="subscript"/>
              </w:rPr>
              <w:t>low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CR</w:t>
            </w:r>
            <w:r w:rsidRPr="001364E5">
              <w:rPr>
                <w:rFonts w:ascii="Times New Roman" w:hAnsi="Times New Roman" w:cs="Times New Roman"/>
                <w:b/>
                <w:vertAlign w:val="subscript"/>
              </w:rPr>
              <w:t>high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Q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I</w:t>
            </w:r>
            <w:r w:rsidRPr="001364E5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FSN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Power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261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4,906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.20*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55*</w:t>
            </w:r>
          </w:p>
        </w:tc>
        <w:tc>
          <w:tcPr>
            <w:tcW w:w="261" w:type="pct"/>
            <w:tcBorders>
              <w:top w:val="single" w:sz="4" w:space="0" w:color="auto"/>
            </w:tcBorders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261" w:type="pct"/>
            <w:tcBorders>
              <w:top w:val="single" w:sz="4" w:space="0" w:color="auto"/>
            </w:tcBorders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1,316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.567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2,548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.992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2,356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.617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5,322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71*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6,768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-.24*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165*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1,092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4,876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6,768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-.22*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167*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5,322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2,445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.796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.889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1,155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.388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6,504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.781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4,514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.645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1,101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.050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3,996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5,707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-.22*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-.53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245*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776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lastRenderedPageBreak/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3,298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-.31*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29*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1,852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-.29*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  <w:r w:rsidRPr="001364E5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15,358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-.14*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-.51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807*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1,884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15,062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.47*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1304*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25,210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15,358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757*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955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2,548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-.64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-.87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315*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4,482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-.80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-1.24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1325*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5,082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6,868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.994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6,101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.194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Discomfort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.100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6,688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542*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.050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6,123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-.14*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218*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7,644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.30*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218*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3,388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lastRenderedPageBreak/>
              <w:t>Ease of use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5,834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360*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8,848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6,700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7,472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195*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7,083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1,300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.050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6,115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273*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7,626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1,311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14*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12,147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.42*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528*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17,348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14,421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528*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40,794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1,475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.46*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1,852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3,298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-.29*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23*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3,548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2,852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-.31*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3,548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3,298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1,407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.185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lastRenderedPageBreak/>
              <w:t>Education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.928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3,548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1,853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.964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12,674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335*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2,192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.498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2,268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-.25*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14*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2,566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.33*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2,268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-.27*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2,566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2,374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.751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.49*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2,244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.243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.066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.167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.397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lastRenderedPageBreak/>
              <w:t>Inhibitors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17,242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793*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2,349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2,548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-.60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198*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5,768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-.63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-1.00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1164*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5,233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71*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8,567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285*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.236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7,588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.050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.100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16,550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872*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2,284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17,723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.57*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366*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53,889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4,777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206*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1,971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2,352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20*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7,194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.68*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901*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9,113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8,289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168*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1,355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13,687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476*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6,386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lastRenderedPageBreak/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9,401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.30*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247*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4,117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Innovativeness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1,198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.998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15,510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-.19*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-.53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733*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3,578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2,548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-.62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385*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.127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-.40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19*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5,768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-.38*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-.70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1177*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1,990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4,787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-.13*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7,894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-.34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387*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.553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7,299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-.11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260*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.526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Insecurity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.100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4,777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235*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2,422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2,352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7,398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.70*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456*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11,011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9,043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196*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1,716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15,118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549*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10,030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Motivators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10,605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203*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9,839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lastRenderedPageBreak/>
              <w:t>Motivators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1,969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2,554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.55*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201*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1,872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1,375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6,112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.68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.82*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77*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10,906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6,837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212*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1,507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10,460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1002*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6,245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7,943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.48*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273*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11,314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6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1,393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.13*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4,373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.61*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151*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5,497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2,879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.65*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114*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3,023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1,632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29*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6,330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.76*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344*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13,206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2,172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.58*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84*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1,606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1,325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.58*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79*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4,488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.57*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389*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4,009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.30*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3,554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388*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2,061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1,918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.53*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Q</w:t>
            </w:r>
            <w:r w:rsidRPr="001364E5"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2,637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.39*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152*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1,055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6,257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112*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897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16,551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569*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14,183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9,410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.44*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333*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10,484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2,345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44*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3,743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114*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1,149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2,123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121*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707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behavior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.617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16,740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.52*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.81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740*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55,246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</w:t>
            </w:r>
          </w:p>
        </w:tc>
        <w:tc>
          <w:tcPr>
            <w:tcW w:w="6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1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3,487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.41*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.74</w:t>
            </w:r>
          </w:p>
        </w:tc>
        <w:tc>
          <w:tcPr>
            <w:tcW w:w="261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168*</w:t>
            </w:r>
          </w:p>
        </w:tc>
        <w:tc>
          <w:tcPr>
            <w:tcW w:w="261" w:type="pct"/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261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  <w:tr w:rsidR="00053CE2" w:rsidRPr="001364E5" w:rsidTr="000718E2">
        <w:trPr>
          <w:trHeight w:val="62"/>
        </w:trPr>
        <w:tc>
          <w:tcPr>
            <w:tcW w:w="684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1,767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.43*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.66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49*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.999</w:t>
            </w:r>
          </w:p>
        </w:tc>
      </w:tr>
    </w:tbl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364E5">
        <w:rPr>
          <w:rFonts w:ascii="Times New Roman" w:hAnsi="Times New Roman" w:cs="Times New Roman"/>
          <w:b/>
          <w:i/>
          <w:sz w:val="20"/>
          <w:szCs w:val="20"/>
        </w:rPr>
        <w:t>Notes</w:t>
      </w:r>
      <w:r w:rsidRPr="001364E5">
        <w:rPr>
          <w:rFonts w:ascii="Times New Roman" w:hAnsi="Times New Roman" w:cs="Times New Roman"/>
          <w:sz w:val="20"/>
          <w:szCs w:val="20"/>
        </w:rPr>
        <w:t xml:space="preserve">. </w:t>
      </w:r>
      <w:r w:rsidRPr="001364E5">
        <w:rPr>
          <w:rFonts w:ascii="Times New Roman" w:hAnsi="Times New Roman" w:cs="Times New Roman"/>
          <w:sz w:val="20"/>
        </w:rPr>
        <w:t>k=number of effect sizes; N=cumulative sample size; r=observed average correlation; rw= sample-weighted average correlation; rwc=sample-weighted reliability adjusted average correlation; CI=95%-confidence interval; CR=80% credibility interval; Q=Q statistic; I</w:t>
      </w:r>
      <w:r w:rsidRPr="001364E5">
        <w:rPr>
          <w:rFonts w:ascii="Times New Roman" w:hAnsi="Times New Roman" w:cs="Times New Roman"/>
          <w:sz w:val="20"/>
          <w:vertAlign w:val="superscript"/>
        </w:rPr>
        <w:t>2</w:t>
      </w:r>
      <w:r w:rsidRPr="001364E5">
        <w:rPr>
          <w:rFonts w:ascii="Times New Roman" w:hAnsi="Times New Roman" w:cs="Times New Roman"/>
          <w:sz w:val="20"/>
        </w:rPr>
        <w:t>=I</w:t>
      </w:r>
      <w:r w:rsidRPr="001364E5">
        <w:rPr>
          <w:rFonts w:ascii="Times New Roman" w:hAnsi="Times New Roman" w:cs="Times New Roman"/>
          <w:sz w:val="20"/>
          <w:vertAlign w:val="superscript"/>
        </w:rPr>
        <w:t>2</w:t>
      </w:r>
      <w:r w:rsidRPr="001364E5">
        <w:rPr>
          <w:rFonts w:ascii="Times New Roman" w:hAnsi="Times New Roman" w:cs="Times New Roman"/>
          <w:sz w:val="20"/>
        </w:rPr>
        <w:t xml:space="preserve">-statistic; FSN=fail-safe N; Power=power test using N as sample size. * p&lt;.05 (rwc: two-tailed). </w:t>
      </w:r>
      <w:r w:rsidRPr="001364E5">
        <w:rPr>
          <w:rFonts w:ascii="Times New Roman" w:eastAsia="Batang" w:hAnsi="Times New Roman" w:cs="Times New Roman"/>
          <w:sz w:val="20"/>
          <w:szCs w:val="24"/>
          <w:lang w:eastAsia="ko-KR" w:bidi="th-TH"/>
        </w:rPr>
        <w:t>a. A dash in this column indicates that a correlation was not reported because the motivators (inhibitors) correlations were calculated by averaging innovativeness (discomfort) and optimism (insecurity) correlations.</w:t>
      </w: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53CE2" w:rsidRPr="001364E5" w:rsidRDefault="00053CE2" w:rsidP="00053CE2">
      <w:pPr>
        <w:rPr>
          <w:rFonts w:ascii="Times New Roman" w:hAnsi="Times New Roman" w:cs="Times New Roman"/>
          <w:b/>
          <w:sz w:val="24"/>
          <w:szCs w:val="24"/>
        </w:rPr>
        <w:sectPr w:rsidR="00053CE2" w:rsidRPr="001364E5" w:rsidSect="00786C1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364E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lastRenderedPageBreak/>
        <w:t>Web Appendix G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64E5">
        <w:rPr>
          <w:rFonts w:ascii="Times New Roman" w:hAnsi="Times New Roman" w:cs="Times New Roman"/>
          <w:b/>
          <w:sz w:val="24"/>
        </w:rPr>
        <w:t>DIRECT, INDIRECT, AND TOTAL EFFECTS</w:t>
      </w: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1199"/>
        <w:gridCol w:w="1199"/>
        <w:gridCol w:w="1199"/>
        <w:gridCol w:w="1200"/>
      </w:tblGrid>
      <w:tr w:rsidR="00053CE2" w:rsidRPr="001364E5" w:rsidTr="000718E2">
        <w:trPr>
          <w:trHeight w:val="62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Relationship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Direct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Indirect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Indirect/</w:t>
            </w:r>
          </w:p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64E5">
              <w:rPr>
                <w:rFonts w:ascii="Times New Roman" w:hAnsi="Times New Roman" w:cs="Times New Roman"/>
                <w:b/>
              </w:rPr>
              <w:t>Total (%)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Usage intention → Usage behavior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.10*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.10*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Satisfaction → Usage behavior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.07*</w:t>
            </w:r>
          </w:p>
        </w:tc>
        <w:tc>
          <w:tcPr>
            <w:tcW w:w="1200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100%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Value → Usage behavior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.02*</w:t>
            </w:r>
          </w:p>
        </w:tc>
        <w:tc>
          <w:tcPr>
            <w:tcW w:w="1200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100%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Quality → Usage behavior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.06*</w:t>
            </w:r>
          </w:p>
        </w:tc>
        <w:tc>
          <w:tcPr>
            <w:tcW w:w="1200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100%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Usefulness → Usage behavior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.05*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.22*</w:t>
            </w:r>
          </w:p>
        </w:tc>
        <w:tc>
          <w:tcPr>
            <w:tcW w:w="1200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22%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Ease of use → Usage behavior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.31*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.11*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.42*</w:t>
            </w:r>
          </w:p>
        </w:tc>
        <w:tc>
          <w:tcPr>
            <w:tcW w:w="1200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27%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Education → Usage behavior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.07*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.10*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.17*</w:t>
            </w:r>
          </w:p>
        </w:tc>
        <w:tc>
          <w:tcPr>
            <w:tcW w:w="1200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59%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Experience → Usage behavior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1200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86%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Age → Usage behavior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1200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36%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 xml:space="preserve">Motivators→ Usage behavior 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.23*</w:t>
            </w:r>
          </w:p>
        </w:tc>
        <w:tc>
          <w:tcPr>
            <w:tcW w:w="1199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.18*</w:t>
            </w:r>
          </w:p>
        </w:tc>
        <w:tc>
          <w:tcPr>
            <w:tcW w:w="1200" w:type="dxa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83%</w:t>
            </w:r>
          </w:p>
        </w:tc>
      </w:tr>
      <w:tr w:rsidR="00053CE2" w:rsidRPr="001364E5" w:rsidTr="000718E2">
        <w:trPr>
          <w:trHeight w:val="62"/>
        </w:trPr>
        <w:tc>
          <w:tcPr>
            <w:tcW w:w="3823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Inhibitors→ Usage behavior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-.02*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-.07*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</w:rPr>
            </w:pPr>
            <w:r w:rsidRPr="001364E5">
              <w:rPr>
                <w:rFonts w:ascii="Times New Roman" w:hAnsi="Times New Roman" w:cs="Times New Roman"/>
              </w:rPr>
              <w:t>36%</w:t>
            </w:r>
          </w:p>
        </w:tc>
      </w:tr>
    </w:tbl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4E5">
        <w:rPr>
          <w:rFonts w:ascii="Times New Roman" w:hAnsi="Times New Roman" w:cs="Times New Roman"/>
          <w:b/>
          <w:i/>
          <w:sz w:val="20"/>
          <w:szCs w:val="20"/>
        </w:rPr>
        <w:t>Notes</w:t>
      </w:r>
      <w:r w:rsidRPr="001364E5">
        <w:rPr>
          <w:rFonts w:ascii="Times New Roman" w:hAnsi="Times New Roman" w:cs="Times New Roman"/>
          <w:sz w:val="20"/>
          <w:szCs w:val="20"/>
        </w:rPr>
        <w:t xml:space="preserve">. The relative importance of indirect effects were calculated using the formula proposed by Alwin and Hauser (1975): |indirect effect|/(|indirect effect|+|direct effect|).* p&lt;.05 (two-tailed). </w:t>
      </w:r>
    </w:p>
    <w:p w:rsidR="00053CE2" w:rsidRPr="001364E5" w:rsidRDefault="00053CE2" w:rsidP="00053CE2">
      <w:pPr>
        <w:rPr>
          <w:rFonts w:ascii="Times New Roman" w:hAnsi="Times New Roman" w:cs="Times New Roman"/>
          <w:b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  <w:sectPr w:rsidR="00053CE2" w:rsidRPr="001364E5" w:rsidSect="00331D3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lastRenderedPageBreak/>
        <w:t>Web Appendix H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t>Correlations among Moderator Variables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b/>
          <w:sz w:val="24"/>
          <w:szCs w:val="24"/>
        </w:rPr>
        <w:t>Panel A: Level 1-Moderators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1525"/>
        <w:gridCol w:w="1525"/>
        <w:gridCol w:w="1525"/>
        <w:gridCol w:w="1525"/>
        <w:gridCol w:w="1525"/>
        <w:gridCol w:w="1525"/>
        <w:gridCol w:w="1519"/>
      </w:tblGrid>
      <w:tr w:rsidR="00053CE2" w:rsidRPr="001364E5" w:rsidTr="000718E2">
        <w:trPr>
          <w:trHeight w:val="62"/>
        </w:trPr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</w:tr>
      <w:tr w:rsidR="00053CE2" w:rsidRPr="001364E5" w:rsidTr="000718E2">
        <w:trPr>
          <w:trHeight w:val="62"/>
        </w:trPr>
        <w:tc>
          <w:tcPr>
            <w:tcW w:w="1236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Usage intention</w:t>
            </w:r>
          </w:p>
        </w:tc>
        <w:tc>
          <w:tcPr>
            <w:tcW w:w="538" w:type="pct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1236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Usefulness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-.34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1236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Ease of use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-.30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-.26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1236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Satisfaction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-.20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-.17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-.14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1236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-.11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1236" w:type="pct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-.14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-.11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538" w:type="pct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538" w:type="pct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1236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Inhibitors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</w:tbl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1364E5">
        <w:rPr>
          <w:rFonts w:ascii="Times New Roman" w:hAnsi="Times New Roman" w:cs="Times New Roman"/>
          <w:sz w:val="20"/>
          <w:szCs w:val="24"/>
        </w:rPr>
        <w:t>Max VIF: 2.177.</w:t>
      </w: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4E5">
        <w:rPr>
          <w:rFonts w:ascii="Times New Roman" w:hAnsi="Times New Roman" w:cs="Times New Roman"/>
          <w:b/>
          <w:sz w:val="24"/>
          <w:szCs w:val="24"/>
        </w:rPr>
        <w:t>Panel B: Level 2-Moderators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903"/>
        <w:gridCol w:w="903"/>
        <w:gridCol w:w="904"/>
        <w:gridCol w:w="903"/>
        <w:gridCol w:w="903"/>
        <w:gridCol w:w="904"/>
        <w:gridCol w:w="903"/>
        <w:gridCol w:w="903"/>
        <w:gridCol w:w="904"/>
        <w:gridCol w:w="903"/>
        <w:gridCol w:w="903"/>
        <w:gridCol w:w="904"/>
      </w:tblGrid>
      <w:tr w:rsidR="00053CE2" w:rsidRPr="001364E5" w:rsidTr="000718E2">
        <w:trPr>
          <w:trHeight w:val="62"/>
        </w:trPr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Student sample</w:t>
            </w:r>
          </w:p>
        </w:tc>
        <w:tc>
          <w:tcPr>
            <w:tcW w:w="903" w:type="dxa"/>
            <w:tcBorders>
              <w:top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3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Uncertainty avoidance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-.35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Journal rating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-.26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Published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-.19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Experience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-.30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HDI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-.27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GDP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-.20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Firm support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-.16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-.21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Hedonic technology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-.11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-.16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3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Work technology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-.16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-.18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04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-.22</w:t>
            </w:r>
          </w:p>
        </w:tc>
        <w:tc>
          <w:tcPr>
            <w:tcW w:w="903" w:type="dxa"/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4" w:type="dxa"/>
            <w:noWrap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E2" w:rsidRPr="001364E5" w:rsidTr="000718E2">
        <w:trPr>
          <w:trHeight w:val="62"/>
        </w:trPr>
        <w:tc>
          <w:tcPr>
            <w:tcW w:w="3108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53CE2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Voluntariness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4E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</w:tbl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1364E5">
        <w:rPr>
          <w:rFonts w:ascii="Times New Roman" w:hAnsi="Times New Roman" w:cs="Times New Roman"/>
          <w:sz w:val="20"/>
          <w:szCs w:val="24"/>
        </w:rPr>
        <w:t>Max VIF: 5.322.</w:t>
      </w: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  <w:sectPr w:rsidR="00053CE2" w:rsidRPr="001364E5" w:rsidSect="00786C1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64E5">
        <w:rPr>
          <w:rFonts w:ascii="Times New Roman" w:hAnsi="Times New Roman" w:cs="Times New Roman"/>
          <w:b/>
          <w:caps/>
          <w:sz w:val="24"/>
          <w:szCs w:val="24"/>
        </w:rPr>
        <w:lastRenderedPageBreak/>
        <w:t>Web Appendix I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364E5">
        <w:rPr>
          <w:rFonts w:ascii="Times New Roman" w:hAnsi="Times New Roman" w:cs="Times New Roman"/>
          <w:b/>
          <w:sz w:val="24"/>
        </w:rPr>
        <w:t>RESULTS OF MODERATOR ANALYSIS FOR THE AGE-TR RELATIONSHIP</w:t>
      </w:r>
    </w:p>
    <w:p w:rsidR="00053CE2" w:rsidRPr="001364E5" w:rsidRDefault="00053CE2" w:rsidP="00053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1965"/>
        <w:gridCol w:w="1168"/>
        <w:gridCol w:w="1333"/>
      </w:tblGrid>
      <w:tr w:rsidR="00053CE2" w:rsidRPr="001364E5" w:rsidTr="000718E2">
        <w:trPr>
          <w:trHeight w:val="77"/>
        </w:trPr>
        <w:tc>
          <w:tcPr>
            <w:tcW w:w="25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</w:rPr>
              <w:t>Predictors</w:t>
            </w:r>
          </w:p>
        </w:tc>
        <w:tc>
          <w:tcPr>
            <w:tcW w:w="106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</w:rPr>
              <w:t>Unstandardized</w:t>
            </w:r>
          </w:p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</w:rPr>
              <w:t>Estimates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</w:rPr>
              <w:t>t-ratio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</w:rPr>
              <w:t>p-value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</w:rPr>
              <w:t>Level 1-Effects</w:t>
            </w:r>
          </w:p>
        </w:tc>
        <w:tc>
          <w:tcPr>
            <w:tcW w:w="1063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Inhibitors</w:t>
            </w:r>
          </w:p>
        </w:tc>
        <w:tc>
          <w:tcPr>
            <w:tcW w:w="1063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-.05</w:t>
            </w:r>
          </w:p>
        </w:tc>
        <w:tc>
          <w:tcPr>
            <w:tcW w:w="632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1.51</w:t>
            </w:r>
          </w:p>
        </w:tc>
        <w:tc>
          <w:tcPr>
            <w:tcW w:w="721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.15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Motivators</w:t>
            </w:r>
          </w:p>
        </w:tc>
        <w:tc>
          <w:tcPr>
            <w:tcW w:w="1063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-.10*</w:t>
            </w:r>
          </w:p>
        </w:tc>
        <w:tc>
          <w:tcPr>
            <w:tcW w:w="632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3.48</w:t>
            </w:r>
          </w:p>
        </w:tc>
        <w:tc>
          <w:tcPr>
            <w:tcW w:w="721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.00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b/>
                <w:sz w:val="24"/>
              </w:rPr>
              <w:t>Level 2-Effects</w:t>
            </w:r>
          </w:p>
        </w:tc>
        <w:tc>
          <w:tcPr>
            <w:tcW w:w="1063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2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b/>
                <w:i/>
                <w:sz w:val="24"/>
              </w:rPr>
              <w:t>Motivators-Interactions</w:t>
            </w:r>
          </w:p>
        </w:tc>
        <w:tc>
          <w:tcPr>
            <w:tcW w:w="1063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2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Student</w:t>
            </w:r>
          </w:p>
        </w:tc>
        <w:tc>
          <w:tcPr>
            <w:tcW w:w="1063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.40*</w:t>
            </w:r>
          </w:p>
        </w:tc>
        <w:tc>
          <w:tcPr>
            <w:tcW w:w="632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3.76</w:t>
            </w:r>
          </w:p>
        </w:tc>
        <w:tc>
          <w:tcPr>
            <w:tcW w:w="721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.00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Journal rating</w:t>
            </w:r>
          </w:p>
        </w:tc>
        <w:tc>
          <w:tcPr>
            <w:tcW w:w="1063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.07</w:t>
            </w:r>
          </w:p>
        </w:tc>
        <w:tc>
          <w:tcPr>
            <w:tcW w:w="632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1.90</w:t>
            </w:r>
          </w:p>
        </w:tc>
        <w:tc>
          <w:tcPr>
            <w:tcW w:w="721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.08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Published</w:t>
            </w:r>
          </w:p>
        </w:tc>
        <w:tc>
          <w:tcPr>
            <w:tcW w:w="1063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-.29*</w:t>
            </w:r>
          </w:p>
        </w:tc>
        <w:tc>
          <w:tcPr>
            <w:tcW w:w="632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2.45</w:t>
            </w:r>
          </w:p>
        </w:tc>
        <w:tc>
          <w:tcPr>
            <w:tcW w:w="721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.03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Year</w:t>
            </w:r>
          </w:p>
        </w:tc>
        <w:tc>
          <w:tcPr>
            <w:tcW w:w="1063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632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1.37</w:t>
            </w:r>
          </w:p>
        </w:tc>
        <w:tc>
          <w:tcPr>
            <w:tcW w:w="721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.19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b/>
                <w:i/>
                <w:sz w:val="24"/>
              </w:rPr>
              <w:t>Inhibitors-Interactions</w:t>
            </w:r>
          </w:p>
        </w:tc>
        <w:tc>
          <w:tcPr>
            <w:tcW w:w="1063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2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" w:type="pct"/>
            <w:noWrap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Student</w:t>
            </w:r>
          </w:p>
        </w:tc>
        <w:tc>
          <w:tcPr>
            <w:tcW w:w="1063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.25*</w:t>
            </w:r>
          </w:p>
        </w:tc>
        <w:tc>
          <w:tcPr>
            <w:tcW w:w="632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2.08</w:t>
            </w:r>
          </w:p>
        </w:tc>
        <w:tc>
          <w:tcPr>
            <w:tcW w:w="721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Journal rating</w:t>
            </w:r>
          </w:p>
        </w:tc>
        <w:tc>
          <w:tcPr>
            <w:tcW w:w="1063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632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.52</w:t>
            </w:r>
          </w:p>
        </w:tc>
        <w:tc>
          <w:tcPr>
            <w:tcW w:w="721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.61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Published</w:t>
            </w:r>
          </w:p>
        </w:tc>
        <w:tc>
          <w:tcPr>
            <w:tcW w:w="1063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-.07</w:t>
            </w:r>
          </w:p>
        </w:tc>
        <w:tc>
          <w:tcPr>
            <w:tcW w:w="632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.49</w:t>
            </w:r>
          </w:p>
        </w:tc>
        <w:tc>
          <w:tcPr>
            <w:tcW w:w="721" w:type="pct"/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.63</w:t>
            </w:r>
          </w:p>
        </w:tc>
      </w:tr>
      <w:tr w:rsidR="00053CE2" w:rsidRPr="001364E5" w:rsidTr="000718E2">
        <w:trPr>
          <w:trHeight w:val="51"/>
        </w:trPr>
        <w:tc>
          <w:tcPr>
            <w:tcW w:w="2584" w:type="pct"/>
            <w:tcBorders>
              <w:bottom w:val="single" w:sz="4" w:space="0" w:color="auto"/>
            </w:tcBorders>
            <w:hideMark/>
          </w:tcPr>
          <w:p w:rsidR="00053CE2" w:rsidRPr="001364E5" w:rsidRDefault="00053CE2" w:rsidP="000718E2">
            <w:pPr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Year</w:t>
            </w:r>
          </w:p>
        </w:tc>
        <w:tc>
          <w:tcPr>
            <w:tcW w:w="1063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.00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.27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noWrap/>
            <w:hideMark/>
          </w:tcPr>
          <w:p w:rsidR="00053CE2" w:rsidRPr="001364E5" w:rsidRDefault="00053CE2" w:rsidP="00071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4E5">
              <w:rPr>
                <w:rFonts w:ascii="Times New Roman" w:hAnsi="Times New Roman" w:cs="Times New Roman"/>
                <w:sz w:val="24"/>
              </w:rPr>
              <w:t>.79</w:t>
            </w:r>
          </w:p>
        </w:tc>
      </w:tr>
    </w:tbl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16"/>
        </w:rPr>
      </w:pPr>
      <w:r w:rsidRPr="001364E5">
        <w:rPr>
          <w:rFonts w:ascii="Times New Roman" w:hAnsi="Times New Roman" w:cs="Times New Roman"/>
          <w:b/>
          <w:i/>
          <w:sz w:val="20"/>
        </w:rPr>
        <w:t>Notes</w:t>
      </w:r>
      <w:r w:rsidRPr="001364E5">
        <w:rPr>
          <w:rFonts w:ascii="Times New Roman" w:hAnsi="Times New Roman" w:cs="Times New Roman"/>
          <w:sz w:val="20"/>
        </w:rPr>
        <w:t xml:space="preserve">. The dependent variable is the reliability corrected correlation which was reversed for inhibitors to ensure that all correlations show the same direction. The analysis is based on 30 effect sizes. * p &lt; .05 (two-tailed). </w:t>
      </w: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53CE2" w:rsidRPr="001364E5" w:rsidRDefault="00053CE2" w:rsidP="00053CE2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53CE2" w:rsidRPr="001364E5" w:rsidRDefault="00053CE2" w:rsidP="00053CE2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53CE2" w:rsidRPr="001364E5" w:rsidRDefault="00053CE2" w:rsidP="0005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CE2" w:rsidRDefault="00053CE2" w:rsidP="00053CE2">
      <w:pPr>
        <w:rPr>
          <w:rFonts w:ascii="Times New Roman" w:hAnsi="Times New Roman" w:cs="Times New Roman"/>
          <w:sz w:val="24"/>
        </w:rPr>
      </w:pPr>
    </w:p>
    <w:p w:rsidR="004E5BB8" w:rsidRDefault="004E5BB8"/>
    <w:sectPr w:rsidR="004E5BB8" w:rsidSect="00DF4488">
      <w:footerReference w:type="default" r:id="rId7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580" w:rsidRPr="00311F94" w:rsidRDefault="00053CE2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- </w:t>
    </w:r>
    <w:sdt>
      <w:sdtPr>
        <w:rPr>
          <w:rFonts w:ascii="Times New Roman" w:hAnsi="Times New Roman" w:cs="Times New Roman"/>
        </w:rPr>
        <w:id w:val="-4604209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11F94">
          <w:rPr>
            <w:rFonts w:ascii="Times New Roman" w:hAnsi="Times New Roman" w:cs="Times New Roman"/>
          </w:rPr>
          <w:fldChar w:fldCharType="begin"/>
        </w:r>
        <w:r w:rsidRPr="00311F94">
          <w:rPr>
            <w:rFonts w:ascii="Times New Roman" w:hAnsi="Times New Roman" w:cs="Times New Roman"/>
          </w:rPr>
          <w:instrText xml:space="preserve"> PAGE   \* MERGEFORMAT </w:instrText>
        </w:r>
        <w:r w:rsidRPr="00311F9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311F94">
          <w:rPr>
            <w:rFonts w:ascii="Times New Roman" w:hAnsi="Times New Roman" w:cs="Times New Roman"/>
            <w:noProof/>
          </w:rPr>
          <w:fldChar w:fldCharType="end"/>
        </w:r>
        <w:r>
          <w:rPr>
            <w:rFonts w:ascii="Times New Roman" w:hAnsi="Times New Roman" w:cs="Times New Roman"/>
            <w:noProof/>
          </w:rPr>
          <w:t xml:space="preserve"> -</w:t>
        </w:r>
      </w:sdtContent>
    </w:sdt>
  </w:p>
  <w:p w:rsidR="00EF1580" w:rsidRDefault="00053CE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13D0"/>
    <w:multiLevelType w:val="hybridMultilevel"/>
    <w:tmpl w:val="0B3438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DF0078"/>
    <w:multiLevelType w:val="hybridMultilevel"/>
    <w:tmpl w:val="46EC1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12717"/>
    <w:multiLevelType w:val="hybridMultilevel"/>
    <w:tmpl w:val="827421AA"/>
    <w:lvl w:ilvl="0" w:tplc="A4E09D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0C350D"/>
    <w:multiLevelType w:val="hybridMultilevel"/>
    <w:tmpl w:val="D16811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2E183C"/>
    <w:multiLevelType w:val="hybridMultilevel"/>
    <w:tmpl w:val="C6A8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>
    <w:nsid w:val="163075E6"/>
    <w:multiLevelType w:val="hybridMultilevel"/>
    <w:tmpl w:val="0778EE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462E7C"/>
    <w:multiLevelType w:val="hybridMultilevel"/>
    <w:tmpl w:val="0A2A3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86371F"/>
    <w:multiLevelType w:val="hybridMultilevel"/>
    <w:tmpl w:val="31E0DC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5F0DCA"/>
    <w:multiLevelType w:val="hybridMultilevel"/>
    <w:tmpl w:val="1B481686"/>
    <w:lvl w:ilvl="0" w:tplc="72CEB4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E2940"/>
    <w:multiLevelType w:val="hybridMultilevel"/>
    <w:tmpl w:val="725CA3A2"/>
    <w:lvl w:ilvl="0" w:tplc="40601A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>
    <w:nsid w:val="1F4C5B1B"/>
    <w:multiLevelType w:val="hybridMultilevel"/>
    <w:tmpl w:val="14F4404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D62A4"/>
    <w:multiLevelType w:val="hybridMultilevel"/>
    <w:tmpl w:val="E5685B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4371B6"/>
    <w:multiLevelType w:val="hybridMultilevel"/>
    <w:tmpl w:val="806C39E6"/>
    <w:lvl w:ilvl="0" w:tplc="40601A9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4C83B3F"/>
    <w:multiLevelType w:val="hybridMultilevel"/>
    <w:tmpl w:val="3C6C7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55D5F"/>
    <w:multiLevelType w:val="hybridMultilevel"/>
    <w:tmpl w:val="B2BA2B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B0D6005"/>
    <w:multiLevelType w:val="hybridMultilevel"/>
    <w:tmpl w:val="31E0DC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3115D3"/>
    <w:multiLevelType w:val="hybridMultilevel"/>
    <w:tmpl w:val="25CC78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642AD6"/>
    <w:multiLevelType w:val="hybridMultilevel"/>
    <w:tmpl w:val="111253F2"/>
    <w:lvl w:ilvl="0" w:tplc="6F1CFD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CA2D93"/>
    <w:multiLevelType w:val="hybridMultilevel"/>
    <w:tmpl w:val="3FAC1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285FED"/>
    <w:multiLevelType w:val="hybridMultilevel"/>
    <w:tmpl w:val="9766C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9D49BC"/>
    <w:multiLevelType w:val="hybridMultilevel"/>
    <w:tmpl w:val="DB4EC7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12E3944"/>
    <w:multiLevelType w:val="hybridMultilevel"/>
    <w:tmpl w:val="25CC78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1AB030E"/>
    <w:multiLevelType w:val="hybridMultilevel"/>
    <w:tmpl w:val="9B58F0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D0C97"/>
    <w:multiLevelType w:val="hybridMultilevel"/>
    <w:tmpl w:val="E0688BB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6A9055A"/>
    <w:multiLevelType w:val="hybridMultilevel"/>
    <w:tmpl w:val="E2D0F6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D282B4F"/>
    <w:multiLevelType w:val="hybridMultilevel"/>
    <w:tmpl w:val="50C06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CB0E94"/>
    <w:multiLevelType w:val="hybridMultilevel"/>
    <w:tmpl w:val="280CAE56"/>
    <w:lvl w:ilvl="0" w:tplc="D71E1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3B22784"/>
    <w:multiLevelType w:val="hybridMultilevel"/>
    <w:tmpl w:val="AED6D2B8"/>
    <w:lvl w:ilvl="0" w:tplc="118A419E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96A0E38"/>
    <w:multiLevelType w:val="hybridMultilevel"/>
    <w:tmpl w:val="0B3438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A0A7590"/>
    <w:multiLevelType w:val="hybridMultilevel"/>
    <w:tmpl w:val="E16A5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4759F3"/>
    <w:multiLevelType w:val="hybridMultilevel"/>
    <w:tmpl w:val="8CA2B3A8"/>
    <w:lvl w:ilvl="0" w:tplc="9E7C7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3C2447F"/>
    <w:multiLevelType w:val="hybridMultilevel"/>
    <w:tmpl w:val="17DCAA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7B4065"/>
    <w:multiLevelType w:val="hybridMultilevel"/>
    <w:tmpl w:val="4454DC9E"/>
    <w:lvl w:ilvl="0" w:tplc="DFB0E9B0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FC297E"/>
    <w:multiLevelType w:val="hybridMultilevel"/>
    <w:tmpl w:val="10F84B40"/>
    <w:lvl w:ilvl="0" w:tplc="40601A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4">
    <w:nsid w:val="7E585D13"/>
    <w:multiLevelType w:val="hybridMultilevel"/>
    <w:tmpl w:val="25CC78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8"/>
  </w:num>
  <w:num w:numId="4">
    <w:abstractNumId w:val="12"/>
  </w:num>
  <w:num w:numId="5">
    <w:abstractNumId w:val="24"/>
  </w:num>
  <w:num w:numId="6">
    <w:abstractNumId w:val="33"/>
  </w:num>
  <w:num w:numId="7">
    <w:abstractNumId w:val="14"/>
  </w:num>
  <w:num w:numId="8">
    <w:abstractNumId w:val="9"/>
  </w:num>
  <w:num w:numId="9">
    <w:abstractNumId w:val="4"/>
  </w:num>
  <w:num w:numId="10">
    <w:abstractNumId w:val="23"/>
  </w:num>
  <w:num w:numId="11">
    <w:abstractNumId w:val="0"/>
  </w:num>
  <w:num w:numId="12">
    <w:abstractNumId w:val="10"/>
  </w:num>
  <w:num w:numId="13">
    <w:abstractNumId w:val="17"/>
  </w:num>
  <w:num w:numId="14">
    <w:abstractNumId w:val="29"/>
  </w:num>
  <w:num w:numId="15">
    <w:abstractNumId w:val="27"/>
  </w:num>
  <w:num w:numId="16">
    <w:abstractNumId w:val="1"/>
  </w:num>
  <w:num w:numId="17">
    <w:abstractNumId w:val="19"/>
  </w:num>
  <w:num w:numId="18">
    <w:abstractNumId w:val="25"/>
  </w:num>
  <w:num w:numId="19">
    <w:abstractNumId w:val="2"/>
  </w:num>
  <w:num w:numId="20">
    <w:abstractNumId w:val="30"/>
  </w:num>
  <w:num w:numId="21">
    <w:abstractNumId w:val="26"/>
  </w:num>
  <w:num w:numId="22">
    <w:abstractNumId w:val="31"/>
  </w:num>
  <w:num w:numId="23">
    <w:abstractNumId w:val="20"/>
  </w:num>
  <w:num w:numId="24">
    <w:abstractNumId w:val="7"/>
  </w:num>
  <w:num w:numId="25">
    <w:abstractNumId w:val="34"/>
  </w:num>
  <w:num w:numId="26">
    <w:abstractNumId w:val="21"/>
  </w:num>
  <w:num w:numId="27">
    <w:abstractNumId w:val="16"/>
  </w:num>
  <w:num w:numId="28">
    <w:abstractNumId w:val="15"/>
  </w:num>
  <w:num w:numId="29">
    <w:abstractNumId w:val="8"/>
  </w:num>
  <w:num w:numId="30">
    <w:abstractNumId w:val="11"/>
  </w:num>
  <w:num w:numId="31">
    <w:abstractNumId w:val="22"/>
  </w:num>
  <w:num w:numId="32">
    <w:abstractNumId w:val="18"/>
  </w:num>
  <w:num w:numId="33">
    <w:abstractNumId w:val="6"/>
  </w:num>
  <w:num w:numId="34">
    <w:abstractNumId w:val="13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E2"/>
    <w:rsid w:val="00053CE2"/>
    <w:rsid w:val="004E5BB8"/>
    <w:rsid w:val="005A012E"/>
    <w:rsid w:val="006E4C45"/>
    <w:rsid w:val="0071505B"/>
    <w:rsid w:val="009A6452"/>
    <w:rsid w:val="00DA47F5"/>
    <w:rsid w:val="00F30CA9"/>
    <w:rsid w:val="00FA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5A012E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12E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12E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12E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012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01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012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12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012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012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A012E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A012E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A012E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5A012E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A012E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rsid w:val="005A012E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5A012E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rsid w:val="005A012E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A012E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5A012E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A012E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5A012E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12E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A012E"/>
    <w:rPr>
      <w:rFonts w:eastAsiaTheme="majorEastAsia" w:cstheme="majorBidi"/>
      <w:iCs/>
      <w:color w:val="1F497D" w:themeColor="text2"/>
      <w:sz w:val="40"/>
      <w:szCs w:val="24"/>
    </w:rPr>
  </w:style>
  <w:style w:type="character" w:styleId="Emphasis">
    <w:name w:val="Emphasis"/>
    <w:basedOn w:val="DefaultParagraphFont"/>
    <w:uiPriority w:val="20"/>
    <w:qFormat/>
    <w:rsid w:val="005A012E"/>
    <w:rPr>
      <w:b/>
      <w:i/>
      <w:iCs/>
    </w:rPr>
  </w:style>
  <w:style w:type="paragraph" w:styleId="NoSpacing">
    <w:name w:val="No Spacing"/>
    <w:link w:val="NoSpacingChar"/>
    <w:uiPriority w:val="1"/>
    <w:qFormat/>
    <w:rsid w:val="005A01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012E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5A012E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5A012E"/>
    <w:rPr>
      <w:rFonts w:eastAsiaTheme="minorEastAsia"/>
      <w:b/>
      <w:i/>
      <w:iCs/>
      <w:color w:val="4F81BD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12E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12E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5A012E"/>
    <w:pPr>
      <w:spacing w:before="480" w:line="264" w:lineRule="auto"/>
      <w:outlineLvl w:val="9"/>
    </w:pPr>
    <w:rPr>
      <w:b/>
    </w:rPr>
  </w:style>
  <w:style w:type="character" w:styleId="Strong">
    <w:name w:val="Strong"/>
    <w:basedOn w:val="DefaultParagraphFont"/>
    <w:uiPriority w:val="22"/>
    <w:qFormat/>
    <w:rsid w:val="005A012E"/>
    <w:rPr>
      <w:b w:val="0"/>
      <w:bCs/>
      <w:i/>
      <w:color w:val="1F497D" w:themeColor="text2"/>
    </w:rPr>
  </w:style>
  <w:style w:type="character" w:styleId="SubtleEmphasis">
    <w:name w:val="Subtle Emphasis"/>
    <w:basedOn w:val="DefaultParagraphFont"/>
    <w:uiPriority w:val="19"/>
    <w:qFormat/>
    <w:rsid w:val="005A012E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5A012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A012E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5A012E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A012E"/>
    <w:rPr>
      <w:b/>
      <w:bCs/>
      <w:caps/>
      <w:smallCaps w:val="0"/>
      <w:color w:val="1F497D" w:themeColor="text2"/>
      <w:spacing w:val="10"/>
    </w:rPr>
  </w:style>
  <w:style w:type="paragraph" w:customStyle="1" w:styleId="Quotations">
    <w:name w:val="Quotations"/>
    <w:basedOn w:val="Normal"/>
    <w:qFormat/>
    <w:rsid w:val="005A012E"/>
    <w:pPr>
      <w:snapToGrid w:val="0"/>
      <w:spacing w:after="120" w:line="360" w:lineRule="auto"/>
    </w:pPr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5A012E"/>
    <w:pPr>
      <w:snapToGrid w:val="0"/>
      <w:spacing w:after="0" w:line="240" w:lineRule="auto"/>
    </w:pPr>
    <w:rPr>
      <w:rFonts w:ascii="Candara" w:eastAsiaTheme="minorEastAsia" w:hAnsi="Candara"/>
      <w:sz w:val="22"/>
      <w:lang w:val="en-IE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5A012E"/>
    <w:rPr>
      <w:rFonts w:ascii="Candara" w:eastAsiaTheme="minorEastAsia" w:hAnsi="Candara"/>
      <w:lang w:val="en-IE" w:bidi="en-US"/>
    </w:rPr>
  </w:style>
  <w:style w:type="character" w:styleId="PageNumber">
    <w:name w:val="page number"/>
    <w:basedOn w:val="DefaultParagraphFont"/>
    <w:uiPriority w:val="99"/>
    <w:unhideWhenUsed/>
    <w:qFormat/>
    <w:rsid w:val="005A012E"/>
  </w:style>
  <w:style w:type="paragraph" w:styleId="NormalWeb">
    <w:name w:val="Normal (Web)"/>
    <w:basedOn w:val="Normal"/>
    <w:uiPriority w:val="99"/>
    <w:unhideWhenUsed/>
    <w:qFormat/>
    <w:rsid w:val="005A012E"/>
    <w:pPr>
      <w:snapToGrid w:val="0"/>
      <w:spacing w:beforeAutospacing="1" w:after="120" w:afterAutospacing="1" w:line="271" w:lineRule="auto"/>
    </w:pPr>
    <w:rPr>
      <w:rFonts w:ascii="Calibri" w:eastAsia="Calibri" w:hAnsi="Calibri" w:cs="Times New Roman"/>
      <w:color w:val="00000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5A012E"/>
    <w:pPr>
      <w:snapToGrid w:val="0"/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val="en-IE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5A012E"/>
    <w:rPr>
      <w:rFonts w:ascii="Times New Roman" w:eastAsiaTheme="minorEastAsia" w:hAnsi="Times New Roman" w:cs="Times New Roman"/>
      <w:sz w:val="18"/>
      <w:szCs w:val="18"/>
      <w:lang w:val="en-IE" w:bidi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5A012E"/>
  </w:style>
  <w:style w:type="paragraph" w:styleId="Bibliography">
    <w:name w:val="Bibliography"/>
    <w:basedOn w:val="Normal"/>
    <w:next w:val="Normal"/>
    <w:uiPriority w:val="37"/>
    <w:unhideWhenUsed/>
    <w:qFormat/>
    <w:rsid w:val="005A012E"/>
    <w:pPr>
      <w:tabs>
        <w:tab w:val="left" w:pos="500"/>
      </w:tabs>
      <w:snapToGrid w:val="0"/>
      <w:spacing w:after="0" w:line="240" w:lineRule="atLeast"/>
      <w:ind w:left="720" w:hanging="720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53CE2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CE2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53CE2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53CE2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53CE2"/>
    <w:rPr>
      <w:rFonts w:eastAsiaTheme="minorEastAsia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53CE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53CE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CE2"/>
    <w:pPr>
      <w:spacing w:after="160" w:line="240" w:lineRule="auto"/>
    </w:pPr>
    <w:rPr>
      <w:rFonts w:ascii="Tahoma" w:eastAsiaTheme="minorEastAsia" w:hAnsi="Tahoma" w:cs="Tahoma"/>
      <w:sz w:val="16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CE2"/>
    <w:rPr>
      <w:rFonts w:ascii="Tahoma" w:eastAsiaTheme="minorEastAsia" w:hAnsi="Tahoma" w:cs="Tahoma"/>
      <w:sz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CE2"/>
    <w:rPr>
      <w:rFonts w:ascii="Tahoma" w:eastAsiaTheme="minorEastAsia" w:hAnsi="Tahoma" w:cs="Tahoma"/>
      <w:b/>
      <w:bCs/>
      <w:sz w:val="16"/>
      <w:lang w:val="en-GB"/>
    </w:rPr>
  </w:style>
  <w:style w:type="character" w:styleId="Hyperlink">
    <w:name w:val="Hyperlink"/>
    <w:basedOn w:val="DefaultParagraphFont"/>
    <w:uiPriority w:val="99"/>
    <w:unhideWhenUsed/>
    <w:rsid w:val="00053CE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53CE2"/>
    <w:pPr>
      <w:spacing w:after="0" w:line="240" w:lineRule="auto"/>
    </w:pPr>
    <w:rPr>
      <w:rFonts w:eastAsiaTheme="minorEastAsia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53CE2"/>
    <w:rPr>
      <w:color w:val="800080"/>
      <w:u w:val="single"/>
    </w:rPr>
  </w:style>
  <w:style w:type="paragraph" w:customStyle="1" w:styleId="xl65">
    <w:name w:val="xl65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xl67">
    <w:name w:val="xl67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xl68">
    <w:name w:val="xl68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9">
    <w:name w:val="xl69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xl70">
    <w:name w:val="xl70"/>
    <w:basedOn w:val="Normal"/>
    <w:rsid w:val="00053CE2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1">
    <w:name w:val="xl71"/>
    <w:basedOn w:val="Normal"/>
    <w:rsid w:val="00053CE2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en-GB" w:eastAsia="en-GB"/>
    </w:rPr>
  </w:style>
  <w:style w:type="paragraph" w:customStyle="1" w:styleId="xl72">
    <w:name w:val="xl72"/>
    <w:basedOn w:val="Normal"/>
    <w:rsid w:val="00053CE2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en-GB" w:eastAsia="en-GB"/>
    </w:rPr>
  </w:style>
  <w:style w:type="paragraph" w:customStyle="1" w:styleId="xl73">
    <w:name w:val="xl73"/>
    <w:basedOn w:val="Normal"/>
    <w:rsid w:val="00053CE2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5A012E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12E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12E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12E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012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01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012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12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012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012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A012E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A012E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A012E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5A012E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A012E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rsid w:val="005A012E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5A012E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rsid w:val="005A012E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A012E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5A012E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A012E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5A012E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12E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A012E"/>
    <w:rPr>
      <w:rFonts w:eastAsiaTheme="majorEastAsia" w:cstheme="majorBidi"/>
      <w:iCs/>
      <w:color w:val="1F497D" w:themeColor="text2"/>
      <w:sz w:val="40"/>
      <w:szCs w:val="24"/>
    </w:rPr>
  </w:style>
  <w:style w:type="character" w:styleId="Emphasis">
    <w:name w:val="Emphasis"/>
    <w:basedOn w:val="DefaultParagraphFont"/>
    <w:uiPriority w:val="20"/>
    <w:qFormat/>
    <w:rsid w:val="005A012E"/>
    <w:rPr>
      <w:b/>
      <w:i/>
      <w:iCs/>
    </w:rPr>
  </w:style>
  <w:style w:type="paragraph" w:styleId="NoSpacing">
    <w:name w:val="No Spacing"/>
    <w:link w:val="NoSpacingChar"/>
    <w:uiPriority w:val="1"/>
    <w:qFormat/>
    <w:rsid w:val="005A01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012E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5A012E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5A012E"/>
    <w:rPr>
      <w:rFonts w:eastAsiaTheme="minorEastAsia"/>
      <w:b/>
      <w:i/>
      <w:iCs/>
      <w:color w:val="4F81BD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12E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12E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5A012E"/>
    <w:pPr>
      <w:spacing w:before="480" w:line="264" w:lineRule="auto"/>
      <w:outlineLvl w:val="9"/>
    </w:pPr>
    <w:rPr>
      <w:b/>
    </w:rPr>
  </w:style>
  <w:style w:type="character" w:styleId="Strong">
    <w:name w:val="Strong"/>
    <w:basedOn w:val="DefaultParagraphFont"/>
    <w:uiPriority w:val="22"/>
    <w:qFormat/>
    <w:rsid w:val="005A012E"/>
    <w:rPr>
      <w:b w:val="0"/>
      <w:bCs/>
      <w:i/>
      <w:color w:val="1F497D" w:themeColor="text2"/>
    </w:rPr>
  </w:style>
  <w:style w:type="character" w:styleId="SubtleEmphasis">
    <w:name w:val="Subtle Emphasis"/>
    <w:basedOn w:val="DefaultParagraphFont"/>
    <w:uiPriority w:val="19"/>
    <w:qFormat/>
    <w:rsid w:val="005A012E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5A012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A012E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5A012E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A012E"/>
    <w:rPr>
      <w:b/>
      <w:bCs/>
      <w:caps/>
      <w:smallCaps w:val="0"/>
      <w:color w:val="1F497D" w:themeColor="text2"/>
      <w:spacing w:val="10"/>
    </w:rPr>
  </w:style>
  <w:style w:type="paragraph" w:customStyle="1" w:styleId="Quotations">
    <w:name w:val="Quotations"/>
    <w:basedOn w:val="Normal"/>
    <w:qFormat/>
    <w:rsid w:val="005A012E"/>
    <w:pPr>
      <w:snapToGrid w:val="0"/>
      <w:spacing w:after="120" w:line="360" w:lineRule="auto"/>
    </w:pPr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5A012E"/>
    <w:pPr>
      <w:snapToGrid w:val="0"/>
      <w:spacing w:after="0" w:line="240" w:lineRule="auto"/>
    </w:pPr>
    <w:rPr>
      <w:rFonts w:ascii="Candara" w:eastAsiaTheme="minorEastAsia" w:hAnsi="Candara"/>
      <w:sz w:val="22"/>
      <w:lang w:val="en-IE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5A012E"/>
    <w:rPr>
      <w:rFonts w:ascii="Candara" w:eastAsiaTheme="minorEastAsia" w:hAnsi="Candara"/>
      <w:lang w:val="en-IE" w:bidi="en-US"/>
    </w:rPr>
  </w:style>
  <w:style w:type="character" w:styleId="PageNumber">
    <w:name w:val="page number"/>
    <w:basedOn w:val="DefaultParagraphFont"/>
    <w:uiPriority w:val="99"/>
    <w:unhideWhenUsed/>
    <w:qFormat/>
    <w:rsid w:val="005A012E"/>
  </w:style>
  <w:style w:type="paragraph" w:styleId="NormalWeb">
    <w:name w:val="Normal (Web)"/>
    <w:basedOn w:val="Normal"/>
    <w:uiPriority w:val="99"/>
    <w:unhideWhenUsed/>
    <w:qFormat/>
    <w:rsid w:val="005A012E"/>
    <w:pPr>
      <w:snapToGrid w:val="0"/>
      <w:spacing w:beforeAutospacing="1" w:after="120" w:afterAutospacing="1" w:line="271" w:lineRule="auto"/>
    </w:pPr>
    <w:rPr>
      <w:rFonts w:ascii="Calibri" w:eastAsia="Calibri" w:hAnsi="Calibri" w:cs="Times New Roman"/>
      <w:color w:val="00000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5A012E"/>
    <w:pPr>
      <w:snapToGrid w:val="0"/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val="en-IE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5A012E"/>
    <w:rPr>
      <w:rFonts w:ascii="Times New Roman" w:eastAsiaTheme="minorEastAsia" w:hAnsi="Times New Roman" w:cs="Times New Roman"/>
      <w:sz w:val="18"/>
      <w:szCs w:val="18"/>
      <w:lang w:val="en-IE" w:bidi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5A012E"/>
  </w:style>
  <w:style w:type="paragraph" w:styleId="Bibliography">
    <w:name w:val="Bibliography"/>
    <w:basedOn w:val="Normal"/>
    <w:next w:val="Normal"/>
    <w:uiPriority w:val="37"/>
    <w:unhideWhenUsed/>
    <w:qFormat/>
    <w:rsid w:val="005A012E"/>
    <w:pPr>
      <w:tabs>
        <w:tab w:val="left" w:pos="500"/>
      </w:tabs>
      <w:snapToGrid w:val="0"/>
      <w:spacing w:after="0" w:line="240" w:lineRule="atLeast"/>
      <w:ind w:left="720" w:hanging="720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53CE2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CE2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53CE2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53CE2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53CE2"/>
    <w:rPr>
      <w:rFonts w:eastAsiaTheme="minorEastAsia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53CE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53CE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CE2"/>
    <w:pPr>
      <w:spacing w:after="160" w:line="240" w:lineRule="auto"/>
    </w:pPr>
    <w:rPr>
      <w:rFonts w:ascii="Tahoma" w:eastAsiaTheme="minorEastAsia" w:hAnsi="Tahoma" w:cs="Tahoma"/>
      <w:sz w:val="16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CE2"/>
    <w:rPr>
      <w:rFonts w:ascii="Tahoma" w:eastAsiaTheme="minorEastAsia" w:hAnsi="Tahoma" w:cs="Tahoma"/>
      <w:sz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CE2"/>
    <w:rPr>
      <w:rFonts w:ascii="Tahoma" w:eastAsiaTheme="minorEastAsia" w:hAnsi="Tahoma" w:cs="Tahoma"/>
      <w:b/>
      <w:bCs/>
      <w:sz w:val="16"/>
      <w:lang w:val="en-GB"/>
    </w:rPr>
  </w:style>
  <w:style w:type="character" w:styleId="Hyperlink">
    <w:name w:val="Hyperlink"/>
    <w:basedOn w:val="DefaultParagraphFont"/>
    <w:uiPriority w:val="99"/>
    <w:unhideWhenUsed/>
    <w:rsid w:val="00053CE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53CE2"/>
    <w:pPr>
      <w:spacing w:after="0" w:line="240" w:lineRule="auto"/>
    </w:pPr>
    <w:rPr>
      <w:rFonts w:eastAsiaTheme="minorEastAsia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53CE2"/>
    <w:rPr>
      <w:color w:val="800080"/>
      <w:u w:val="single"/>
    </w:rPr>
  </w:style>
  <w:style w:type="paragraph" w:customStyle="1" w:styleId="xl65">
    <w:name w:val="xl65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xl67">
    <w:name w:val="xl67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xl68">
    <w:name w:val="xl68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9">
    <w:name w:val="xl69"/>
    <w:basedOn w:val="Normal"/>
    <w:rsid w:val="00053CE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xl70">
    <w:name w:val="xl70"/>
    <w:basedOn w:val="Normal"/>
    <w:rsid w:val="00053CE2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1">
    <w:name w:val="xl71"/>
    <w:basedOn w:val="Normal"/>
    <w:rsid w:val="00053CE2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en-GB" w:eastAsia="en-GB"/>
    </w:rPr>
  </w:style>
  <w:style w:type="paragraph" w:customStyle="1" w:styleId="xl72">
    <w:name w:val="xl72"/>
    <w:basedOn w:val="Normal"/>
    <w:rsid w:val="00053CE2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en-GB" w:eastAsia="en-GB"/>
    </w:rPr>
  </w:style>
  <w:style w:type="paragraph" w:customStyle="1" w:styleId="xl73">
    <w:name w:val="xl73"/>
    <w:basedOn w:val="Normal"/>
    <w:rsid w:val="00053CE2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8434</Words>
  <Characters>48076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LJALANDOON</dc:creator>
  <cp:lastModifiedBy>LJALANDOON</cp:lastModifiedBy>
  <cp:revision>1</cp:revision>
  <dcterms:created xsi:type="dcterms:W3CDTF">2019-07-20T17:26:00Z</dcterms:created>
  <dcterms:modified xsi:type="dcterms:W3CDTF">2019-07-20T17:26:00Z</dcterms:modified>
</cp:coreProperties>
</file>