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3257" w:rsidRPr="008F7DB7" w:rsidDel="00942690" w:rsidRDefault="00843257" w:rsidP="00843257">
      <w:pPr>
        <w:spacing w:line="480" w:lineRule="auto"/>
        <w:rPr>
          <w:b/>
        </w:rPr>
      </w:pPr>
      <w:bookmarkStart w:id="0" w:name="_GoBack"/>
      <w:bookmarkEnd w:id="0"/>
      <w:r w:rsidRPr="008F7DB7">
        <w:rPr>
          <w:b/>
          <w:sz w:val="28"/>
          <w:szCs w:val="28"/>
        </w:rPr>
        <w:t>Web Appendix 1: Bicycle attribute pretest</w:t>
      </w:r>
    </w:p>
    <w:p w:rsidR="00843257" w:rsidRPr="008F7DB7" w:rsidRDefault="00843257" w:rsidP="00843257">
      <w:pPr>
        <w:spacing w:line="480" w:lineRule="auto"/>
        <w:ind w:firstLine="720"/>
      </w:pPr>
      <w:r w:rsidRPr="008F7DB7">
        <w:t xml:space="preserve">This pretest had two goals. The first was to confirm that brands are perceived as relatively affective product attributes. The second was to test a selection of attributes to be used in study 5, and to validate the prediction that some attributes were reliably perceived as having less affective value than brand while others were reliably seen as having more affective value. </w:t>
      </w:r>
    </w:p>
    <w:p w:rsidR="00843257" w:rsidRPr="008F7DB7" w:rsidRDefault="00843257" w:rsidP="00843257">
      <w:pPr>
        <w:spacing w:line="480" w:lineRule="auto"/>
        <w:ind w:firstLine="720"/>
      </w:pPr>
    </w:p>
    <w:p w:rsidR="00843257" w:rsidRPr="008F7DB7" w:rsidRDefault="00843257" w:rsidP="00843257">
      <w:pPr>
        <w:spacing w:line="480" w:lineRule="auto"/>
        <w:rPr>
          <w:b/>
          <w:szCs w:val="22"/>
        </w:rPr>
      </w:pPr>
      <w:r w:rsidRPr="008F7DB7">
        <w:rPr>
          <w:b/>
          <w:szCs w:val="22"/>
        </w:rPr>
        <w:t>Method</w:t>
      </w:r>
    </w:p>
    <w:p w:rsidR="00843257" w:rsidRPr="008F7DB7" w:rsidRDefault="00843257" w:rsidP="00843257">
      <w:pPr>
        <w:spacing w:line="480" w:lineRule="auto"/>
        <w:ind w:firstLine="720"/>
      </w:pPr>
      <w:r w:rsidRPr="008F7DB7">
        <w:t xml:space="preserve">Participants (N = 141, </w:t>
      </w:r>
      <w:r w:rsidRPr="008F7DB7">
        <w:rPr>
          <w:i/>
          <w:iCs/>
        </w:rPr>
        <w:t>M</w:t>
      </w:r>
      <w:r w:rsidRPr="008F7DB7">
        <w:rPr>
          <w:vertAlign w:val="subscript"/>
        </w:rPr>
        <w:t>age</w:t>
      </w:r>
      <w:r w:rsidRPr="008F7DB7">
        <w:rPr>
          <w:rStyle w:val="apple-converted-space"/>
          <w:vertAlign w:val="subscript"/>
        </w:rPr>
        <w:t> </w:t>
      </w:r>
      <w:r w:rsidRPr="008F7DB7">
        <w:t xml:space="preserve">= 20.6, 62.1% female) were undergraduate students at a U.S. university who completed the study as part of a larger lab session to meet course requirements. They were randomly assigned to condition. </w:t>
      </w:r>
    </w:p>
    <w:p w:rsidR="00843257" w:rsidRPr="008F7DB7" w:rsidRDefault="00843257" w:rsidP="00843257">
      <w:pPr>
        <w:spacing w:line="480" w:lineRule="auto"/>
        <w:ind w:firstLine="720"/>
        <w:rPr>
          <w:color w:val="333333"/>
          <w:shd w:val="clear" w:color="auto" w:fill="FFFFFF"/>
        </w:rPr>
      </w:pPr>
      <w:r w:rsidRPr="008F7DB7">
        <w:t xml:space="preserve">Participants viewed two bicycles (the Affective Upgrade and Non-Affective Upgrade stimuli from study 5, with brand and product order randomized), and were asked to rate the affective value of a series of bicycle attributes: brand, </w:t>
      </w:r>
      <w:r w:rsidRPr="008F7DB7">
        <w:rPr>
          <w:color w:val="333333"/>
          <w:shd w:val="clear" w:color="auto" w:fill="FFFFFF"/>
        </w:rPr>
        <w:t>stylish frame and handlebars, customizable color/paint, precision brakes, and shock absorbers on two items: “In general, [this attribute] has…” (1= practical value to 7 = Emotional value) and “I would determine the value of [this attribute] with…” (1 = careful reasoning to 7 = personal feelings). The name of the relevant attribute was substituted into each question.</w:t>
      </w:r>
    </w:p>
    <w:p w:rsidR="00843257" w:rsidRPr="008F7DB7" w:rsidRDefault="00843257" w:rsidP="00843257">
      <w:pPr>
        <w:spacing w:line="480" w:lineRule="auto"/>
        <w:rPr>
          <w:b/>
          <w:szCs w:val="22"/>
        </w:rPr>
      </w:pPr>
    </w:p>
    <w:p w:rsidR="00843257" w:rsidRPr="008F7DB7" w:rsidRDefault="00843257" w:rsidP="00843257">
      <w:pPr>
        <w:spacing w:line="480" w:lineRule="auto"/>
        <w:rPr>
          <w:b/>
          <w:szCs w:val="22"/>
        </w:rPr>
      </w:pPr>
      <w:r w:rsidRPr="008F7DB7">
        <w:rPr>
          <w:b/>
          <w:szCs w:val="22"/>
        </w:rPr>
        <w:t>Results and discussion</w:t>
      </w:r>
    </w:p>
    <w:p w:rsidR="00843257" w:rsidRPr="008F7DB7" w:rsidRDefault="00843257" w:rsidP="00843257">
      <w:pPr>
        <w:spacing w:line="480" w:lineRule="auto"/>
        <w:ind w:firstLine="720"/>
      </w:pPr>
      <w:r w:rsidRPr="008F7DB7">
        <w:t xml:space="preserve">Results are summarized on Table I. The two measures of affective value were reliably consistent overall (Cronbach’s </w:t>
      </w:r>
      <w:r w:rsidRPr="008F7DB7">
        <w:rPr>
          <w:i/>
          <w:iCs/>
        </w:rPr>
        <w:t xml:space="preserve">α </w:t>
      </w:r>
      <w:r w:rsidRPr="008F7DB7">
        <w:t xml:space="preserve">= .81). We observe that brand was indeed rated as having more affective value than the two non-affective attributes (“precision brakes” and “shock absorbers”) </w:t>
      </w:r>
      <w:r w:rsidRPr="008F7DB7">
        <w:lastRenderedPageBreak/>
        <w:t>but less affective value than the two affective attributes (“stylish frame and handlebars” and “customizable color paintjob”).</w:t>
      </w:r>
    </w:p>
    <w:p w:rsidR="00843257" w:rsidRPr="008F7DB7" w:rsidRDefault="00843257" w:rsidP="00843257">
      <w:pPr>
        <w:spacing w:line="480" w:lineRule="auto"/>
        <w:ind w:firstLine="720"/>
      </w:pPr>
    </w:p>
    <w:p w:rsidR="00843257" w:rsidRPr="008F7DB7" w:rsidRDefault="00843257" w:rsidP="00843257">
      <w:pPr>
        <w:spacing w:line="480" w:lineRule="auto"/>
        <w:rPr>
          <w:b/>
          <w:i/>
          <w:sz w:val="22"/>
          <w:szCs w:val="22"/>
        </w:rPr>
      </w:pPr>
      <w:r w:rsidRPr="008F7DB7">
        <w:rPr>
          <w:b/>
        </w:rPr>
        <w:t>Table I: Bicycle attribute pretest results for study 5</w:t>
      </w:r>
    </w:p>
    <w:tbl>
      <w:tblPr>
        <w:tblStyle w:val="ListTable2-Accent31"/>
        <w:tblW w:w="9355" w:type="dxa"/>
        <w:tblInd w:w="-5" w:type="dxa"/>
        <w:tblBorders>
          <w:top w:val="none" w:sz="0" w:space="0" w:color="auto"/>
          <w:bottom w:val="none" w:sz="0" w:space="0" w:color="auto"/>
          <w:insideH w:val="none" w:sz="0" w:space="0" w:color="auto"/>
        </w:tblBorders>
        <w:tblLayout w:type="fixed"/>
        <w:tblLook w:val="04A0" w:firstRow="1" w:lastRow="0" w:firstColumn="1" w:lastColumn="0" w:noHBand="0" w:noVBand="1"/>
      </w:tblPr>
      <w:tblGrid>
        <w:gridCol w:w="2610"/>
        <w:gridCol w:w="1103"/>
        <w:gridCol w:w="157"/>
        <w:gridCol w:w="1069"/>
        <w:gridCol w:w="191"/>
        <w:gridCol w:w="1260"/>
        <w:gridCol w:w="988"/>
        <w:gridCol w:w="988"/>
        <w:gridCol w:w="989"/>
      </w:tblGrid>
      <w:tr w:rsidR="00843257" w:rsidRPr="008F7DB7" w:rsidTr="00265AAB">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610" w:type="dxa"/>
            <w:tcBorders>
              <w:top w:val="single" w:sz="4" w:space="0" w:color="auto"/>
              <w:left w:val="single" w:sz="4" w:space="0" w:color="auto"/>
              <w:bottom w:val="single" w:sz="4" w:space="0" w:color="auto"/>
            </w:tcBorders>
            <w:vAlign w:val="center"/>
          </w:tcPr>
          <w:p w:rsidR="00843257" w:rsidRPr="008F7DB7" w:rsidRDefault="00843257" w:rsidP="00265AAB">
            <w:pPr>
              <w:jc w:val="right"/>
              <w:rPr>
                <w:sz w:val="20"/>
                <w:szCs w:val="20"/>
              </w:rPr>
            </w:pPr>
          </w:p>
        </w:tc>
        <w:tc>
          <w:tcPr>
            <w:tcW w:w="1103" w:type="dxa"/>
            <w:tcBorders>
              <w:top w:val="single" w:sz="4" w:space="0" w:color="auto"/>
              <w:bottom w:val="single" w:sz="4" w:space="0" w:color="auto"/>
            </w:tcBorders>
            <w:vAlign w:val="center"/>
          </w:tcPr>
          <w:p w:rsidR="00843257" w:rsidRPr="008F7DB7" w:rsidRDefault="00843257" w:rsidP="00265AAB">
            <w:pPr>
              <w:jc w:val="center"/>
              <w:cnfStyle w:val="100000000000" w:firstRow="1" w:lastRow="0" w:firstColumn="0" w:lastColumn="0" w:oddVBand="0" w:evenVBand="0" w:oddHBand="0" w:evenHBand="0" w:firstRowFirstColumn="0" w:firstRowLastColumn="0" w:lastRowFirstColumn="0" w:lastRowLastColumn="0"/>
              <w:rPr>
                <w:sz w:val="20"/>
                <w:szCs w:val="20"/>
              </w:rPr>
            </w:pPr>
          </w:p>
        </w:tc>
        <w:tc>
          <w:tcPr>
            <w:tcW w:w="1226" w:type="dxa"/>
            <w:gridSpan w:val="2"/>
            <w:tcBorders>
              <w:top w:val="single" w:sz="4" w:space="0" w:color="auto"/>
              <w:bottom w:val="single" w:sz="4" w:space="0" w:color="auto"/>
            </w:tcBorders>
          </w:tcPr>
          <w:p w:rsidR="00843257" w:rsidRPr="008F7DB7" w:rsidRDefault="00843257" w:rsidP="00265AAB">
            <w:pPr>
              <w:jc w:val="center"/>
              <w:cnfStyle w:val="100000000000" w:firstRow="1" w:lastRow="0" w:firstColumn="0" w:lastColumn="0" w:oddVBand="0" w:evenVBand="0" w:oddHBand="0" w:evenHBand="0" w:firstRowFirstColumn="0" w:firstRowLastColumn="0" w:lastRowFirstColumn="0" w:lastRowLastColumn="0"/>
              <w:rPr>
                <w:sz w:val="20"/>
                <w:szCs w:val="20"/>
              </w:rPr>
            </w:pPr>
          </w:p>
        </w:tc>
        <w:tc>
          <w:tcPr>
            <w:tcW w:w="1451" w:type="dxa"/>
            <w:gridSpan w:val="2"/>
            <w:tcBorders>
              <w:top w:val="single" w:sz="4" w:space="0" w:color="auto"/>
              <w:bottom w:val="single" w:sz="4" w:space="0" w:color="auto"/>
              <w:right w:val="single" w:sz="4" w:space="0" w:color="auto"/>
            </w:tcBorders>
            <w:vAlign w:val="center"/>
          </w:tcPr>
          <w:p w:rsidR="00843257" w:rsidRPr="008F7DB7" w:rsidRDefault="00843257" w:rsidP="00265AAB">
            <w:pPr>
              <w:jc w:val="center"/>
              <w:cnfStyle w:val="100000000000" w:firstRow="1" w:lastRow="0" w:firstColumn="0" w:lastColumn="0" w:oddVBand="0" w:evenVBand="0" w:oddHBand="0" w:evenHBand="0" w:firstRowFirstColumn="0" w:firstRowLastColumn="0" w:lastRowFirstColumn="0" w:lastRowLastColumn="0"/>
              <w:rPr>
                <w:sz w:val="20"/>
                <w:szCs w:val="20"/>
              </w:rPr>
            </w:pPr>
          </w:p>
        </w:tc>
        <w:tc>
          <w:tcPr>
            <w:tcW w:w="2965" w:type="dxa"/>
            <w:gridSpan w:val="3"/>
            <w:tcBorders>
              <w:top w:val="single" w:sz="4" w:space="0" w:color="auto"/>
              <w:left w:val="single" w:sz="4" w:space="0" w:color="auto"/>
              <w:bottom w:val="single" w:sz="4" w:space="0" w:color="auto"/>
              <w:right w:val="single" w:sz="4" w:space="0" w:color="auto"/>
            </w:tcBorders>
            <w:vAlign w:val="center"/>
          </w:tcPr>
          <w:p w:rsidR="00843257" w:rsidRPr="008F7DB7" w:rsidRDefault="00843257" w:rsidP="00265AAB">
            <w:pPr>
              <w:jc w:val="center"/>
              <w:cnfStyle w:val="100000000000" w:firstRow="1" w:lastRow="0" w:firstColumn="0" w:lastColumn="0" w:oddVBand="0" w:evenVBand="0" w:oddHBand="0" w:evenHBand="0" w:firstRowFirstColumn="0" w:firstRowLastColumn="0" w:lastRowFirstColumn="0" w:lastRowLastColumn="0"/>
              <w:rPr>
                <w:sz w:val="20"/>
                <w:szCs w:val="20"/>
              </w:rPr>
            </w:pPr>
            <w:r w:rsidRPr="008F7DB7">
              <w:rPr>
                <w:sz w:val="20"/>
                <w:szCs w:val="20"/>
              </w:rPr>
              <w:t>Comparison to brand</w:t>
            </w:r>
          </w:p>
        </w:tc>
      </w:tr>
      <w:tr w:rsidR="00843257" w:rsidRPr="008F7DB7" w:rsidTr="00265AAB">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2610" w:type="dxa"/>
            <w:tcBorders>
              <w:top w:val="single" w:sz="4" w:space="0" w:color="auto"/>
              <w:left w:val="single" w:sz="4" w:space="0" w:color="auto"/>
              <w:bottom w:val="single" w:sz="4" w:space="0" w:color="auto"/>
              <w:right w:val="single" w:sz="4" w:space="0" w:color="auto"/>
            </w:tcBorders>
            <w:vAlign w:val="center"/>
          </w:tcPr>
          <w:p w:rsidR="00843257" w:rsidRPr="008F7DB7" w:rsidRDefault="00843257" w:rsidP="00265AAB">
            <w:pPr>
              <w:jc w:val="center"/>
              <w:rPr>
                <w:sz w:val="20"/>
                <w:szCs w:val="20"/>
              </w:rPr>
            </w:pPr>
            <w:r w:rsidRPr="008F7DB7">
              <w:rPr>
                <w:sz w:val="20"/>
                <w:szCs w:val="20"/>
              </w:rPr>
              <w:t>Attribute</w:t>
            </w:r>
          </w:p>
        </w:tc>
        <w:tc>
          <w:tcPr>
            <w:tcW w:w="1260" w:type="dxa"/>
            <w:gridSpan w:val="2"/>
            <w:tcBorders>
              <w:top w:val="single" w:sz="4" w:space="0" w:color="auto"/>
              <w:left w:val="single" w:sz="4" w:space="0" w:color="auto"/>
              <w:bottom w:val="single" w:sz="4" w:space="0" w:color="auto"/>
            </w:tcBorders>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8F7DB7">
              <w:rPr>
                <w:b/>
                <w:bCs/>
                <w:sz w:val="20"/>
                <w:szCs w:val="20"/>
              </w:rPr>
              <w:t>Mean</w:t>
            </w:r>
          </w:p>
        </w:tc>
        <w:tc>
          <w:tcPr>
            <w:tcW w:w="1260" w:type="dxa"/>
            <w:gridSpan w:val="2"/>
            <w:tcBorders>
              <w:top w:val="single" w:sz="4" w:space="0" w:color="auto"/>
              <w:bottom w:val="single" w:sz="4" w:space="0" w:color="auto"/>
            </w:tcBorders>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8F7DB7">
              <w:rPr>
                <w:b/>
                <w:bCs/>
                <w:sz w:val="20"/>
                <w:szCs w:val="20"/>
              </w:rPr>
              <w:t>Standard Error</w:t>
            </w:r>
          </w:p>
        </w:tc>
        <w:tc>
          <w:tcPr>
            <w:tcW w:w="1260" w:type="dxa"/>
            <w:tcBorders>
              <w:top w:val="single" w:sz="4" w:space="0" w:color="auto"/>
              <w:bottom w:val="single" w:sz="4" w:space="0" w:color="auto"/>
              <w:right w:val="single" w:sz="4" w:space="0" w:color="auto"/>
            </w:tcBorders>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8F7DB7">
              <w:rPr>
                <w:b/>
                <w:bCs/>
                <w:sz w:val="20"/>
                <w:szCs w:val="20"/>
              </w:rPr>
              <w:t>Cronbach’s</w:t>
            </w:r>
          </w:p>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b/>
                <w:bCs/>
                <w:i/>
                <w:iCs/>
                <w:sz w:val="20"/>
                <w:szCs w:val="20"/>
              </w:rPr>
            </w:pPr>
            <w:r w:rsidRPr="008F7DB7">
              <w:rPr>
                <w:b/>
                <w:bCs/>
                <w:i/>
                <w:iCs/>
                <w:sz w:val="20"/>
                <w:szCs w:val="20"/>
              </w:rPr>
              <w:t>α</w:t>
            </w:r>
          </w:p>
        </w:tc>
        <w:tc>
          <w:tcPr>
            <w:tcW w:w="988" w:type="dxa"/>
            <w:tcBorders>
              <w:top w:val="single" w:sz="4" w:space="0" w:color="auto"/>
              <w:left w:val="single" w:sz="4" w:space="0" w:color="auto"/>
              <w:bottom w:val="single" w:sz="4" w:space="0" w:color="auto"/>
            </w:tcBorders>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b/>
                <w:bCs/>
                <w:i/>
                <w:iCs/>
                <w:sz w:val="20"/>
                <w:szCs w:val="20"/>
              </w:rPr>
            </w:pPr>
            <w:r w:rsidRPr="008F7DB7">
              <w:rPr>
                <w:b/>
                <w:bCs/>
                <w:i/>
                <w:iCs/>
                <w:sz w:val="20"/>
                <w:szCs w:val="20"/>
              </w:rPr>
              <w:t>t</w:t>
            </w:r>
          </w:p>
        </w:tc>
        <w:tc>
          <w:tcPr>
            <w:tcW w:w="988" w:type="dxa"/>
            <w:tcBorders>
              <w:top w:val="single" w:sz="4" w:space="0" w:color="auto"/>
              <w:bottom w:val="single" w:sz="4" w:space="0" w:color="auto"/>
            </w:tcBorders>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b/>
                <w:bCs/>
                <w:i/>
                <w:iCs/>
                <w:sz w:val="20"/>
                <w:szCs w:val="20"/>
              </w:rPr>
            </w:pPr>
            <w:r w:rsidRPr="008F7DB7">
              <w:rPr>
                <w:b/>
                <w:bCs/>
                <w:i/>
                <w:iCs/>
                <w:sz w:val="20"/>
                <w:szCs w:val="20"/>
              </w:rPr>
              <w:t>p</w:t>
            </w:r>
          </w:p>
        </w:tc>
        <w:tc>
          <w:tcPr>
            <w:tcW w:w="989" w:type="dxa"/>
            <w:tcBorders>
              <w:top w:val="single" w:sz="4" w:space="0" w:color="auto"/>
              <w:bottom w:val="single" w:sz="4" w:space="0" w:color="auto"/>
              <w:right w:val="single" w:sz="4" w:space="0" w:color="auto"/>
            </w:tcBorders>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b/>
                <w:bCs/>
                <w:i/>
                <w:iCs/>
                <w:sz w:val="20"/>
                <w:szCs w:val="20"/>
              </w:rPr>
            </w:pPr>
            <w:r w:rsidRPr="008F7DB7">
              <w:rPr>
                <w:b/>
                <w:bCs/>
                <w:i/>
                <w:iCs/>
                <w:sz w:val="20"/>
                <w:szCs w:val="20"/>
              </w:rPr>
              <w:t>d</w:t>
            </w:r>
          </w:p>
        </w:tc>
      </w:tr>
      <w:tr w:rsidR="00843257" w:rsidRPr="008F7DB7" w:rsidTr="00265AAB">
        <w:trPr>
          <w:trHeight w:val="555"/>
        </w:trPr>
        <w:tc>
          <w:tcPr>
            <w:cnfStyle w:val="001000000000" w:firstRow="0" w:lastRow="0" w:firstColumn="1" w:lastColumn="0" w:oddVBand="0" w:evenVBand="0" w:oddHBand="0" w:evenHBand="0" w:firstRowFirstColumn="0" w:firstRowLastColumn="0" w:lastRowFirstColumn="0" w:lastRowLastColumn="0"/>
            <w:tcW w:w="2610" w:type="dxa"/>
            <w:tcBorders>
              <w:left w:val="single" w:sz="4" w:space="0" w:color="auto"/>
              <w:right w:val="single" w:sz="4" w:space="0" w:color="auto"/>
            </w:tcBorders>
            <w:vAlign w:val="center"/>
          </w:tcPr>
          <w:p w:rsidR="00843257" w:rsidRPr="008F7DB7" w:rsidRDefault="00843257" w:rsidP="00265AAB">
            <w:pPr>
              <w:rPr>
                <w:sz w:val="20"/>
                <w:szCs w:val="20"/>
              </w:rPr>
            </w:pPr>
            <w:r w:rsidRPr="008F7DB7">
              <w:rPr>
                <w:b w:val="0"/>
                <w:bCs w:val="0"/>
                <w:sz w:val="20"/>
                <w:szCs w:val="20"/>
              </w:rPr>
              <w:t>Brand name</w:t>
            </w:r>
          </w:p>
        </w:tc>
        <w:tc>
          <w:tcPr>
            <w:tcW w:w="1260" w:type="dxa"/>
            <w:gridSpan w:val="2"/>
            <w:tcBorders>
              <w:left w:val="single" w:sz="4" w:space="0" w:color="auto"/>
            </w:tcBorders>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4.19</w:t>
            </w:r>
          </w:p>
        </w:tc>
        <w:tc>
          <w:tcPr>
            <w:tcW w:w="1260" w:type="dxa"/>
            <w:gridSpan w:val="2"/>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0.15</w:t>
            </w:r>
          </w:p>
        </w:tc>
        <w:tc>
          <w:tcPr>
            <w:tcW w:w="1260" w:type="dxa"/>
            <w:tcBorders>
              <w:right w:val="single" w:sz="4" w:space="0" w:color="auto"/>
            </w:tcBorders>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.82</w:t>
            </w:r>
          </w:p>
        </w:tc>
        <w:tc>
          <w:tcPr>
            <w:tcW w:w="988" w:type="dxa"/>
            <w:tcBorders>
              <w:top w:val="single" w:sz="4" w:space="0" w:color="auto"/>
              <w:left w:val="single" w:sz="4" w:space="0" w:color="auto"/>
            </w:tcBorders>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w:t>
            </w:r>
          </w:p>
        </w:tc>
        <w:tc>
          <w:tcPr>
            <w:tcW w:w="988" w:type="dxa"/>
            <w:tcBorders>
              <w:top w:val="single" w:sz="4" w:space="0" w:color="auto"/>
            </w:tcBorders>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w:t>
            </w:r>
          </w:p>
        </w:tc>
        <w:tc>
          <w:tcPr>
            <w:tcW w:w="989" w:type="dxa"/>
            <w:tcBorders>
              <w:top w:val="single" w:sz="4" w:space="0" w:color="auto"/>
              <w:right w:val="single" w:sz="4" w:space="0" w:color="auto"/>
            </w:tcBorders>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w:t>
            </w:r>
          </w:p>
        </w:tc>
      </w:tr>
      <w:tr w:rsidR="00843257" w:rsidRPr="008F7DB7" w:rsidTr="00265AAB">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2610" w:type="dxa"/>
            <w:tcBorders>
              <w:left w:val="single" w:sz="4" w:space="0" w:color="auto"/>
              <w:right w:val="single" w:sz="4" w:space="0" w:color="auto"/>
            </w:tcBorders>
            <w:vAlign w:val="center"/>
          </w:tcPr>
          <w:p w:rsidR="00843257" w:rsidRPr="008F7DB7" w:rsidRDefault="00843257" w:rsidP="00265AAB">
            <w:pPr>
              <w:rPr>
                <w:sz w:val="20"/>
                <w:szCs w:val="20"/>
                <w:u w:val="single"/>
              </w:rPr>
            </w:pPr>
            <w:r w:rsidRPr="008F7DB7">
              <w:rPr>
                <w:b w:val="0"/>
                <w:bCs w:val="0"/>
                <w:sz w:val="20"/>
                <w:szCs w:val="20"/>
              </w:rPr>
              <w:t>Stylish frame and handlebars</w:t>
            </w:r>
          </w:p>
        </w:tc>
        <w:tc>
          <w:tcPr>
            <w:tcW w:w="1260" w:type="dxa"/>
            <w:gridSpan w:val="2"/>
            <w:tcBorders>
              <w:left w:val="single" w:sz="4" w:space="0" w:color="auto"/>
            </w:tcBorders>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5.66</w:t>
            </w:r>
          </w:p>
        </w:tc>
        <w:tc>
          <w:tcPr>
            <w:tcW w:w="1260" w:type="dxa"/>
            <w:gridSpan w:val="2"/>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0.12</w:t>
            </w:r>
          </w:p>
        </w:tc>
        <w:tc>
          <w:tcPr>
            <w:tcW w:w="1260" w:type="dxa"/>
            <w:tcBorders>
              <w:right w:val="single" w:sz="4" w:space="0" w:color="auto"/>
            </w:tcBorders>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.73</w:t>
            </w:r>
          </w:p>
        </w:tc>
        <w:tc>
          <w:tcPr>
            <w:tcW w:w="988" w:type="dxa"/>
            <w:tcBorders>
              <w:left w:val="single" w:sz="4" w:space="0" w:color="auto"/>
            </w:tcBorders>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7.79</w:t>
            </w:r>
          </w:p>
        </w:tc>
        <w:tc>
          <w:tcPr>
            <w:tcW w:w="988" w:type="dxa"/>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vertAlign w:val="superscript"/>
              </w:rPr>
            </w:pPr>
            <w:r w:rsidRPr="008F7DB7">
              <w:rPr>
                <w:sz w:val="20"/>
                <w:szCs w:val="20"/>
              </w:rPr>
              <w:t>&lt; .0001</w:t>
            </w:r>
          </w:p>
        </w:tc>
        <w:tc>
          <w:tcPr>
            <w:tcW w:w="989" w:type="dxa"/>
            <w:tcBorders>
              <w:right w:val="single" w:sz="4" w:space="0" w:color="auto"/>
            </w:tcBorders>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0.93</w:t>
            </w:r>
          </w:p>
        </w:tc>
      </w:tr>
      <w:tr w:rsidR="00843257" w:rsidRPr="008F7DB7" w:rsidTr="00265AAB">
        <w:trPr>
          <w:trHeight w:val="555"/>
        </w:trPr>
        <w:tc>
          <w:tcPr>
            <w:cnfStyle w:val="001000000000" w:firstRow="0" w:lastRow="0" w:firstColumn="1" w:lastColumn="0" w:oddVBand="0" w:evenVBand="0" w:oddHBand="0" w:evenHBand="0" w:firstRowFirstColumn="0" w:firstRowLastColumn="0" w:lastRowFirstColumn="0" w:lastRowLastColumn="0"/>
            <w:tcW w:w="2610" w:type="dxa"/>
            <w:tcBorders>
              <w:left w:val="single" w:sz="4" w:space="0" w:color="auto"/>
              <w:right w:val="single" w:sz="4" w:space="0" w:color="auto"/>
            </w:tcBorders>
            <w:vAlign w:val="center"/>
          </w:tcPr>
          <w:p w:rsidR="00843257" w:rsidRPr="008F7DB7" w:rsidRDefault="00843257" w:rsidP="00265AAB">
            <w:pPr>
              <w:rPr>
                <w:b w:val="0"/>
                <w:bCs w:val="0"/>
                <w:sz w:val="20"/>
                <w:szCs w:val="20"/>
              </w:rPr>
            </w:pPr>
            <w:r w:rsidRPr="008F7DB7">
              <w:rPr>
                <w:b w:val="0"/>
                <w:bCs w:val="0"/>
                <w:sz w:val="20"/>
                <w:szCs w:val="20"/>
              </w:rPr>
              <w:t>Customizable color paintjob</w:t>
            </w:r>
          </w:p>
        </w:tc>
        <w:tc>
          <w:tcPr>
            <w:tcW w:w="1260" w:type="dxa"/>
            <w:gridSpan w:val="2"/>
            <w:tcBorders>
              <w:left w:val="single" w:sz="4" w:space="0" w:color="auto"/>
            </w:tcBorders>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6.06</w:t>
            </w:r>
          </w:p>
        </w:tc>
        <w:tc>
          <w:tcPr>
            <w:tcW w:w="1260" w:type="dxa"/>
            <w:gridSpan w:val="2"/>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0.10</w:t>
            </w:r>
          </w:p>
        </w:tc>
        <w:tc>
          <w:tcPr>
            <w:tcW w:w="1260" w:type="dxa"/>
            <w:tcBorders>
              <w:right w:val="single" w:sz="4" w:space="0" w:color="auto"/>
            </w:tcBorders>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.79</w:t>
            </w:r>
          </w:p>
        </w:tc>
        <w:tc>
          <w:tcPr>
            <w:tcW w:w="988" w:type="dxa"/>
            <w:tcBorders>
              <w:left w:val="single" w:sz="4" w:space="0" w:color="auto"/>
            </w:tcBorders>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10.48</w:t>
            </w:r>
          </w:p>
        </w:tc>
        <w:tc>
          <w:tcPr>
            <w:tcW w:w="988" w:type="dxa"/>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vertAlign w:val="superscript"/>
              </w:rPr>
            </w:pPr>
            <w:r w:rsidRPr="008F7DB7">
              <w:rPr>
                <w:sz w:val="20"/>
                <w:szCs w:val="20"/>
              </w:rPr>
              <w:t>&lt; .0001</w:t>
            </w:r>
          </w:p>
        </w:tc>
        <w:tc>
          <w:tcPr>
            <w:tcW w:w="989" w:type="dxa"/>
            <w:tcBorders>
              <w:right w:val="single" w:sz="4" w:space="0" w:color="auto"/>
            </w:tcBorders>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1.25</w:t>
            </w:r>
          </w:p>
        </w:tc>
      </w:tr>
      <w:tr w:rsidR="00843257" w:rsidRPr="008F7DB7" w:rsidTr="00265AAB">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2610" w:type="dxa"/>
            <w:tcBorders>
              <w:left w:val="single" w:sz="4" w:space="0" w:color="auto"/>
              <w:right w:val="single" w:sz="4" w:space="0" w:color="auto"/>
            </w:tcBorders>
            <w:vAlign w:val="center"/>
          </w:tcPr>
          <w:p w:rsidR="00843257" w:rsidRPr="008F7DB7" w:rsidRDefault="00843257" w:rsidP="00265AAB">
            <w:pPr>
              <w:rPr>
                <w:b w:val="0"/>
                <w:bCs w:val="0"/>
                <w:sz w:val="20"/>
                <w:szCs w:val="20"/>
              </w:rPr>
            </w:pPr>
            <w:r w:rsidRPr="008F7DB7">
              <w:rPr>
                <w:b w:val="0"/>
                <w:bCs w:val="0"/>
                <w:sz w:val="20"/>
                <w:szCs w:val="20"/>
              </w:rPr>
              <w:t>Precision brakes</w:t>
            </w:r>
          </w:p>
        </w:tc>
        <w:tc>
          <w:tcPr>
            <w:tcW w:w="1260" w:type="dxa"/>
            <w:gridSpan w:val="2"/>
            <w:tcBorders>
              <w:left w:val="single" w:sz="4" w:space="0" w:color="auto"/>
            </w:tcBorders>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1.80</w:t>
            </w:r>
          </w:p>
        </w:tc>
        <w:tc>
          <w:tcPr>
            <w:tcW w:w="1260" w:type="dxa"/>
            <w:gridSpan w:val="2"/>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0.11</w:t>
            </w:r>
          </w:p>
        </w:tc>
        <w:tc>
          <w:tcPr>
            <w:tcW w:w="1260" w:type="dxa"/>
            <w:tcBorders>
              <w:right w:val="single" w:sz="4" w:space="0" w:color="auto"/>
            </w:tcBorders>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.88</w:t>
            </w:r>
          </w:p>
        </w:tc>
        <w:tc>
          <w:tcPr>
            <w:tcW w:w="988" w:type="dxa"/>
            <w:tcBorders>
              <w:left w:val="single" w:sz="4" w:space="0" w:color="auto"/>
            </w:tcBorders>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-12.78</w:t>
            </w:r>
          </w:p>
        </w:tc>
        <w:tc>
          <w:tcPr>
            <w:tcW w:w="988" w:type="dxa"/>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vertAlign w:val="superscript"/>
              </w:rPr>
            </w:pPr>
            <w:r w:rsidRPr="008F7DB7">
              <w:rPr>
                <w:sz w:val="20"/>
                <w:szCs w:val="20"/>
              </w:rPr>
              <w:t>&lt; .0001</w:t>
            </w:r>
          </w:p>
        </w:tc>
        <w:tc>
          <w:tcPr>
            <w:tcW w:w="989" w:type="dxa"/>
            <w:tcBorders>
              <w:right w:val="single" w:sz="4" w:space="0" w:color="auto"/>
            </w:tcBorders>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1.52</w:t>
            </w:r>
          </w:p>
        </w:tc>
      </w:tr>
      <w:tr w:rsidR="00843257" w:rsidRPr="008F7DB7" w:rsidTr="00265AAB">
        <w:trPr>
          <w:trHeight w:val="555"/>
        </w:trPr>
        <w:tc>
          <w:tcPr>
            <w:cnfStyle w:val="001000000000" w:firstRow="0" w:lastRow="0" w:firstColumn="1" w:lastColumn="0" w:oddVBand="0" w:evenVBand="0" w:oddHBand="0" w:evenHBand="0" w:firstRowFirstColumn="0" w:firstRowLastColumn="0" w:lastRowFirstColumn="0" w:lastRowLastColumn="0"/>
            <w:tcW w:w="2610" w:type="dxa"/>
            <w:tcBorders>
              <w:left w:val="single" w:sz="4" w:space="0" w:color="auto"/>
              <w:bottom w:val="single" w:sz="4" w:space="0" w:color="auto"/>
              <w:right w:val="single" w:sz="4" w:space="0" w:color="auto"/>
            </w:tcBorders>
            <w:vAlign w:val="center"/>
          </w:tcPr>
          <w:p w:rsidR="00843257" w:rsidRPr="008F7DB7" w:rsidRDefault="00843257" w:rsidP="00265AAB">
            <w:pPr>
              <w:rPr>
                <w:b w:val="0"/>
                <w:bCs w:val="0"/>
                <w:sz w:val="20"/>
                <w:szCs w:val="20"/>
              </w:rPr>
            </w:pPr>
            <w:r w:rsidRPr="008F7DB7">
              <w:rPr>
                <w:b w:val="0"/>
                <w:bCs w:val="0"/>
                <w:sz w:val="20"/>
                <w:szCs w:val="20"/>
              </w:rPr>
              <w:t>Shock absorbers</w:t>
            </w:r>
          </w:p>
        </w:tc>
        <w:tc>
          <w:tcPr>
            <w:tcW w:w="1260" w:type="dxa"/>
            <w:gridSpan w:val="2"/>
            <w:tcBorders>
              <w:left w:val="single" w:sz="4" w:space="0" w:color="auto"/>
              <w:bottom w:val="single" w:sz="4" w:space="0" w:color="auto"/>
            </w:tcBorders>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2.05</w:t>
            </w:r>
          </w:p>
        </w:tc>
        <w:tc>
          <w:tcPr>
            <w:tcW w:w="1260" w:type="dxa"/>
            <w:gridSpan w:val="2"/>
            <w:tcBorders>
              <w:bottom w:val="single" w:sz="4" w:space="0" w:color="auto"/>
            </w:tcBorders>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0.11</w:t>
            </w:r>
          </w:p>
        </w:tc>
        <w:tc>
          <w:tcPr>
            <w:tcW w:w="1260" w:type="dxa"/>
            <w:tcBorders>
              <w:bottom w:val="single" w:sz="4" w:space="0" w:color="auto"/>
              <w:right w:val="single" w:sz="4" w:space="0" w:color="auto"/>
            </w:tcBorders>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.92</w:t>
            </w:r>
          </w:p>
        </w:tc>
        <w:tc>
          <w:tcPr>
            <w:tcW w:w="988" w:type="dxa"/>
            <w:tcBorders>
              <w:left w:val="single" w:sz="4" w:space="0" w:color="auto"/>
              <w:bottom w:val="single" w:sz="4" w:space="0" w:color="auto"/>
            </w:tcBorders>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-11.54</w:t>
            </w:r>
          </w:p>
        </w:tc>
        <w:tc>
          <w:tcPr>
            <w:tcW w:w="988" w:type="dxa"/>
            <w:tcBorders>
              <w:bottom w:val="single" w:sz="4" w:space="0" w:color="auto"/>
            </w:tcBorders>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&lt; .0001</w:t>
            </w:r>
          </w:p>
        </w:tc>
        <w:tc>
          <w:tcPr>
            <w:tcW w:w="989" w:type="dxa"/>
            <w:tcBorders>
              <w:bottom w:val="single" w:sz="4" w:space="0" w:color="auto"/>
              <w:right w:val="single" w:sz="4" w:space="0" w:color="auto"/>
            </w:tcBorders>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1.37</w:t>
            </w:r>
          </w:p>
        </w:tc>
      </w:tr>
    </w:tbl>
    <w:p w:rsidR="00843257" w:rsidRPr="008F7DB7" w:rsidRDefault="00843257" w:rsidP="00843257">
      <w:pPr>
        <w:spacing w:before="240" w:after="160" w:line="480" w:lineRule="auto"/>
        <w:jc w:val="both"/>
        <w:rPr>
          <w:b/>
        </w:rPr>
      </w:pPr>
      <w:r w:rsidRPr="008F7DB7">
        <w:t>N = 141 observations.</w:t>
      </w:r>
    </w:p>
    <w:p w:rsidR="00843257" w:rsidRPr="008F7DB7" w:rsidRDefault="00843257" w:rsidP="00843257">
      <w:pPr>
        <w:spacing w:after="160" w:line="259" w:lineRule="auto"/>
        <w:rPr>
          <w:b/>
          <w:sz w:val="28"/>
          <w:szCs w:val="28"/>
        </w:rPr>
      </w:pPr>
      <w:r w:rsidRPr="008F7DB7">
        <w:rPr>
          <w:b/>
          <w:sz w:val="28"/>
          <w:szCs w:val="28"/>
        </w:rPr>
        <w:br w:type="page"/>
      </w:r>
    </w:p>
    <w:p w:rsidR="00843257" w:rsidRPr="008F7DB7" w:rsidDel="00942690" w:rsidRDefault="00843257" w:rsidP="00843257">
      <w:pPr>
        <w:spacing w:line="480" w:lineRule="auto"/>
        <w:rPr>
          <w:b/>
        </w:rPr>
      </w:pPr>
      <w:r w:rsidRPr="008F7DB7">
        <w:rPr>
          <w:b/>
          <w:sz w:val="28"/>
          <w:szCs w:val="28"/>
        </w:rPr>
        <w:t>Web Appendix 2: Durable vs. consumable categories</w:t>
      </w:r>
    </w:p>
    <w:p w:rsidR="00843257" w:rsidRPr="008F7DB7" w:rsidRDefault="00843257" w:rsidP="00843257">
      <w:pPr>
        <w:spacing w:line="480" w:lineRule="auto"/>
        <w:rPr>
          <w:b/>
        </w:rPr>
      </w:pPr>
      <w:r w:rsidRPr="008F7DB7">
        <w:rPr>
          <w:b/>
        </w:rPr>
        <w:t xml:space="preserve">Supplemental results for study 1 </w:t>
      </w:r>
    </w:p>
    <w:p w:rsidR="00843257" w:rsidRPr="008F7DB7" w:rsidRDefault="00843257" w:rsidP="00843257">
      <w:pPr>
        <w:spacing w:line="480" w:lineRule="auto"/>
        <w:ind w:firstLine="720"/>
      </w:pPr>
      <w:r w:rsidRPr="008F7DB7">
        <w:t xml:space="preserve">Consumers’ upgrade decisions varied by whether the product was durable (i.e., products which are reused many times and do not require regular replacement) or consumable (i.e., products which are used up quickly and require regular replacement). </w:t>
      </w:r>
      <w:r w:rsidRPr="008F7DB7">
        <w:rPr>
          <w:rFonts w:ascii="Times" w:hAnsi="Times"/>
        </w:rPr>
        <w:t>Running shoes, televisions, and headphones were identified as durable products whereas toilet paper, hand sanitizer, hand soap, rice, and chocolate were identified as consumable products. D</w:t>
      </w:r>
      <w:r w:rsidRPr="008F7DB7">
        <w:t>urability predicted</w:t>
      </w:r>
      <w:r w:rsidRPr="008F7DB7">
        <w:rPr>
          <w:rFonts w:ascii="Times" w:hAnsi="Times"/>
        </w:rPr>
        <w:t xml:space="preserve"> greater likelihood of upgrading such that 35.28% (SE = 2.72%) of participants </w:t>
      </w:r>
      <w:r w:rsidRPr="008F7DB7">
        <w:t xml:space="preserve">tended to prefer option </w:t>
      </w:r>
      <w:r w:rsidRPr="008F7DB7">
        <w:rPr>
          <w:i/>
        </w:rPr>
        <w:t>S+</w:t>
      </w:r>
      <w:r w:rsidRPr="008F7DB7">
        <w:t xml:space="preserve"> among durable categories versus 14.74% (SE = 1.45%) among consumable categories </w:t>
      </w:r>
      <w:r w:rsidRPr="008F7DB7">
        <w:rPr>
          <w:rFonts w:ascii="Times" w:hAnsi="Times"/>
        </w:rPr>
        <w:t>(</w:t>
      </w:r>
      <w:r w:rsidRPr="008F7DB7">
        <w:rPr>
          <w:i/>
        </w:rPr>
        <w:t>b</w:t>
      </w:r>
      <w:r w:rsidRPr="008F7DB7">
        <w:t xml:space="preserve"> = 1.11, </w:t>
      </w:r>
      <w:r w:rsidRPr="008F7DB7">
        <w:rPr>
          <w:i/>
        </w:rPr>
        <w:t>z</w:t>
      </w:r>
      <w:r w:rsidRPr="008F7DB7">
        <w:t xml:space="preserve">(894) = 5.22, </w:t>
      </w:r>
      <w:r w:rsidRPr="008F7DB7">
        <w:rPr>
          <w:i/>
        </w:rPr>
        <w:t>p</w:t>
      </w:r>
      <w:r w:rsidRPr="008F7DB7">
        <w:t xml:space="preserve"> &lt; .0001, odds ratio</w:t>
      </w:r>
      <w:r w:rsidRPr="008F7DB7">
        <w:rPr>
          <w:i/>
        </w:rPr>
        <w:t xml:space="preserve"> </w:t>
      </w:r>
      <w:r w:rsidRPr="008F7DB7">
        <w:t>= 3.05; Model 3-Table II). We believe that these different upgrade patterns in durable and consumable categories are likely due to different expectations of stockouts in these categories during the COVID-19 pandemic rather than due to the natures of the categories themselves. In support of this explanation, we found that participants were less likely to have</w:t>
      </w:r>
      <w:r w:rsidRPr="008F7DB7">
        <w:rPr>
          <w:rFonts w:ascii="Times" w:hAnsi="Times"/>
        </w:rPr>
        <w:t xml:space="preserve"> experienced stockouts of durable products </w:t>
      </w:r>
      <w:r w:rsidRPr="008F7DB7">
        <w:t>(</w:t>
      </w:r>
      <w:r w:rsidRPr="008F7DB7">
        <w:rPr>
          <w:i/>
        </w:rPr>
        <w:t>b</w:t>
      </w:r>
      <w:r w:rsidRPr="008F7DB7">
        <w:t xml:space="preserve"> = -2.26, </w:t>
      </w:r>
      <w:r w:rsidRPr="008F7DB7">
        <w:rPr>
          <w:i/>
        </w:rPr>
        <w:t>z</w:t>
      </w:r>
      <w:r w:rsidRPr="008F7DB7">
        <w:t xml:space="preserve">(896) = -9.98, </w:t>
      </w:r>
      <w:r w:rsidRPr="008F7DB7">
        <w:rPr>
          <w:i/>
        </w:rPr>
        <w:t>p</w:t>
      </w:r>
      <w:r w:rsidRPr="008F7DB7">
        <w:t xml:space="preserve"> &lt; .0001, odds ratio = 9.59; Model 1-Table II) and reported greater frustration with such stockouts (</w:t>
      </w:r>
      <w:r w:rsidRPr="008F7DB7">
        <w:rPr>
          <w:i/>
          <w:iCs/>
        </w:rPr>
        <w:t>b</w:t>
      </w:r>
      <w:r w:rsidRPr="008F7DB7">
        <w:t xml:space="preserve"> = 0.31, </w:t>
      </w:r>
      <w:r w:rsidRPr="008F7DB7">
        <w:rPr>
          <w:i/>
          <w:iCs/>
        </w:rPr>
        <w:t>t</w:t>
      </w:r>
      <w:r w:rsidRPr="008F7DB7">
        <w:t xml:space="preserve">(735) = 2.64, </w:t>
      </w:r>
      <w:r w:rsidRPr="008F7DB7">
        <w:rPr>
          <w:i/>
          <w:iCs/>
        </w:rPr>
        <w:t>p</w:t>
      </w:r>
      <w:r w:rsidRPr="008F7DB7">
        <w:t xml:space="preserve"> &lt; .009, </w:t>
      </w:r>
      <w:r w:rsidRPr="008F7DB7">
        <w:rPr>
          <w:i/>
          <w:iCs/>
        </w:rPr>
        <w:t>d</w:t>
      </w:r>
      <w:r w:rsidRPr="008F7DB7">
        <w:t xml:space="preserve"> = .03; Model 2-Table II), and these in turn serially mediated the effect of durability on the upgrade decision </w:t>
      </w:r>
      <w:r w:rsidRPr="008F7DB7">
        <w:rPr>
          <w:rFonts w:ascii="Times" w:hAnsi="Times"/>
        </w:rPr>
        <w:t>(5000 bootstrapped mediation; CI [-4.06, -1.08])</w:t>
      </w:r>
      <w:r w:rsidRPr="008F7DB7">
        <w:t xml:space="preserve">. </w:t>
      </w:r>
    </w:p>
    <w:p w:rsidR="00843257" w:rsidRPr="008F7DB7" w:rsidRDefault="00843257" w:rsidP="00843257">
      <w:pPr>
        <w:spacing w:line="480" w:lineRule="auto"/>
        <w:ind w:firstLine="720"/>
        <w:rPr>
          <w:rFonts w:ascii="Times" w:hAnsi="Times"/>
        </w:rPr>
      </w:pPr>
      <w:r w:rsidRPr="008F7DB7">
        <w:t xml:space="preserve">A possible explanation for why consumers might form different expectations of shortages in durable versus consumable categories during the COVID-19 pandemic </w:t>
      </w:r>
      <w:r w:rsidRPr="008F7DB7">
        <w:rPr>
          <w:bCs/>
        </w:rPr>
        <w:t xml:space="preserve">could arise from the Availability Heuristic </w:t>
      </w:r>
      <w:r w:rsidRPr="008F7DB7">
        <w:t>(Tversky and Kahneman 1974)</w:t>
      </w:r>
      <w:r w:rsidRPr="008F7DB7">
        <w:rPr>
          <w:bCs/>
        </w:rPr>
        <w:t>.</w:t>
      </w:r>
      <w:r w:rsidRPr="008F7DB7">
        <w:rPr>
          <w:b/>
        </w:rPr>
        <w:t xml:space="preserve"> </w:t>
      </w:r>
      <w:r w:rsidRPr="008F7DB7">
        <w:t xml:space="preserve">For instance, shortages of consumable rather than durable products may have been more available to consumers during the pandemic either because the former were covered more extensively in the media (e.g., toilet paper) or because they were perceived to have clearer logical connections to the pandemic (e.g., hand sanitizer). Likewise, a weekly trip to a grocery store can expose a consumer to empty aisles of toilet paper, soap, or any other everyday consumable items, whereas occasions to witness shortages in durables, such as bicycles, free weights, or tires, may be less frequent. Thus, consumers may have been less likely to expect shortages in durable categories even if those categories did experience pandemic-related supply chain disruptions. </w:t>
      </w:r>
    </w:p>
    <w:p w:rsidR="00843257" w:rsidRPr="008F7DB7" w:rsidRDefault="00843257" w:rsidP="00843257">
      <w:pPr>
        <w:spacing w:line="480" w:lineRule="auto"/>
        <w:ind w:hanging="180"/>
        <w:jc w:val="center"/>
        <w:rPr>
          <w:bCs/>
        </w:rPr>
      </w:pPr>
    </w:p>
    <w:p w:rsidR="00843257" w:rsidRPr="008F7DB7" w:rsidRDefault="00843257" w:rsidP="00843257">
      <w:pPr>
        <w:spacing w:line="480" w:lineRule="auto"/>
        <w:rPr>
          <w:b/>
          <w:i/>
          <w:sz w:val="22"/>
          <w:szCs w:val="22"/>
        </w:rPr>
      </w:pPr>
      <w:r w:rsidRPr="008F7DB7">
        <w:rPr>
          <w:b/>
        </w:rPr>
        <w:t>Table II: Durable versus consumable regression results for study 1</w:t>
      </w:r>
    </w:p>
    <w:tbl>
      <w:tblPr>
        <w:tblStyle w:val="ListTable2-Accent31"/>
        <w:tblW w:w="8124" w:type="dxa"/>
        <w:tblInd w:w="-5" w:type="dxa"/>
        <w:tblBorders>
          <w:top w:val="none" w:sz="0" w:space="0" w:color="auto"/>
          <w:bottom w:val="none" w:sz="0" w:space="0" w:color="auto"/>
          <w:insideH w:val="none" w:sz="0" w:space="0" w:color="auto"/>
        </w:tblBorders>
        <w:tblLayout w:type="fixed"/>
        <w:tblLook w:val="04A0" w:firstRow="1" w:lastRow="0" w:firstColumn="1" w:lastColumn="0" w:noHBand="0" w:noVBand="1"/>
      </w:tblPr>
      <w:tblGrid>
        <w:gridCol w:w="2155"/>
        <w:gridCol w:w="2274"/>
        <w:gridCol w:w="1530"/>
        <w:gridCol w:w="2165"/>
      </w:tblGrid>
      <w:tr w:rsidR="00843257" w:rsidRPr="008F7DB7" w:rsidTr="00265AAB">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155" w:type="dxa"/>
            <w:tcBorders>
              <w:top w:val="single" w:sz="4" w:space="0" w:color="auto"/>
              <w:left w:val="single" w:sz="4" w:space="0" w:color="auto"/>
              <w:bottom w:val="single" w:sz="4" w:space="0" w:color="auto"/>
            </w:tcBorders>
            <w:vAlign w:val="center"/>
          </w:tcPr>
          <w:p w:rsidR="00843257" w:rsidRPr="008F7DB7" w:rsidRDefault="00843257" w:rsidP="00265AAB">
            <w:pPr>
              <w:jc w:val="right"/>
              <w:rPr>
                <w:sz w:val="20"/>
                <w:szCs w:val="20"/>
              </w:rPr>
            </w:pPr>
            <w:r w:rsidRPr="008F7DB7">
              <w:rPr>
                <w:sz w:val="20"/>
                <w:szCs w:val="20"/>
              </w:rPr>
              <w:t>Model Number</w:t>
            </w:r>
          </w:p>
        </w:tc>
        <w:tc>
          <w:tcPr>
            <w:tcW w:w="2274" w:type="dxa"/>
            <w:tcBorders>
              <w:top w:val="single" w:sz="4" w:space="0" w:color="auto"/>
              <w:bottom w:val="single" w:sz="4" w:space="0" w:color="auto"/>
            </w:tcBorders>
            <w:vAlign w:val="center"/>
          </w:tcPr>
          <w:p w:rsidR="00843257" w:rsidRPr="008F7DB7" w:rsidRDefault="00843257" w:rsidP="00265AAB">
            <w:pPr>
              <w:jc w:val="center"/>
              <w:cnfStyle w:val="100000000000" w:firstRow="1" w:lastRow="0" w:firstColumn="0" w:lastColumn="0" w:oddVBand="0" w:evenVBand="0" w:oddHBand="0" w:evenHBand="0" w:firstRowFirstColumn="0" w:firstRowLastColumn="0" w:lastRowFirstColumn="0" w:lastRowLastColumn="0"/>
              <w:rPr>
                <w:sz w:val="20"/>
                <w:szCs w:val="20"/>
              </w:rPr>
            </w:pPr>
            <w:r w:rsidRPr="008F7DB7">
              <w:rPr>
                <w:sz w:val="20"/>
                <w:szCs w:val="20"/>
              </w:rPr>
              <w:t>1</w:t>
            </w:r>
          </w:p>
        </w:tc>
        <w:tc>
          <w:tcPr>
            <w:tcW w:w="1530" w:type="dxa"/>
            <w:tcBorders>
              <w:top w:val="single" w:sz="4" w:space="0" w:color="auto"/>
              <w:bottom w:val="single" w:sz="4" w:space="0" w:color="auto"/>
            </w:tcBorders>
            <w:vAlign w:val="center"/>
          </w:tcPr>
          <w:p w:rsidR="00843257" w:rsidRPr="008F7DB7" w:rsidRDefault="00843257" w:rsidP="00265AAB">
            <w:pPr>
              <w:jc w:val="center"/>
              <w:cnfStyle w:val="100000000000" w:firstRow="1" w:lastRow="0" w:firstColumn="0" w:lastColumn="0" w:oddVBand="0" w:evenVBand="0" w:oddHBand="0" w:evenHBand="0" w:firstRowFirstColumn="0" w:firstRowLastColumn="0" w:lastRowFirstColumn="0" w:lastRowLastColumn="0"/>
              <w:rPr>
                <w:sz w:val="20"/>
                <w:szCs w:val="20"/>
              </w:rPr>
            </w:pPr>
            <w:r w:rsidRPr="008F7DB7">
              <w:rPr>
                <w:sz w:val="20"/>
                <w:szCs w:val="20"/>
              </w:rPr>
              <w:t>2</w:t>
            </w:r>
          </w:p>
        </w:tc>
        <w:tc>
          <w:tcPr>
            <w:tcW w:w="2165" w:type="dxa"/>
            <w:tcBorders>
              <w:top w:val="single" w:sz="4" w:space="0" w:color="auto"/>
              <w:bottom w:val="single" w:sz="4" w:space="0" w:color="auto"/>
              <w:right w:val="single" w:sz="4" w:space="0" w:color="auto"/>
            </w:tcBorders>
            <w:vAlign w:val="center"/>
          </w:tcPr>
          <w:p w:rsidR="00843257" w:rsidRPr="008F7DB7" w:rsidRDefault="00843257" w:rsidP="00265AAB">
            <w:pPr>
              <w:jc w:val="center"/>
              <w:cnfStyle w:val="100000000000" w:firstRow="1" w:lastRow="0" w:firstColumn="0" w:lastColumn="0" w:oddVBand="0" w:evenVBand="0" w:oddHBand="0" w:evenHBand="0" w:firstRowFirstColumn="0" w:firstRowLastColumn="0" w:lastRowFirstColumn="0" w:lastRowLastColumn="0"/>
              <w:rPr>
                <w:sz w:val="20"/>
                <w:szCs w:val="20"/>
              </w:rPr>
            </w:pPr>
            <w:r w:rsidRPr="008F7DB7">
              <w:rPr>
                <w:sz w:val="20"/>
                <w:szCs w:val="20"/>
              </w:rPr>
              <w:t>3</w:t>
            </w:r>
          </w:p>
        </w:tc>
      </w:tr>
      <w:tr w:rsidR="00843257" w:rsidRPr="008F7DB7" w:rsidTr="00265AAB">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2155" w:type="dxa"/>
            <w:tcBorders>
              <w:top w:val="single" w:sz="4" w:space="0" w:color="auto"/>
              <w:left w:val="single" w:sz="4" w:space="0" w:color="auto"/>
              <w:bottom w:val="single" w:sz="4" w:space="0" w:color="auto"/>
            </w:tcBorders>
            <w:vAlign w:val="center"/>
          </w:tcPr>
          <w:p w:rsidR="00843257" w:rsidRPr="008F7DB7" w:rsidRDefault="00843257" w:rsidP="00265AAB">
            <w:pPr>
              <w:jc w:val="right"/>
              <w:rPr>
                <w:sz w:val="20"/>
                <w:szCs w:val="20"/>
              </w:rPr>
            </w:pPr>
            <w:r w:rsidRPr="008F7DB7">
              <w:rPr>
                <w:sz w:val="20"/>
                <w:szCs w:val="20"/>
              </w:rPr>
              <w:t>Model Type:</w:t>
            </w:r>
          </w:p>
        </w:tc>
        <w:tc>
          <w:tcPr>
            <w:tcW w:w="2274" w:type="dxa"/>
            <w:tcBorders>
              <w:top w:val="single" w:sz="4" w:space="0" w:color="auto"/>
              <w:bottom w:val="single" w:sz="4" w:space="0" w:color="auto"/>
            </w:tcBorders>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Binomial logistic</w:t>
            </w:r>
          </w:p>
        </w:tc>
        <w:tc>
          <w:tcPr>
            <w:tcW w:w="1530" w:type="dxa"/>
            <w:tcBorders>
              <w:top w:val="single" w:sz="4" w:space="0" w:color="auto"/>
              <w:bottom w:val="single" w:sz="4" w:space="0" w:color="auto"/>
            </w:tcBorders>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Linear</w:t>
            </w:r>
          </w:p>
        </w:tc>
        <w:tc>
          <w:tcPr>
            <w:tcW w:w="2165" w:type="dxa"/>
            <w:tcBorders>
              <w:top w:val="single" w:sz="4" w:space="0" w:color="auto"/>
              <w:bottom w:val="single" w:sz="4" w:space="0" w:color="auto"/>
              <w:right w:val="single" w:sz="4" w:space="0" w:color="auto"/>
            </w:tcBorders>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Binomial logistic</w:t>
            </w:r>
          </w:p>
        </w:tc>
      </w:tr>
      <w:tr w:rsidR="00843257" w:rsidRPr="008F7DB7" w:rsidTr="00265AAB">
        <w:trPr>
          <w:trHeight w:val="440"/>
        </w:trPr>
        <w:tc>
          <w:tcPr>
            <w:cnfStyle w:val="001000000000" w:firstRow="0" w:lastRow="0" w:firstColumn="1" w:lastColumn="0" w:oddVBand="0" w:evenVBand="0" w:oddHBand="0" w:evenHBand="0" w:firstRowFirstColumn="0" w:firstRowLastColumn="0" w:lastRowFirstColumn="0" w:lastRowLastColumn="0"/>
            <w:tcW w:w="2155" w:type="dxa"/>
            <w:tcBorders>
              <w:top w:val="single" w:sz="4" w:space="0" w:color="auto"/>
              <w:left w:val="single" w:sz="4" w:space="0" w:color="auto"/>
              <w:bottom w:val="single" w:sz="4" w:space="0" w:color="auto"/>
            </w:tcBorders>
            <w:vAlign w:val="center"/>
          </w:tcPr>
          <w:p w:rsidR="00843257" w:rsidRPr="008F7DB7" w:rsidRDefault="00843257" w:rsidP="00265AAB">
            <w:pPr>
              <w:jc w:val="right"/>
              <w:rPr>
                <w:sz w:val="20"/>
                <w:szCs w:val="20"/>
              </w:rPr>
            </w:pPr>
            <w:r w:rsidRPr="008F7DB7">
              <w:rPr>
                <w:sz w:val="20"/>
                <w:szCs w:val="20"/>
              </w:rPr>
              <w:t>DV:</w:t>
            </w:r>
          </w:p>
        </w:tc>
        <w:tc>
          <w:tcPr>
            <w:tcW w:w="2274" w:type="dxa"/>
            <w:tcBorders>
              <w:top w:val="single" w:sz="4" w:space="0" w:color="auto"/>
              <w:bottom w:val="single" w:sz="4" w:space="0" w:color="auto"/>
            </w:tcBorders>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8F7DB7">
              <w:rPr>
                <w:sz w:val="20"/>
                <w:szCs w:val="20"/>
              </w:rPr>
              <w:t>Experienced stockout</w:t>
            </w:r>
          </w:p>
        </w:tc>
        <w:tc>
          <w:tcPr>
            <w:tcW w:w="1530" w:type="dxa"/>
            <w:tcBorders>
              <w:top w:val="single" w:sz="4" w:space="0" w:color="auto"/>
              <w:bottom w:val="single" w:sz="4" w:space="0" w:color="auto"/>
            </w:tcBorders>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Frustration</w:t>
            </w:r>
          </w:p>
        </w:tc>
        <w:tc>
          <w:tcPr>
            <w:tcW w:w="2165" w:type="dxa"/>
            <w:tcBorders>
              <w:top w:val="single" w:sz="4" w:space="0" w:color="auto"/>
              <w:bottom w:val="single" w:sz="4" w:space="0" w:color="auto"/>
              <w:right w:val="single" w:sz="4" w:space="0" w:color="auto"/>
            </w:tcBorders>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 xml:space="preserve">Choice of </w:t>
            </w:r>
            <w:r w:rsidRPr="008F7DB7">
              <w:rPr>
                <w:i/>
                <w:iCs/>
                <w:sz w:val="20"/>
                <w:szCs w:val="20"/>
              </w:rPr>
              <w:t>S+</w:t>
            </w:r>
          </w:p>
        </w:tc>
      </w:tr>
      <w:tr w:rsidR="00843257" w:rsidRPr="008F7DB7" w:rsidTr="00265AA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155" w:type="dxa"/>
            <w:tcBorders>
              <w:top w:val="single" w:sz="4" w:space="0" w:color="auto"/>
              <w:left w:val="single" w:sz="4" w:space="0" w:color="auto"/>
            </w:tcBorders>
            <w:vAlign w:val="center"/>
          </w:tcPr>
          <w:p w:rsidR="00843257" w:rsidRPr="008F7DB7" w:rsidRDefault="00843257" w:rsidP="00265AAB">
            <w:pPr>
              <w:rPr>
                <w:sz w:val="20"/>
                <w:szCs w:val="20"/>
                <w:u w:val="single"/>
              </w:rPr>
            </w:pPr>
            <w:r w:rsidRPr="008F7DB7">
              <w:rPr>
                <w:sz w:val="20"/>
                <w:szCs w:val="20"/>
                <w:u w:val="single"/>
              </w:rPr>
              <w:t>Predictors</w:t>
            </w:r>
          </w:p>
        </w:tc>
        <w:tc>
          <w:tcPr>
            <w:tcW w:w="2274" w:type="dxa"/>
            <w:tcBorders>
              <w:top w:val="single" w:sz="4" w:space="0" w:color="auto"/>
            </w:tcBorders>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530" w:type="dxa"/>
            <w:tcBorders>
              <w:top w:val="single" w:sz="4" w:space="0" w:color="auto"/>
            </w:tcBorders>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2165" w:type="dxa"/>
            <w:tcBorders>
              <w:top w:val="single" w:sz="4" w:space="0" w:color="auto"/>
              <w:right w:val="single" w:sz="4" w:space="0" w:color="auto"/>
            </w:tcBorders>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843257" w:rsidRPr="008F7DB7" w:rsidTr="00265AAB">
        <w:trPr>
          <w:trHeight w:val="576"/>
        </w:trPr>
        <w:tc>
          <w:tcPr>
            <w:cnfStyle w:val="001000000000" w:firstRow="0" w:lastRow="0" w:firstColumn="1" w:lastColumn="0" w:oddVBand="0" w:evenVBand="0" w:oddHBand="0" w:evenHBand="0" w:firstRowFirstColumn="0" w:firstRowLastColumn="0" w:lastRowFirstColumn="0" w:lastRowLastColumn="0"/>
            <w:tcW w:w="2155" w:type="dxa"/>
            <w:tcBorders>
              <w:left w:val="single" w:sz="4" w:space="0" w:color="auto"/>
            </w:tcBorders>
            <w:vAlign w:val="center"/>
          </w:tcPr>
          <w:p w:rsidR="00843257" w:rsidRPr="008F7DB7" w:rsidRDefault="00843257" w:rsidP="00265AAB">
            <w:pPr>
              <w:rPr>
                <w:b w:val="0"/>
                <w:bCs w:val="0"/>
                <w:sz w:val="20"/>
                <w:szCs w:val="20"/>
              </w:rPr>
            </w:pPr>
            <w:r w:rsidRPr="008F7DB7">
              <w:rPr>
                <w:b w:val="0"/>
                <w:bCs w:val="0"/>
                <w:sz w:val="20"/>
                <w:szCs w:val="20"/>
              </w:rPr>
              <w:t>Durability</w:t>
            </w:r>
          </w:p>
        </w:tc>
        <w:tc>
          <w:tcPr>
            <w:tcW w:w="2274" w:type="dxa"/>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-2.26***</w:t>
            </w:r>
          </w:p>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(0.23)</w:t>
            </w:r>
          </w:p>
        </w:tc>
        <w:tc>
          <w:tcPr>
            <w:tcW w:w="1530" w:type="dxa"/>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0.31**</w:t>
            </w:r>
          </w:p>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(0.12)</w:t>
            </w:r>
          </w:p>
        </w:tc>
        <w:tc>
          <w:tcPr>
            <w:tcW w:w="2165" w:type="dxa"/>
            <w:tcBorders>
              <w:right w:val="single" w:sz="4" w:space="0" w:color="auto"/>
            </w:tcBorders>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1.11***</w:t>
            </w:r>
          </w:p>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(0.21)</w:t>
            </w:r>
          </w:p>
        </w:tc>
      </w:tr>
      <w:tr w:rsidR="00843257" w:rsidRPr="008F7DB7" w:rsidTr="00265AAB">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2155" w:type="dxa"/>
            <w:tcBorders>
              <w:left w:val="single" w:sz="4" w:space="0" w:color="auto"/>
            </w:tcBorders>
            <w:vAlign w:val="center"/>
          </w:tcPr>
          <w:p w:rsidR="00843257" w:rsidRPr="008F7DB7" w:rsidRDefault="00843257" w:rsidP="00265AAB">
            <w:pPr>
              <w:rPr>
                <w:b w:val="0"/>
                <w:bCs w:val="0"/>
                <w:sz w:val="20"/>
                <w:szCs w:val="20"/>
              </w:rPr>
            </w:pPr>
            <w:r w:rsidRPr="008F7DB7">
              <w:rPr>
                <w:b w:val="0"/>
                <w:bCs w:val="0"/>
                <w:sz w:val="20"/>
                <w:szCs w:val="20"/>
              </w:rPr>
              <w:t>Experienced stockout</w:t>
            </w:r>
          </w:p>
        </w:tc>
        <w:tc>
          <w:tcPr>
            <w:tcW w:w="2274" w:type="dxa"/>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530" w:type="dxa"/>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-1.11***</w:t>
            </w:r>
          </w:p>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(0.12)</w:t>
            </w:r>
          </w:p>
        </w:tc>
        <w:tc>
          <w:tcPr>
            <w:tcW w:w="2165" w:type="dxa"/>
            <w:tcBorders>
              <w:right w:val="single" w:sz="4" w:space="0" w:color="auto"/>
            </w:tcBorders>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vertAlign w:val="superscript"/>
              </w:rPr>
            </w:pPr>
            <w:r w:rsidRPr="008F7DB7">
              <w:rPr>
                <w:sz w:val="20"/>
                <w:szCs w:val="20"/>
              </w:rPr>
              <w:t>-0.49*</w:t>
            </w:r>
          </w:p>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(0.24)</w:t>
            </w:r>
          </w:p>
        </w:tc>
      </w:tr>
      <w:tr w:rsidR="00843257" w:rsidRPr="008F7DB7" w:rsidTr="00265AAB">
        <w:trPr>
          <w:trHeight w:val="576"/>
        </w:trPr>
        <w:tc>
          <w:tcPr>
            <w:cnfStyle w:val="001000000000" w:firstRow="0" w:lastRow="0" w:firstColumn="1" w:lastColumn="0" w:oddVBand="0" w:evenVBand="0" w:oddHBand="0" w:evenHBand="0" w:firstRowFirstColumn="0" w:firstRowLastColumn="0" w:lastRowFirstColumn="0" w:lastRowLastColumn="0"/>
            <w:tcW w:w="2155" w:type="dxa"/>
            <w:tcBorders>
              <w:left w:val="single" w:sz="4" w:space="0" w:color="auto"/>
            </w:tcBorders>
            <w:vAlign w:val="center"/>
          </w:tcPr>
          <w:p w:rsidR="00843257" w:rsidRPr="008F7DB7" w:rsidRDefault="00843257" w:rsidP="00265AAB">
            <w:pPr>
              <w:rPr>
                <w:b w:val="0"/>
                <w:bCs w:val="0"/>
                <w:sz w:val="20"/>
                <w:szCs w:val="20"/>
              </w:rPr>
            </w:pPr>
            <w:r w:rsidRPr="008F7DB7">
              <w:rPr>
                <w:b w:val="0"/>
                <w:bCs w:val="0"/>
                <w:sz w:val="20"/>
                <w:szCs w:val="20"/>
              </w:rPr>
              <w:t>Brand preference</w:t>
            </w:r>
          </w:p>
        </w:tc>
        <w:tc>
          <w:tcPr>
            <w:tcW w:w="2274" w:type="dxa"/>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-0.96***</w:t>
            </w:r>
          </w:p>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(0.16)</w:t>
            </w:r>
          </w:p>
        </w:tc>
        <w:tc>
          <w:tcPr>
            <w:tcW w:w="1530" w:type="dxa"/>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0.73***</w:t>
            </w:r>
          </w:p>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(0.11)</w:t>
            </w:r>
          </w:p>
        </w:tc>
        <w:tc>
          <w:tcPr>
            <w:tcW w:w="2165" w:type="dxa"/>
            <w:tcBorders>
              <w:right w:val="single" w:sz="4" w:space="0" w:color="auto"/>
            </w:tcBorders>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1.11***</w:t>
            </w:r>
          </w:p>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(0.20)</w:t>
            </w:r>
          </w:p>
        </w:tc>
      </w:tr>
      <w:tr w:rsidR="00843257" w:rsidRPr="008F7DB7" w:rsidTr="00265AAB">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2155" w:type="dxa"/>
            <w:tcBorders>
              <w:left w:val="single" w:sz="4" w:space="0" w:color="auto"/>
            </w:tcBorders>
            <w:vAlign w:val="center"/>
          </w:tcPr>
          <w:p w:rsidR="00843257" w:rsidRPr="008F7DB7" w:rsidRDefault="00843257" w:rsidP="00265AAB">
            <w:pPr>
              <w:rPr>
                <w:b w:val="0"/>
                <w:bCs w:val="0"/>
                <w:sz w:val="20"/>
                <w:szCs w:val="20"/>
              </w:rPr>
            </w:pPr>
            <w:r w:rsidRPr="008F7DB7">
              <w:rPr>
                <w:b w:val="0"/>
                <w:bCs w:val="0"/>
                <w:sz w:val="20"/>
                <w:szCs w:val="20"/>
              </w:rPr>
              <w:t>Frustration</w:t>
            </w:r>
          </w:p>
        </w:tc>
        <w:tc>
          <w:tcPr>
            <w:tcW w:w="2274" w:type="dxa"/>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530" w:type="dxa"/>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2165" w:type="dxa"/>
            <w:tcBorders>
              <w:right w:val="single" w:sz="4" w:space="0" w:color="auto"/>
            </w:tcBorders>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0.24***</w:t>
            </w:r>
          </w:p>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(0.06)</w:t>
            </w:r>
          </w:p>
        </w:tc>
      </w:tr>
      <w:tr w:rsidR="00843257" w:rsidRPr="008F7DB7" w:rsidTr="00265AAB">
        <w:trPr>
          <w:trHeight w:val="576"/>
        </w:trPr>
        <w:tc>
          <w:tcPr>
            <w:cnfStyle w:val="001000000000" w:firstRow="0" w:lastRow="0" w:firstColumn="1" w:lastColumn="0" w:oddVBand="0" w:evenVBand="0" w:oddHBand="0" w:evenHBand="0" w:firstRowFirstColumn="0" w:firstRowLastColumn="0" w:lastRowFirstColumn="0" w:lastRowLastColumn="0"/>
            <w:tcW w:w="2155" w:type="dxa"/>
            <w:tcBorders>
              <w:left w:val="single" w:sz="4" w:space="0" w:color="auto"/>
            </w:tcBorders>
            <w:vAlign w:val="center"/>
          </w:tcPr>
          <w:p w:rsidR="00843257" w:rsidRPr="008F7DB7" w:rsidRDefault="00843257" w:rsidP="00265AAB">
            <w:pPr>
              <w:rPr>
                <w:b w:val="0"/>
                <w:bCs w:val="0"/>
                <w:sz w:val="20"/>
                <w:szCs w:val="20"/>
              </w:rPr>
            </w:pPr>
            <w:r w:rsidRPr="008F7DB7">
              <w:rPr>
                <w:b w:val="0"/>
                <w:bCs w:val="0"/>
                <w:sz w:val="20"/>
                <w:szCs w:val="20"/>
              </w:rPr>
              <w:t>Age</w:t>
            </w:r>
          </w:p>
        </w:tc>
        <w:tc>
          <w:tcPr>
            <w:tcW w:w="2274" w:type="dxa"/>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-0.01</w:t>
            </w:r>
          </w:p>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(0.01)</w:t>
            </w:r>
          </w:p>
        </w:tc>
        <w:tc>
          <w:tcPr>
            <w:tcW w:w="1530" w:type="dxa"/>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0.00</w:t>
            </w:r>
          </w:p>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(0.01)</w:t>
            </w:r>
          </w:p>
        </w:tc>
        <w:tc>
          <w:tcPr>
            <w:tcW w:w="2165" w:type="dxa"/>
            <w:tcBorders>
              <w:right w:val="single" w:sz="4" w:space="0" w:color="auto"/>
            </w:tcBorders>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-0.02</w:t>
            </w:r>
          </w:p>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(0.01)</w:t>
            </w:r>
          </w:p>
        </w:tc>
      </w:tr>
      <w:tr w:rsidR="00843257" w:rsidRPr="008F7DB7" w:rsidTr="00265AAB">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2155" w:type="dxa"/>
            <w:tcBorders>
              <w:left w:val="single" w:sz="4" w:space="0" w:color="auto"/>
            </w:tcBorders>
            <w:vAlign w:val="center"/>
          </w:tcPr>
          <w:p w:rsidR="00843257" w:rsidRPr="008F7DB7" w:rsidRDefault="00843257" w:rsidP="00265AAB">
            <w:pPr>
              <w:rPr>
                <w:b w:val="0"/>
                <w:bCs w:val="0"/>
                <w:sz w:val="20"/>
                <w:szCs w:val="20"/>
              </w:rPr>
            </w:pPr>
            <w:r w:rsidRPr="008F7DB7">
              <w:rPr>
                <w:b w:val="0"/>
                <w:bCs w:val="0"/>
                <w:sz w:val="20"/>
                <w:szCs w:val="20"/>
              </w:rPr>
              <w:t>Gender (female)</w:t>
            </w:r>
          </w:p>
        </w:tc>
        <w:tc>
          <w:tcPr>
            <w:tcW w:w="2274" w:type="dxa"/>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0.05</w:t>
            </w:r>
          </w:p>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(0.17)</w:t>
            </w:r>
          </w:p>
        </w:tc>
        <w:tc>
          <w:tcPr>
            <w:tcW w:w="1530" w:type="dxa"/>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0.36*</w:t>
            </w:r>
          </w:p>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(0.16)</w:t>
            </w:r>
          </w:p>
        </w:tc>
        <w:tc>
          <w:tcPr>
            <w:tcW w:w="2165" w:type="dxa"/>
            <w:tcBorders>
              <w:right w:val="single" w:sz="4" w:space="0" w:color="auto"/>
            </w:tcBorders>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-0.62**</w:t>
            </w:r>
          </w:p>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(0.22)</w:t>
            </w:r>
          </w:p>
        </w:tc>
      </w:tr>
      <w:tr w:rsidR="00843257" w:rsidRPr="008F7DB7" w:rsidTr="00265AAB">
        <w:trPr>
          <w:trHeight w:val="576"/>
        </w:trPr>
        <w:tc>
          <w:tcPr>
            <w:cnfStyle w:val="001000000000" w:firstRow="0" w:lastRow="0" w:firstColumn="1" w:lastColumn="0" w:oddVBand="0" w:evenVBand="0" w:oddHBand="0" w:evenHBand="0" w:firstRowFirstColumn="0" w:firstRowLastColumn="0" w:lastRowFirstColumn="0" w:lastRowLastColumn="0"/>
            <w:tcW w:w="2155" w:type="dxa"/>
            <w:tcBorders>
              <w:left w:val="single" w:sz="4" w:space="0" w:color="auto"/>
            </w:tcBorders>
            <w:vAlign w:val="center"/>
          </w:tcPr>
          <w:p w:rsidR="00843257" w:rsidRPr="008F7DB7" w:rsidRDefault="00843257" w:rsidP="00265AAB">
            <w:pPr>
              <w:rPr>
                <w:b w:val="0"/>
                <w:bCs w:val="0"/>
                <w:sz w:val="20"/>
                <w:szCs w:val="20"/>
              </w:rPr>
            </w:pPr>
            <w:r w:rsidRPr="008F7DB7">
              <w:rPr>
                <w:b w:val="0"/>
                <w:bCs w:val="0"/>
                <w:sz w:val="20"/>
                <w:szCs w:val="20"/>
              </w:rPr>
              <w:t>Employed</w:t>
            </w:r>
          </w:p>
        </w:tc>
        <w:tc>
          <w:tcPr>
            <w:tcW w:w="2274" w:type="dxa"/>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0.13</w:t>
            </w:r>
          </w:p>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(0.08)</w:t>
            </w:r>
          </w:p>
        </w:tc>
        <w:tc>
          <w:tcPr>
            <w:tcW w:w="1530" w:type="dxa"/>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-0.11</w:t>
            </w:r>
          </w:p>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(0.08)</w:t>
            </w:r>
          </w:p>
        </w:tc>
        <w:tc>
          <w:tcPr>
            <w:tcW w:w="2165" w:type="dxa"/>
            <w:tcBorders>
              <w:right w:val="single" w:sz="4" w:space="0" w:color="auto"/>
            </w:tcBorders>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-0.13</w:t>
            </w:r>
          </w:p>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(0.10)</w:t>
            </w:r>
          </w:p>
        </w:tc>
      </w:tr>
      <w:tr w:rsidR="00843257" w:rsidRPr="008F7DB7" w:rsidTr="00265AAB">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2155" w:type="dxa"/>
            <w:tcBorders>
              <w:left w:val="single" w:sz="4" w:space="0" w:color="auto"/>
            </w:tcBorders>
            <w:vAlign w:val="center"/>
          </w:tcPr>
          <w:p w:rsidR="00843257" w:rsidRPr="008F7DB7" w:rsidRDefault="00843257" w:rsidP="00265AAB">
            <w:pPr>
              <w:rPr>
                <w:b w:val="0"/>
                <w:bCs w:val="0"/>
                <w:sz w:val="20"/>
                <w:szCs w:val="20"/>
              </w:rPr>
            </w:pPr>
            <w:r w:rsidRPr="008F7DB7">
              <w:rPr>
                <w:b w:val="0"/>
                <w:bCs w:val="0"/>
                <w:sz w:val="20"/>
                <w:szCs w:val="20"/>
              </w:rPr>
              <w:t>English</w:t>
            </w:r>
          </w:p>
        </w:tc>
        <w:tc>
          <w:tcPr>
            <w:tcW w:w="2274" w:type="dxa"/>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-0.27</w:t>
            </w:r>
          </w:p>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(0.56)</w:t>
            </w:r>
          </w:p>
        </w:tc>
        <w:tc>
          <w:tcPr>
            <w:tcW w:w="1530" w:type="dxa"/>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vertAlign w:val="superscript"/>
              </w:rPr>
            </w:pPr>
            <w:r w:rsidRPr="008F7DB7">
              <w:rPr>
                <w:sz w:val="20"/>
                <w:szCs w:val="20"/>
              </w:rPr>
              <w:t>-0.90</w:t>
            </w:r>
            <w:r w:rsidRPr="008F7DB7">
              <w:rPr>
                <w:sz w:val="20"/>
                <w:szCs w:val="20"/>
                <w:vertAlign w:val="superscript"/>
              </w:rPr>
              <w:t>●</w:t>
            </w:r>
          </w:p>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(0.50)</w:t>
            </w:r>
          </w:p>
        </w:tc>
        <w:tc>
          <w:tcPr>
            <w:tcW w:w="2165" w:type="dxa"/>
            <w:tcBorders>
              <w:right w:val="single" w:sz="4" w:space="0" w:color="auto"/>
            </w:tcBorders>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-0.81</w:t>
            </w:r>
          </w:p>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(0.59)</w:t>
            </w:r>
          </w:p>
        </w:tc>
      </w:tr>
      <w:tr w:rsidR="00843257" w:rsidRPr="008F7DB7" w:rsidTr="00265AAB">
        <w:trPr>
          <w:trHeight w:val="576"/>
        </w:trPr>
        <w:tc>
          <w:tcPr>
            <w:cnfStyle w:val="001000000000" w:firstRow="0" w:lastRow="0" w:firstColumn="1" w:lastColumn="0" w:oddVBand="0" w:evenVBand="0" w:oddHBand="0" w:evenHBand="0" w:firstRowFirstColumn="0" w:firstRowLastColumn="0" w:lastRowFirstColumn="0" w:lastRowLastColumn="0"/>
            <w:tcW w:w="2155" w:type="dxa"/>
            <w:tcBorders>
              <w:left w:val="single" w:sz="4" w:space="0" w:color="auto"/>
            </w:tcBorders>
            <w:vAlign w:val="center"/>
          </w:tcPr>
          <w:p w:rsidR="00843257" w:rsidRPr="008F7DB7" w:rsidRDefault="00843257" w:rsidP="00265AAB">
            <w:pPr>
              <w:rPr>
                <w:b w:val="0"/>
                <w:bCs w:val="0"/>
                <w:sz w:val="20"/>
                <w:szCs w:val="20"/>
              </w:rPr>
            </w:pPr>
            <w:r w:rsidRPr="008F7DB7">
              <w:rPr>
                <w:b w:val="0"/>
                <w:bCs w:val="0"/>
                <w:sz w:val="20"/>
                <w:szCs w:val="20"/>
              </w:rPr>
              <w:t>Income</w:t>
            </w:r>
          </w:p>
        </w:tc>
        <w:tc>
          <w:tcPr>
            <w:tcW w:w="2274" w:type="dxa"/>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0.00</w:t>
            </w:r>
          </w:p>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(0.00)</w:t>
            </w:r>
          </w:p>
        </w:tc>
        <w:tc>
          <w:tcPr>
            <w:tcW w:w="1530" w:type="dxa"/>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0.00</w:t>
            </w:r>
          </w:p>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(0.00)</w:t>
            </w:r>
          </w:p>
        </w:tc>
        <w:tc>
          <w:tcPr>
            <w:tcW w:w="2165" w:type="dxa"/>
            <w:tcBorders>
              <w:right w:val="single" w:sz="4" w:space="0" w:color="auto"/>
            </w:tcBorders>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-0.00</w:t>
            </w:r>
          </w:p>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(0.00)</w:t>
            </w:r>
          </w:p>
        </w:tc>
      </w:tr>
      <w:tr w:rsidR="00843257" w:rsidRPr="008F7DB7" w:rsidTr="00265AAB">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2155" w:type="dxa"/>
            <w:tcBorders>
              <w:left w:val="single" w:sz="4" w:space="0" w:color="auto"/>
            </w:tcBorders>
            <w:vAlign w:val="center"/>
          </w:tcPr>
          <w:p w:rsidR="00843257" w:rsidRPr="008F7DB7" w:rsidRDefault="00843257" w:rsidP="00265AAB">
            <w:pPr>
              <w:rPr>
                <w:b w:val="0"/>
                <w:bCs w:val="0"/>
                <w:sz w:val="20"/>
                <w:szCs w:val="20"/>
              </w:rPr>
            </w:pPr>
            <w:r w:rsidRPr="008F7DB7">
              <w:rPr>
                <w:b w:val="0"/>
                <w:bCs w:val="0"/>
                <w:sz w:val="20"/>
                <w:szCs w:val="20"/>
              </w:rPr>
              <w:t>Urban</w:t>
            </w:r>
          </w:p>
        </w:tc>
        <w:tc>
          <w:tcPr>
            <w:tcW w:w="2274" w:type="dxa"/>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0.33**</w:t>
            </w:r>
          </w:p>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(0.13)</w:t>
            </w:r>
          </w:p>
        </w:tc>
        <w:tc>
          <w:tcPr>
            <w:tcW w:w="1530" w:type="dxa"/>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0.00</w:t>
            </w:r>
          </w:p>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(0.12)</w:t>
            </w:r>
          </w:p>
        </w:tc>
        <w:tc>
          <w:tcPr>
            <w:tcW w:w="2165" w:type="dxa"/>
            <w:tcBorders>
              <w:right w:val="single" w:sz="4" w:space="0" w:color="auto"/>
            </w:tcBorders>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-0.16</w:t>
            </w:r>
          </w:p>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(0.16)</w:t>
            </w:r>
          </w:p>
        </w:tc>
      </w:tr>
      <w:tr w:rsidR="00843257" w:rsidRPr="008F7DB7" w:rsidTr="00265AAB">
        <w:trPr>
          <w:trHeight w:val="576"/>
        </w:trPr>
        <w:tc>
          <w:tcPr>
            <w:cnfStyle w:val="001000000000" w:firstRow="0" w:lastRow="0" w:firstColumn="1" w:lastColumn="0" w:oddVBand="0" w:evenVBand="0" w:oddHBand="0" w:evenHBand="0" w:firstRowFirstColumn="0" w:firstRowLastColumn="0" w:lastRowFirstColumn="0" w:lastRowLastColumn="0"/>
            <w:tcW w:w="2155" w:type="dxa"/>
            <w:tcBorders>
              <w:left w:val="single" w:sz="4" w:space="0" w:color="auto"/>
              <w:bottom w:val="single" w:sz="4" w:space="0" w:color="auto"/>
            </w:tcBorders>
            <w:vAlign w:val="center"/>
          </w:tcPr>
          <w:p w:rsidR="00843257" w:rsidRPr="008F7DB7" w:rsidRDefault="00843257" w:rsidP="00265AAB">
            <w:pPr>
              <w:rPr>
                <w:b w:val="0"/>
                <w:bCs w:val="0"/>
                <w:sz w:val="20"/>
                <w:szCs w:val="20"/>
              </w:rPr>
            </w:pPr>
            <w:r w:rsidRPr="008F7DB7">
              <w:rPr>
                <w:b w:val="0"/>
                <w:bCs w:val="0"/>
                <w:sz w:val="20"/>
                <w:szCs w:val="20"/>
              </w:rPr>
              <w:t>Intercept</w:t>
            </w:r>
          </w:p>
        </w:tc>
        <w:tc>
          <w:tcPr>
            <w:tcW w:w="2274" w:type="dxa"/>
            <w:tcBorders>
              <w:bottom w:val="single" w:sz="4" w:space="0" w:color="auto"/>
            </w:tcBorders>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-1.22</w:t>
            </w:r>
            <w:r w:rsidRPr="008F7DB7">
              <w:rPr>
                <w:sz w:val="22"/>
                <w:szCs w:val="22"/>
                <w:vertAlign w:val="superscript"/>
              </w:rPr>
              <w:t>●</w:t>
            </w:r>
          </w:p>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(0.67)</w:t>
            </w:r>
          </w:p>
        </w:tc>
        <w:tc>
          <w:tcPr>
            <w:tcW w:w="1530" w:type="dxa"/>
            <w:tcBorders>
              <w:bottom w:val="single" w:sz="4" w:space="0" w:color="auto"/>
            </w:tcBorders>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4.26***</w:t>
            </w:r>
          </w:p>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(0.62)</w:t>
            </w:r>
          </w:p>
        </w:tc>
        <w:tc>
          <w:tcPr>
            <w:tcW w:w="2165" w:type="dxa"/>
            <w:tcBorders>
              <w:bottom w:val="single" w:sz="4" w:space="0" w:color="auto"/>
              <w:right w:val="single" w:sz="4" w:space="0" w:color="auto"/>
            </w:tcBorders>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-1.27</w:t>
            </w:r>
          </w:p>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(0.81)</w:t>
            </w:r>
          </w:p>
        </w:tc>
      </w:tr>
      <w:tr w:rsidR="00843257" w:rsidRPr="008F7DB7" w:rsidTr="00265AA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155" w:type="dxa"/>
            <w:tcBorders>
              <w:top w:val="single" w:sz="4" w:space="0" w:color="auto"/>
              <w:left w:val="single" w:sz="4" w:space="0" w:color="auto"/>
              <w:bottom w:val="single" w:sz="4" w:space="0" w:color="auto"/>
            </w:tcBorders>
            <w:vAlign w:val="center"/>
          </w:tcPr>
          <w:p w:rsidR="00843257" w:rsidRPr="008F7DB7" w:rsidRDefault="00843257" w:rsidP="00265AAB">
            <w:pPr>
              <w:jc w:val="right"/>
              <w:rPr>
                <w:sz w:val="20"/>
                <w:szCs w:val="20"/>
              </w:rPr>
            </w:pPr>
            <w:r w:rsidRPr="008F7DB7">
              <w:rPr>
                <w:sz w:val="20"/>
                <w:szCs w:val="20"/>
              </w:rPr>
              <w:t>AIC:</w:t>
            </w:r>
          </w:p>
        </w:tc>
        <w:tc>
          <w:tcPr>
            <w:tcW w:w="2274" w:type="dxa"/>
            <w:tcBorders>
              <w:top w:val="single" w:sz="4" w:space="0" w:color="auto"/>
              <w:bottom w:val="single" w:sz="4" w:space="0" w:color="auto"/>
            </w:tcBorders>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925.49</w:t>
            </w:r>
          </w:p>
        </w:tc>
        <w:tc>
          <w:tcPr>
            <w:tcW w:w="1530" w:type="dxa"/>
            <w:tcBorders>
              <w:top w:val="single" w:sz="4" w:space="0" w:color="auto"/>
              <w:bottom w:val="single" w:sz="4" w:space="0" w:color="auto"/>
            </w:tcBorders>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3549.73</w:t>
            </w:r>
          </w:p>
        </w:tc>
        <w:tc>
          <w:tcPr>
            <w:tcW w:w="2165" w:type="dxa"/>
            <w:tcBorders>
              <w:top w:val="single" w:sz="4" w:space="0" w:color="auto"/>
              <w:bottom w:val="single" w:sz="4" w:space="0" w:color="auto"/>
              <w:right w:val="single" w:sz="4" w:space="0" w:color="auto"/>
            </w:tcBorders>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833.09</w:t>
            </w:r>
          </w:p>
        </w:tc>
      </w:tr>
    </w:tbl>
    <w:p w:rsidR="00843257" w:rsidRPr="008F7DB7" w:rsidRDefault="00843257" w:rsidP="00843257"/>
    <w:p w:rsidR="00843257" w:rsidRPr="008F7DB7" w:rsidRDefault="00843257" w:rsidP="00843257">
      <w:pPr>
        <w:spacing w:line="480" w:lineRule="auto"/>
      </w:pPr>
      <w:r w:rsidRPr="008F7DB7">
        <w:t xml:space="preserve">N = 909 observations. Standard errors in parentheses. Degrees of freedom for mixed-models calculated using the Satterthwaite Approximation. Significance levels: </w:t>
      </w:r>
      <w:r w:rsidRPr="008F7DB7">
        <w:rPr>
          <w:i/>
          <w:iCs/>
        </w:rPr>
        <w:t>p</w:t>
      </w:r>
      <w:r w:rsidRPr="008F7DB7">
        <w:t xml:space="preserve"> &lt; .001***, </w:t>
      </w:r>
      <w:r w:rsidRPr="008F7DB7">
        <w:rPr>
          <w:i/>
          <w:iCs/>
        </w:rPr>
        <w:t>p</w:t>
      </w:r>
      <w:r w:rsidRPr="008F7DB7">
        <w:t xml:space="preserve"> &lt; .010**, </w:t>
      </w:r>
      <w:r w:rsidRPr="008F7DB7">
        <w:rPr>
          <w:i/>
          <w:iCs/>
        </w:rPr>
        <w:t>p</w:t>
      </w:r>
      <w:r w:rsidRPr="008F7DB7">
        <w:t xml:space="preserve"> &lt; .050*, </w:t>
      </w:r>
      <w:r w:rsidRPr="008F7DB7">
        <w:rPr>
          <w:i/>
          <w:iCs/>
        </w:rPr>
        <w:t>p</w:t>
      </w:r>
      <w:r w:rsidRPr="008F7DB7">
        <w:t xml:space="preserve"> &lt; .100</w:t>
      </w:r>
      <w:r w:rsidRPr="008F7DB7">
        <w:rPr>
          <w:vertAlign w:val="superscript"/>
        </w:rPr>
        <w:t>●</w:t>
      </w:r>
    </w:p>
    <w:p w:rsidR="00843257" w:rsidRPr="008F7DB7" w:rsidRDefault="00843257" w:rsidP="00843257">
      <w:pPr>
        <w:spacing w:line="480" w:lineRule="auto"/>
        <w:rPr>
          <w:b/>
        </w:rPr>
      </w:pPr>
    </w:p>
    <w:p w:rsidR="00843257" w:rsidRPr="008F7DB7" w:rsidRDefault="00843257" w:rsidP="00843257">
      <w:pPr>
        <w:spacing w:line="480" w:lineRule="auto"/>
        <w:rPr>
          <w:b/>
        </w:rPr>
      </w:pPr>
      <w:r w:rsidRPr="008F7DB7">
        <w:rPr>
          <w:b/>
        </w:rPr>
        <w:t xml:space="preserve">Supplemental results for study 2 </w:t>
      </w:r>
    </w:p>
    <w:p w:rsidR="00843257" w:rsidRPr="008F7DB7" w:rsidRDefault="00843257" w:rsidP="00843257">
      <w:pPr>
        <w:spacing w:line="480" w:lineRule="auto"/>
        <w:ind w:firstLine="720"/>
      </w:pPr>
      <w:r w:rsidRPr="008F7DB7">
        <w:rPr>
          <w:rFonts w:ascii="Times" w:hAnsi="Times"/>
        </w:rPr>
        <w:t xml:space="preserve">As in study 1, we observed a difference in upgrade behaviors for durable (running shoes, bicycles, televisions, water filter pitchers, coffee makers, and headphones) versus consumable products (remainder of the items). Durability predicted a greater likelihood of upgrading such that 30.53% (SE = 1.45%) of participants </w:t>
      </w:r>
      <w:r w:rsidRPr="008F7DB7">
        <w:t xml:space="preserve">tended to prefer </w:t>
      </w:r>
      <w:r w:rsidRPr="008F7DB7">
        <w:rPr>
          <w:i/>
        </w:rPr>
        <w:t>S+</w:t>
      </w:r>
      <w:r w:rsidRPr="008F7DB7">
        <w:t xml:space="preserve"> in durable categories versus 18.51% (SE = 1.22%) in consumables categories (</w:t>
      </w:r>
      <w:r w:rsidRPr="008F7DB7">
        <w:rPr>
          <w:i/>
        </w:rPr>
        <w:t>b</w:t>
      </w:r>
      <w:r w:rsidRPr="008F7DB7">
        <w:t xml:space="preserve"> = 0.82,</w:t>
      </w:r>
      <w:r w:rsidRPr="008F7DB7">
        <w:rPr>
          <w:i/>
        </w:rPr>
        <w:t xml:space="preserve"> z</w:t>
      </w:r>
      <w:r w:rsidRPr="008F7DB7">
        <w:t xml:space="preserve">(1992) = 5.69, </w:t>
      </w:r>
      <w:r w:rsidRPr="008F7DB7">
        <w:rPr>
          <w:i/>
        </w:rPr>
        <w:t>p</w:t>
      </w:r>
      <w:r w:rsidRPr="008F7DB7">
        <w:t xml:space="preserve"> &lt; .0001, odds ratio = 2.27; Table III). Consistent with what we would predict, stockouts of durables engendered greater frustration (</w:t>
      </w:r>
      <w:r w:rsidRPr="008F7DB7">
        <w:rPr>
          <w:i/>
          <w:iCs/>
        </w:rPr>
        <w:t>b</w:t>
      </w:r>
      <w:r w:rsidRPr="008F7DB7">
        <w:t xml:space="preserve"> = 0.60, </w:t>
      </w:r>
      <w:r w:rsidRPr="008F7DB7">
        <w:rPr>
          <w:i/>
          <w:iCs/>
        </w:rPr>
        <w:t>t</w:t>
      </w:r>
      <w:r w:rsidRPr="008F7DB7">
        <w:t xml:space="preserve">(1597) = 6.55, </w:t>
      </w:r>
      <w:r w:rsidRPr="008F7DB7">
        <w:rPr>
          <w:i/>
          <w:iCs/>
        </w:rPr>
        <w:t>p</w:t>
      </w:r>
      <w:r w:rsidRPr="008F7DB7">
        <w:t xml:space="preserve"> &lt; .0001, </w:t>
      </w:r>
      <w:r w:rsidRPr="008F7DB7">
        <w:rPr>
          <w:i/>
          <w:iCs/>
        </w:rPr>
        <w:t>d</w:t>
      </w:r>
      <w:r w:rsidRPr="008F7DB7">
        <w:t xml:space="preserve"> = .11; Table III) and this frustration in turn mediated the effect of durability on the upgrade decision </w:t>
      </w:r>
      <w:r w:rsidRPr="008F7DB7">
        <w:rPr>
          <w:rFonts w:ascii="Times" w:hAnsi="Times"/>
        </w:rPr>
        <w:t xml:space="preserve">(bootstrapped with 5000 iterations; bias corrected 95% CI [1.79, 3.17]). Furthermore, </w:t>
      </w:r>
      <w:r w:rsidRPr="008F7DB7">
        <w:t>durable products were associated with lower perceptions of demand relating to COVID-19 (</w:t>
      </w:r>
      <w:r w:rsidRPr="008F7DB7">
        <w:rPr>
          <w:i/>
        </w:rPr>
        <w:t>b</w:t>
      </w:r>
      <w:r w:rsidRPr="008F7DB7">
        <w:t xml:space="preserve"> = -1.02, </w:t>
      </w:r>
      <w:r w:rsidRPr="008F7DB7">
        <w:rPr>
          <w:i/>
        </w:rPr>
        <w:t>t</w:t>
      </w:r>
      <w:r w:rsidRPr="008F7DB7">
        <w:t xml:space="preserve">(1994) = -47.99, </w:t>
      </w:r>
      <w:r w:rsidRPr="008F7DB7">
        <w:rPr>
          <w:i/>
        </w:rPr>
        <w:t>p</w:t>
      </w:r>
      <w:r w:rsidRPr="008F7DB7">
        <w:t xml:space="preserve"> &lt; .0001; </w:t>
      </w:r>
      <w:r w:rsidRPr="008F7DB7">
        <w:rPr>
          <w:i/>
        </w:rPr>
        <w:t>d</w:t>
      </w:r>
      <w:r w:rsidRPr="008F7DB7">
        <w:t xml:space="preserve"> = 2.12; </w:t>
      </w:r>
      <w:r w:rsidRPr="008F7DB7">
        <w:rPr>
          <w:i/>
        </w:rPr>
        <w:t xml:space="preserve">r </w:t>
      </w:r>
      <w:r w:rsidRPr="008F7DB7">
        <w:t xml:space="preserve">= -0.73; Table III). </w:t>
      </w:r>
    </w:p>
    <w:p w:rsidR="00843257" w:rsidRPr="008F7DB7" w:rsidRDefault="00843257" w:rsidP="00843257">
      <w:pPr>
        <w:spacing w:line="480" w:lineRule="auto"/>
        <w:ind w:firstLine="720"/>
      </w:pPr>
      <w:r w:rsidRPr="008F7DB7">
        <w:t xml:space="preserve">These results suggest that consumers may have perceived durable categories as unrelated to or unaffected by COVID-19, and that it is this interaction between category and pandemic that drives the results as opposed to an inherent property of durable products. This supposition is supported by study 3 in the main article, which manipulated expectations of shortages in the same category and demonstrated that frustration experienced when expectations are violated caused the effect. </w:t>
      </w:r>
    </w:p>
    <w:p w:rsidR="00843257" w:rsidRPr="008F7DB7" w:rsidRDefault="00843257" w:rsidP="00843257">
      <w:pPr>
        <w:spacing w:line="480" w:lineRule="auto"/>
        <w:ind w:firstLine="720"/>
      </w:pPr>
    </w:p>
    <w:p w:rsidR="00843257" w:rsidRPr="008F7DB7" w:rsidRDefault="00843257" w:rsidP="00843257">
      <w:pPr>
        <w:spacing w:line="480" w:lineRule="auto"/>
        <w:rPr>
          <w:b/>
          <w:i/>
          <w:sz w:val="22"/>
          <w:szCs w:val="22"/>
        </w:rPr>
      </w:pPr>
      <w:r w:rsidRPr="008F7DB7">
        <w:rPr>
          <w:b/>
        </w:rPr>
        <w:t>Table III: Durable versus consumable regression results for study 2</w:t>
      </w:r>
    </w:p>
    <w:tbl>
      <w:tblPr>
        <w:tblStyle w:val="ListTable2-Accent31"/>
        <w:tblW w:w="7015" w:type="dxa"/>
        <w:tblInd w:w="-5" w:type="dxa"/>
        <w:tblBorders>
          <w:top w:val="none" w:sz="0" w:space="0" w:color="auto"/>
          <w:bottom w:val="none" w:sz="0" w:space="0" w:color="auto"/>
          <w:insideH w:val="none" w:sz="0" w:space="0" w:color="auto"/>
        </w:tblBorders>
        <w:tblLayout w:type="fixed"/>
        <w:tblLook w:val="04A0" w:firstRow="1" w:lastRow="0" w:firstColumn="1" w:lastColumn="0" w:noHBand="0" w:noVBand="1"/>
      </w:tblPr>
      <w:tblGrid>
        <w:gridCol w:w="1753"/>
        <w:gridCol w:w="1754"/>
        <w:gridCol w:w="1754"/>
        <w:gridCol w:w="1754"/>
      </w:tblGrid>
      <w:tr w:rsidR="00843257" w:rsidRPr="008F7DB7" w:rsidTr="00265AAB">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left w:val="single" w:sz="4" w:space="0" w:color="auto"/>
              <w:bottom w:val="single" w:sz="4" w:space="0" w:color="auto"/>
            </w:tcBorders>
            <w:vAlign w:val="center"/>
          </w:tcPr>
          <w:p w:rsidR="00843257" w:rsidRPr="008F7DB7" w:rsidRDefault="00843257" w:rsidP="00265AAB">
            <w:pPr>
              <w:jc w:val="right"/>
              <w:rPr>
                <w:sz w:val="20"/>
                <w:szCs w:val="20"/>
              </w:rPr>
            </w:pPr>
            <w:r w:rsidRPr="008F7DB7">
              <w:rPr>
                <w:sz w:val="20"/>
                <w:szCs w:val="20"/>
              </w:rPr>
              <w:t>Model Number:</w:t>
            </w:r>
          </w:p>
        </w:tc>
        <w:tc>
          <w:tcPr>
            <w:tcW w:w="0" w:type="dxa"/>
            <w:tcBorders>
              <w:top w:val="single" w:sz="4" w:space="0" w:color="auto"/>
              <w:bottom w:val="single" w:sz="4" w:space="0" w:color="auto"/>
            </w:tcBorders>
            <w:vAlign w:val="center"/>
          </w:tcPr>
          <w:p w:rsidR="00843257" w:rsidRPr="008F7DB7" w:rsidRDefault="00843257" w:rsidP="00265AAB">
            <w:pPr>
              <w:jc w:val="center"/>
              <w:cnfStyle w:val="100000000000" w:firstRow="1" w:lastRow="0" w:firstColumn="0" w:lastColumn="0" w:oddVBand="0" w:evenVBand="0" w:oddHBand="0" w:evenHBand="0" w:firstRowFirstColumn="0" w:firstRowLastColumn="0" w:lastRowFirstColumn="0" w:lastRowLastColumn="0"/>
              <w:rPr>
                <w:sz w:val="20"/>
                <w:szCs w:val="20"/>
              </w:rPr>
            </w:pPr>
            <w:r w:rsidRPr="008F7DB7">
              <w:rPr>
                <w:sz w:val="20"/>
                <w:szCs w:val="20"/>
              </w:rPr>
              <w:t>1</w:t>
            </w:r>
          </w:p>
        </w:tc>
        <w:tc>
          <w:tcPr>
            <w:tcW w:w="0" w:type="dxa"/>
            <w:tcBorders>
              <w:top w:val="single" w:sz="4" w:space="0" w:color="auto"/>
              <w:bottom w:val="single" w:sz="4" w:space="0" w:color="auto"/>
            </w:tcBorders>
            <w:vAlign w:val="center"/>
          </w:tcPr>
          <w:p w:rsidR="00843257" w:rsidRPr="008F7DB7" w:rsidRDefault="00843257" w:rsidP="00265AAB">
            <w:pPr>
              <w:jc w:val="center"/>
              <w:cnfStyle w:val="100000000000" w:firstRow="1" w:lastRow="0" w:firstColumn="0" w:lastColumn="0" w:oddVBand="0" w:evenVBand="0" w:oddHBand="0" w:evenHBand="0" w:firstRowFirstColumn="0" w:firstRowLastColumn="0" w:lastRowFirstColumn="0" w:lastRowLastColumn="0"/>
              <w:rPr>
                <w:sz w:val="20"/>
                <w:szCs w:val="20"/>
              </w:rPr>
            </w:pPr>
            <w:r w:rsidRPr="008F7DB7">
              <w:rPr>
                <w:sz w:val="20"/>
                <w:szCs w:val="20"/>
              </w:rPr>
              <w:t>2</w:t>
            </w:r>
          </w:p>
        </w:tc>
        <w:tc>
          <w:tcPr>
            <w:tcW w:w="0" w:type="dxa"/>
            <w:tcBorders>
              <w:top w:val="single" w:sz="4" w:space="0" w:color="auto"/>
              <w:bottom w:val="single" w:sz="4" w:space="0" w:color="auto"/>
              <w:right w:val="single" w:sz="4" w:space="0" w:color="auto"/>
            </w:tcBorders>
            <w:vAlign w:val="center"/>
          </w:tcPr>
          <w:p w:rsidR="00843257" w:rsidRPr="008F7DB7" w:rsidRDefault="00843257" w:rsidP="00265AAB">
            <w:pPr>
              <w:jc w:val="center"/>
              <w:cnfStyle w:val="100000000000" w:firstRow="1" w:lastRow="0" w:firstColumn="0" w:lastColumn="0" w:oddVBand="0" w:evenVBand="0" w:oddHBand="0" w:evenHBand="0" w:firstRowFirstColumn="0" w:firstRowLastColumn="0" w:lastRowFirstColumn="0" w:lastRowLastColumn="0"/>
              <w:rPr>
                <w:sz w:val="20"/>
                <w:szCs w:val="20"/>
              </w:rPr>
            </w:pPr>
            <w:r w:rsidRPr="008F7DB7">
              <w:rPr>
                <w:sz w:val="20"/>
                <w:szCs w:val="20"/>
              </w:rPr>
              <w:t>3</w:t>
            </w:r>
          </w:p>
        </w:tc>
      </w:tr>
      <w:tr w:rsidR="00843257" w:rsidRPr="008F7DB7" w:rsidTr="00265AAB">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left w:val="single" w:sz="4" w:space="0" w:color="auto"/>
              <w:bottom w:val="single" w:sz="4" w:space="0" w:color="auto"/>
            </w:tcBorders>
            <w:vAlign w:val="center"/>
          </w:tcPr>
          <w:p w:rsidR="00843257" w:rsidRPr="008F7DB7" w:rsidRDefault="00843257" w:rsidP="00265AAB">
            <w:pPr>
              <w:jc w:val="right"/>
              <w:rPr>
                <w:sz w:val="20"/>
                <w:szCs w:val="20"/>
              </w:rPr>
            </w:pPr>
            <w:r w:rsidRPr="008F7DB7">
              <w:rPr>
                <w:sz w:val="20"/>
                <w:szCs w:val="20"/>
              </w:rPr>
              <w:t>Model Type:</w:t>
            </w:r>
          </w:p>
        </w:tc>
        <w:tc>
          <w:tcPr>
            <w:tcW w:w="0" w:type="dxa"/>
            <w:tcBorders>
              <w:top w:val="single" w:sz="4" w:space="0" w:color="auto"/>
              <w:bottom w:val="single" w:sz="4" w:space="0" w:color="auto"/>
            </w:tcBorders>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Linear</w:t>
            </w:r>
          </w:p>
        </w:tc>
        <w:tc>
          <w:tcPr>
            <w:tcW w:w="0" w:type="dxa"/>
            <w:tcBorders>
              <w:top w:val="single" w:sz="4" w:space="0" w:color="auto"/>
              <w:bottom w:val="single" w:sz="4" w:space="0" w:color="auto"/>
            </w:tcBorders>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Binomial logistic</w:t>
            </w:r>
          </w:p>
        </w:tc>
        <w:tc>
          <w:tcPr>
            <w:tcW w:w="0" w:type="dxa"/>
            <w:tcBorders>
              <w:top w:val="single" w:sz="4" w:space="0" w:color="auto"/>
              <w:bottom w:val="single" w:sz="4" w:space="0" w:color="auto"/>
              <w:right w:val="single" w:sz="4" w:space="0" w:color="auto"/>
            </w:tcBorders>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Linear</w:t>
            </w:r>
          </w:p>
        </w:tc>
      </w:tr>
      <w:tr w:rsidR="00843257" w:rsidRPr="008F7DB7" w:rsidTr="00265AAB">
        <w:trPr>
          <w:trHeight w:val="576"/>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left w:val="single" w:sz="4" w:space="0" w:color="auto"/>
              <w:bottom w:val="single" w:sz="4" w:space="0" w:color="auto"/>
            </w:tcBorders>
            <w:vAlign w:val="center"/>
          </w:tcPr>
          <w:p w:rsidR="00843257" w:rsidRPr="008F7DB7" w:rsidRDefault="00843257" w:rsidP="00265AAB">
            <w:pPr>
              <w:jc w:val="right"/>
              <w:rPr>
                <w:sz w:val="20"/>
                <w:szCs w:val="20"/>
              </w:rPr>
            </w:pPr>
            <w:r w:rsidRPr="008F7DB7">
              <w:rPr>
                <w:sz w:val="20"/>
                <w:szCs w:val="20"/>
              </w:rPr>
              <w:t>DV:</w:t>
            </w:r>
          </w:p>
        </w:tc>
        <w:tc>
          <w:tcPr>
            <w:tcW w:w="0" w:type="dxa"/>
            <w:tcBorders>
              <w:top w:val="single" w:sz="4" w:space="0" w:color="auto"/>
              <w:bottom w:val="single" w:sz="4" w:space="0" w:color="auto"/>
            </w:tcBorders>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8F7DB7">
              <w:rPr>
                <w:sz w:val="20"/>
                <w:szCs w:val="20"/>
              </w:rPr>
              <w:t>Frustration</w:t>
            </w:r>
          </w:p>
        </w:tc>
        <w:tc>
          <w:tcPr>
            <w:tcW w:w="0" w:type="dxa"/>
            <w:tcBorders>
              <w:top w:val="single" w:sz="4" w:space="0" w:color="auto"/>
              <w:bottom w:val="single" w:sz="4" w:space="0" w:color="auto"/>
            </w:tcBorders>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 xml:space="preserve">Choice of </w:t>
            </w:r>
            <w:r w:rsidRPr="008F7DB7">
              <w:rPr>
                <w:i/>
                <w:iCs/>
                <w:sz w:val="20"/>
                <w:szCs w:val="20"/>
              </w:rPr>
              <w:t>S+</w:t>
            </w:r>
          </w:p>
        </w:tc>
        <w:tc>
          <w:tcPr>
            <w:tcW w:w="0" w:type="dxa"/>
            <w:tcBorders>
              <w:top w:val="single" w:sz="4" w:space="0" w:color="auto"/>
              <w:bottom w:val="single" w:sz="4" w:space="0" w:color="auto"/>
              <w:right w:val="single" w:sz="4" w:space="0" w:color="auto"/>
            </w:tcBorders>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COVID-relevant</w:t>
            </w:r>
          </w:p>
        </w:tc>
      </w:tr>
      <w:tr w:rsidR="00843257" w:rsidRPr="008F7DB7" w:rsidTr="00265AA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left w:val="single" w:sz="4" w:space="0" w:color="auto"/>
            </w:tcBorders>
            <w:vAlign w:val="center"/>
          </w:tcPr>
          <w:p w:rsidR="00843257" w:rsidRPr="008F7DB7" w:rsidRDefault="00843257" w:rsidP="00265AAB">
            <w:pPr>
              <w:rPr>
                <w:sz w:val="20"/>
                <w:szCs w:val="20"/>
                <w:u w:val="single"/>
              </w:rPr>
            </w:pPr>
            <w:r w:rsidRPr="008F7DB7">
              <w:rPr>
                <w:sz w:val="20"/>
                <w:szCs w:val="20"/>
                <w:u w:val="single"/>
              </w:rPr>
              <w:t>Predictors</w:t>
            </w:r>
          </w:p>
        </w:tc>
        <w:tc>
          <w:tcPr>
            <w:tcW w:w="0" w:type="dxa"/>
            <w:tcBorders>
              <w:top w:val="single" w:sz="4" w:space="0" w:color="auto"/>
            </w:tcBorders>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Borders>
              <w:top w:val="single" w:sz="4" w:space="0" w:color="auto"/>
            </w:tcBorders>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Borders>
              <w:top w:val="single" w:sz="4" w:space="0" w:color="auto"/>
              <w:right w:val="single" w:sz="4" w:space="0" w:color="auto"/>
            </w:tcBorders>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843257" w:rsidRPr="008F7DB7" w:rsidTr="00265AAB">
        <w:trPr>
          <w:trHeight w:val="576"/>
        </w:trPr>
        <w:tc>
          <w:tcPr>
            <w:cnfStyle w:val="001000000000" w:firstRow="0" w:lastRow="0" w:firstColumn="1" w:lastColumn="0" w:oddVBand="0" w:evenVBand="0" w:oddHBand="0" w:evenHBand="0" w:firstRowFirstColumn="0" w:firstRowLastColumn="0" w:lastRowFirstColumn="0" w:lastRowLastColumn="0"/>
            <w:tcW w:w="0" w:type="dxa"/>
            <w:tcBorders>
              <w:left w:val="single" w:sz="4" w:space="0" w:color="auto"/>
            </w:tcBorders>
            <w:vAlign w:val="center"/>
          </w:tcPr>
          <w:p w:rsidR="00843257" w:rsidRPr="008F7DB7" w:rsidRDefault="00843257" w:rsidP="00265AAB">
            <w:pPr>
              <w:rPr>
                <w:b w:val="0"/>
                <w:bCs w:val="0"/>
                <w:sz w:val="20"/>
                <w:szCs w:val="20"/>
              </w:rPr>
            </w:pPr>
            <w:r w:rsidRPr="008F7DB7">
              <w:rPr>
                <w:b w:val="0"/>
                <w:bCs w:val="0"/>
                <w:sz w:val="20"/>
                <w:szCs w:val="20"/>
              </w:rPr>
              <w:t>Durability</w:t>
            </w:r>
          </w:p>
        </w:tc>
        <w:tc>
          <w:tcPr>
            <w:tcW w:w="0" w:type="dxa"/>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0.60***</w:t>
            </w:r>
          </w:p>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(0.09)</w:t>
            </w:r>
          </w:p>
        </w:tc>
        <w:tc>
          <w:tcPr>
            <w:tcW w:w="0" w:type="dxa"/>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0.82***</w:t>
            </w:r>
          </w:p>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(0.14)</w:t>
            </w:r>
          </w:p>
        </w:tc>
        <w:tc>
          <w:tcPr>
            <w:tcW w:w="0" w:type="dxa"/>
            <w:tcBorders>
              <w:right w:val="single" w:sz="4" w:space="0" w:color="auto"/>
            </w:tcBorders>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-1.02***</w:t>
            </w:r>
          </w:p>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(0.02)</w:t>
            </w:r>
          </w:p>
        </w:tc>
      </w:tr>
      <w:tr w:rsidR="00843257" w:rsidRPr="008F7DB7" w:rsidTr="00265AAB">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0" w:type="dxa"/>
            <w:tcBorders>
              <w:left w:val="single" w:sz="4" w:space="0" w:color="auto"/>
            </w:tcBorders>
            <w:vAlign w:val="center"/>
          </w:tcPr>
          <w:p w:rsidR="00843257" w:rsidRPr="008F7DB7" w:rsidRDefault="00843257" w:rsidP="00265AAB">
            <w:pPr>
              <w:rPr>
                <w:b w:val="0"/>
                <w:bCs w:val="0"/>
                <w:sz w:val="20"/>
                <w:szCs w:val="20"/>
              </w:rPr>
            </w:pPr>
            <w:r w:rsidRPr="008F7DB7">
              <w:rPr>
                <w:b w:val="0"/>
                <w:bCs w:val="0"/>
                <w:sz w:val="20"/>
                <w:szCs w:val="20"/>
              </w:rPr>
              <w:t>COVID-relevant</w:t>
            </w:r>
          </w:p>
        </w:tc>
        <w:tc>
          <w:tcPr>
            <w:tcW w:w="0" w:type="dxa"/>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-0.04</w:t>
            </w:r>
          </w:p>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(0.07)</w:t>
            </w:r>
          </w:p>
        </w:tc>
        <w:tc>
          <w:tcPr>
            <w:tcW w:w="0" w:type="dxa"/>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Borders>
              <w:right w:val="single" w:sz="4" w:space="0" w:color="auto"/>
            </w:tcBorders>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843257" w:rsidRPr="008F7DB7" w:rsidTr="00265AAB">
        <w:trPr>
          <w:trHeight w:val="576"/>
        </w:trPr>
        <w:tc>
          <w:tcPr>
            <w:cnfStyle w:val="001000000000" w:firstRow="0" w:lastRow="0" w:firstColumn="1" w:lastColumn="0" w:oddVBand="0" w:evenVBand="0" w:oddHBand="0" w:evenHBand="0" w:firstRowFirstColumn="0" w:firstRowLastColumn="0" w:lastRowFirstColumn="0" w:lastRowLastColumn="0"/>
            <w:tcW w:w="0" w:type="dxa"/>
            <w:tcBorders>
              <w:left w:val="single" w:sz="4" w:space="0" w:color="auto"/>
            </w:tcBorders>
            <w:vAlign w:val="center"/>
          </w:tcPr>
          <w:p w:rsidR="00843257" w:rsidRPr="008F7DB7" w:rsidRDefault="00843257" w:rsidP="00265AAB">
            <w:pPr>
              <w:rPr>
                <w:b w:val="0"/>
                <w:bCs w:val="0"/>
                <w:sz w:val="20"/>
                <w:szCs w:val="20"/>
              </w:rPr>
            </w:pPr>
            <w:r w:rsidRPr="008F7DB7">
              <w:rPr>
                <w:b w:val="0"/>
                <w:bCs w:val="0"/>
                <w:sz w:val="20"/>
                <w:szCs w:val="20"/>
              </w:rPr>
              <w:t>Brand preference</w:t>
            </w:r>
          </w:p>
        </w:tc>
        <w:tc>
          <w:tcPr>
            <w:tcW w:w="0" w:type="dxa"/>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1.55***</w:t>
            </w:r>
          </w:p>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(0.07)</w:t>
            </w:r>
          </w:p>
        </w:tc>
        <w:tc>
          <w:tcPr>
            <w:tcW w:w="0" w:type="dxa"/>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1.44***</w:t>
            </w:r>
          </w:p>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(0.15)</w:t>
            </w:r>
          </w:p>
        </w:tc>
        <w:tc>
          <w:tcPr>
            <w:tcW w:w="0" w:type="dxa"/>
            <w:tcBorders>
              <w:right w:val="single" w:sz="4" w:space="0" w:color="auto"/>
            </w:tcBorders>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-0.07***</w:t>
            </w:r>
          </w:p>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(0.02)</w:t>
            </w:r>
          </w:p>
        </w:tc>
      </w:tr>
      <w:tr w:rsidR="00843257" w:rsidRPr="008F7DB7" w:rsidTr="00265AAB">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0" w:type="dxa"/>
            <w:tcBorders>
              <w:left w:val="single" w:sz="4" w:space="0" w:color="auto"/>
            </w:tcBorders>
            <w:vAlign w:val="center"/>
          </w:tcPr>
          <w:p w:rsidR="00843257" w:rsidRPr="008F7DB7" w:rsidRDefault="00843257" w:rsidP="00265AAB">
            <w:pPr>
              <w:rPr>
                <w:b w:val="0"/>
                <w:bCs w:val="0"/>
                <w:sz w:val="20"/>
                <w:szCs w:val="20"/>
              </w:rPr>
            </w:pPr>
            <w:r w:rsidRPr="008F7DB7">
              <w:rPr>
                <w:b w:val="0"/>
                <w:bCs w:val="0"/>
                <w:sz w:val="20"/>
                <w:szCs w:val="20"/>
              </w:rPr>
              <w:t>Frustration</w:t>
            </w:r>
          </w:p>
        </w:tc>
        <w:tc>
          <w:tcPr>
            <w:tcW w:w="0" w:type="dxa"/>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0.52***</w:t>
            </w:r>
          </w:p>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(0.05)</w:t>
            </w:r>
          </w:p>
        </w:tc>
        <w:tc>
          <w:tcPr>
            <w:tcW w:w="0" w:type="dxa"/>
            <w:tcBorders>
              <w:right w:val="single" w:sz="4" w:space="0" w:color="auto"/>
            </w:tcBorders>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843257" w:rsidRPr="008F7DB7" w:rsidTr="00265AAB">
        <w:trPr>
          <w:trHeight w:val="576"/>
        </w:trPr>
        <w:tc>
          <w:tcPr>
            <w:cnfStyle w:val="001000000000" w:firstRow="0" w:lastRow="0" w:firstColumn="1" w:lastColumn="0" w:oddVBand="0" w:evenVBand="0" w:oddHBand="0" w:evenHBand="0" w:firstRowFirstColumn="0" w:firstRowLastColumn="0" w:lastRowFirstColumn="0" w:lastRowLastColumn="0"/>
            <w:tcW w:w="0" w:type="dxa"/>
            <w:tcBorders>
              <w:left w:val="single" w:sz="4" w:space="0" w:color="auto"/>
            </w:tcBorders>
            <w:vAlign w:val="center"/>
          </w:tcPr>
          <w:p w:rsidR="00843257" w:rsidRPr="008F7DB7" w:rsidRDefault="00843257" w:rsidP="00265AAB">
            <w:pPr>
              <w:rPr>
                <w:b w:val="0"/>
                <w:bCs w:val="0"/>
                <w:sz w:val="20"/>
                <w:szCs w:val="20"/>
              </w:rPr>
            </w:pPr>
            <w:r w:rsidRPr="008F7DB7">
              <w:rPr>
                <w:b w:val="0"/>
                <w:bCs w:val="0"/>
                <w:sz w:val="20"/>
                <w:szCs w:val="20"/>
              </w:rPr>
              <w:t>Age</w:t>
            </w:r>
          </w:p>
        </w:tc>
        <w:tc>
          <w:tcPr>
            <w:tcW w:w="0" w:type="dxa"/>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0.00</w:t>
            </w:r>
          </w:p>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(0.00)</w:t>
            </w:r>
          </w:p>
        </w:tc>
        <w:tc>
          <w:tcPr>
            <w:tcW w:w="0" w:type="dxa"/>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0.00</w:t>
            </w:r>
          </w:p>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(0.01)</w:t>
            </w:r>
          </w:p>
        </w:tc>
        <w:tc>
          <w:tcPr>
            <w:tcW w:w="0" w:type="dxa"/>
            <w:tcBorders>
              <w:right w:val="single" w:sz="4" w:space="0" w:color="auto"/>
            </w:tcBorders>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-0.00</w:t>
            </w:r>
          </w:p>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(0.00)</w:t>
            </w:r>
          </w:p>
        </w:tc>
      </w:tr>
      <w:tr w:rsidR="00843257" w:rsidRPr="008F7DB7" w:rsidTr="00265AAB">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0" w:type="dxa"/>
            <w:tcBorders>
              <w:left w:val="single" w:sz="4" w:space="0" w:color="auto"/>
            </w:tcBorders>
            <w:vAlign w:val="center"/>
          </w:tcPr>
          <w:p w:rsidR="00843257" w:rsidRPr="008F7DB7" w:rsidRDefault="00843257" w:rsidP="00265AAB">
            <w:pPr>
              <w:rPr>
                <w:b w:val="0"/>
                <w:bCs w:val="0"/>
                <w:sz w:val="20"/>
                <w:szCs w:val="20"/>
              </w:rPr>
            </w:pPr>
            <w:r w:rsidRPr="008F7DB7">
              <w:rPr>
                <w:b w:val="0"/>
                <w:bCs w:val="0"/>
                <w:sz w:val="20"/>
                <w:szCs w:val="20"/>
              </w:rPr>
              <w:t>Gender (female)</w:t>
            </w:r>
          </w:p>
        </w:tc>
        <w:tc>
          <w:tcPr>
            <w:tcW w:w="0" w:type="dxa"/>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0.22*</w:t>
            </w:r>
          </w:p>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(0.01)</w:t>
            </w:r>
          </w:p>
        </w:tc>
        <w:tc>
          <w:tcPr>
            <w:tcW w:w="0" w:type="dxa"/>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0.09</w:t>
            </w:r>
          </w:p>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(0.14)</w:t>
            </w:r>
          </w:p>
        </w:tc>
        <w:tc>
          <w:tcPr>
            <w:tcW w:w="0" w:type="dxa"/>
            <w:tcBorders>
              <w:right w:val="single" w:sz="4" w:space="0" w:color="auto"/>
            </w:tcBorders>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0.02</w:t>
            </w:r>
          </w:p>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(0.02)</w:t>
            </w:r>
          </w:p>
        </w:tc>
      </w:tr>
      <w:tr w:rsidR="00843257" w:rsidRPr="008F7DB7" w:rsidTr="00265AAB">
        <w:trPr>
          <w:trHeight w:val="576"/>
        </w:trPr>
        <w:tc>
          <w:tcPr>
            <w:cnfStyle w:val="001000000000" w:firstRow="0" w:lastRow="0" w:firstColumn="1" w:lastColumn="0" w:oddVBand="0" w:evenVBand="0" w:oddHBand="0" w:evenHBand="0" w:firstRowFirstColumn="0" w:firstRowLastColumn="0" w:lastRowFirstColumn="0" w:lastRowLastColumn="0"/>
            <w:tcW w:w="0" w:type="dxa"/>
            <w:tcBorders>
              <w:left w:val="single" w:sz="4" w:space="0" w:color="auto"/>
            </w:tcBorders>
            <w:vAlign w:val="center"/>
          </w:tcPr>
          <w:p w:rsidR="00843257" w:rsidRPr="008F7DB7" w:rsidRDefault="00843257" w:rsidP="00265AAB">
            <w:pPr>
              <w:rPr>
                <w:b w:val="0"/>
                <w:bCs w:val="0"/>
                <w:sz w:val="20"/>
                <w:szCs w:val="20"/>
              </w:rPr>
            </w:pPr>
            <w:r w:rsidRPr="008F7DB7">
              <w:rPr>
                <w:b w:val="0"/>
                <w:bCs w:val="0"/>
                <w:sz w:val="20"/>
                <w:szCs w:val="20"/>
              </w:rPr>
              <w:t>Employed</w:t>
            </w:r>
          </w:p>
        </w:tc>
        <w:tc>
          <w:tcPr>
            <w:tcW w:w="0" w:type="dxa"/>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0.01</w:t>
            </w:r>
          </w:p>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(0.06)</w:t>
            </w:r>
          </w:p>
        </w:tc>
        <w:tc>
          <w:tcPr>
            <w:tcW w:w="0" w:type="dxa"/>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vertAlign w:val="superscript"/>
              </w:rPr>
            </w:pPr>
            <w:r w:rsidRPr="008F7DB7">
              <w:rPr>
                <w:sz w:val="20"/>
                <w:szCs w:val="20"/>
              </w:rPr>
              <w:t>-0.15</w:t>
            </w:r>
            <w:r w:rsidRPr="008F7DB7">
              <w:rPr>
                <w:sz w:val="20"/>
                <w:szCs w:val="20"/>
                <w:vertAlign w:val="superscript"/>
              </w:rPr>
              <w:t>●</w:t>
            </w:r>
          </w:p>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(0.08)</w:t>
            </w:r>
          </w:p>
        </w:tc>
        <w:tc>
          <w:tcPr>
            <w:tcW w:w="0" w:type="dxa"/>
            <w:tcBorders>
              <w:right w:val="single" w:sz="4" w:space="0" w:color="auto"/>
            </w:tcBorders>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0.01</w:t>
            </w:r>
          </w:p>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(0.01)</w:t>
            </w:r>
          </w:p>
        </w:tc>
      </w:tr>
      <w:tr w:rsidR="00843257" w:rsidRPr="008F7DB7" w:rsidTr="00265AAB">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0" w:type="dxa"/>
            <w:tcBorders>
              <w:left w:val="single" w:sz="4" w:space="0" w:color="auto"/>
            </w:tcBorders>
            <w:vAlign w:val="center"/>
          </w:tcPr>
          <w:p w:rsidR="00843257" w:rsidRPr="008F7DB7" w:rsidRDefault="00843257" w:rsidP="00265AAB">
            <w:pPr>
              <w:rPr>
                <w:b w:val="0"/>
                <w:bCs w:val="0"/>
                <w:sz w:val="20"/>
                <w:szCs w:val="20"/>
              </w:rPr>
            </w:pPr>
            <w:r w:rsidRPr="008F7DB7">
              <w:rPr>
                <w:b w:val="0"/>
                <w:bCs w:val="0"/>
                <w:sz w:val="20"/>
                <w:szCs w:val="20"/>
              </w:rPr>
              <w:t>English</w:t>
            </w:r>
          </w:p>
        </w:tc>
        <w:tc>
          <w:tcPr>
            <w:tcW w:w="0" w:type="dxa"/>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0.11</w:t>
            </w:r>
          </w:p>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(0.28)</w:t>
            </w:r>
          </w:p>
        </w:tc>
        <w:tc>
          <w:tcPr>
            <w:tcW w:w="0" w:type="dxa"/>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0.40</w:t>
            </w:r>
          </w:p>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(0.41)</w:t>
            </w:r>
          </w:p>
        </w:tc>
        <w:tc>
          <w:tcPr>
            <w:tcW w:w="0" w:type="dxa"/>
            <w:tcBorders>
              <w:right w:val="single" w:sz="4" w:space="0" w:color="auto"/>
            </w:tcBorders>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0.04</w:t>
            </w:r>
          </w:p>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(0.06)</w:t>
            </w:r>
          </w:p>
        </w:tc>
      </w:tr>
      <w:tr w:rsidR="00843257" w:rsidRPr="008F7DB7" w:rsidTr="00265AAB">
        <w:trPr>
          <w:trHeight w:val="576"/>
        </w:trPr>
        <w:tc>
          <w:tcPr>
            <w:cnfStyle w:val="001000000000" w:firstRow="0" w:lastRow="0" w:firstColumn="1" w:lastColumn="0" w:oddVBand="0" w:evenVBand="0" w:oddHBand="0" w:evenHBand="0" w:firstRowFirstColumn="0" w:firstRowLastColumn="0" w:lastRowFirstColumn="0" w:lastRowLastColumn="0"/>
            <w:tcW w:w="0" w:type="dxa"/>
            <w:tcBorders>
              <w:left w:val="single" w:sz="4" w:space="0" w:color="auto"/>
            </w:tcBorders>
            <w:vAlign w:val="center"/>
          </w:tcPr>
          <w:p w:rsidR="00843257" w:rsidRPr="008F7DB7" w:rsidRDefault="00843257" w:rsidP="00265AAB">
            <w:pPr>
              <w:rPr>
                <w:b w:val="0"/>
                <w:bCs w:val="0"/>
                <w:sz w:val="20"/>
                <w:szCs w:val="20"/>
              </w:rPr>
            </w:pPr>
            <w:r w:rsidRPr="008F7DB7">
              <w:rPr>
                <w:b w:val="0"/>
                <w:bCs w:val="0"/>
                <w:sz w:val="20"/>
                <w:szCs w:val="20"/>
              </w:rPr>
              <w:t>Income</w:t>
            </w:r>
          </w:p>
        </w:tc>
        <w:tc>
          <w:tcPr>
            <w:tcW w:w="0" w:type="dxa"/>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-0.00</w:t>
            </w:r>
          </w:p>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(0.00)</w:t>
            </w:r>
          </w:p>
        </w:tc>
        <w:tc>
          <w:tcPr>
            <w:tcW w:w="0" w:type="dxa"/>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0.00</w:t>
            </w:r>
          </w:p>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(0.00)</w:t>
            </w:r>
          </w:p>
        </w:tc>
        <w:tc>
          <w:tcPr>
            <w:tcW w:w="0" w:type="dxa"/>
            <w:tcBorders>
              <w:right w:val="single" w:sz="4" w:space="0" w:color="auto"/>
            </w:tcBorders>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0.00</w:t>
            </w:r>
          </w:p>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(0.00)</w:t>
            </w:r>
          </w:p>
        </w:tc>
      </w:tr>
      <w:tr w:rsidR="00843257" w:rsidRPr="008F7DB7" w:rsidTr="00265AAB">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0" w:type="dxa"/>
            <w:tcBorders>
              <w:left w:val="single" w:sz="4" w:space="0" w:color="auto"/>
            </w:tcBorders>
            <w:vAlign w:val="center"/>
          </w:tcPr>
          <w:p w:rsidR="00843257" w:rsidRPr="008F7DB7" w:rsidRDefault="00843257" w:rsidP="00265AAB">
            <w:pPr>
              <w:rPr>
                <w:b w:val="0"/>
                <w:bCs w:val="0"/>
                <w:sz w:val="20"/>
                <w:szCs w:val="20"/>
              </w:rPr>
            </w:pPr>
            <w:r w:rsidRPr="008F7DB7">
              <w:rPr>
                <w:b w:val="0"/>
                <w:bCs w:val="0"/>
                <w:sz w:val="20"/>
                <w:szCs w:val="20"/>
              </w:rPr>
              <w:t>Urban</w:t>
            </w:r>
          </w:p>
        </w:tc>
        <w:tc>
          <w:tcPr>
            <w:tcW w:w="0" w:type="dxa"/>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-0.07</w:t>
            </w:r>
          </w:p>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(0.08)</w:t>
            </w:r>
          </w:p>
        </w:tc>
        <w:tc>
          <w:tcPr>
            <w:tcW w:w="0" w:type="dxa"/>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vertAlign w:val="superscript"/>
              </w:rPr>
            </w:pPr>
            <w:r w:rsidRPr="008F7DB7">
              <w:rPr>
                <w:sz w:val="20"/>
                <w:szCs w:val="20"/>
              </w:rPr>
              <w:t>-0.17</w:t>
            </w:r>
            <w:r w:rsidRPr="008F7DB7">
              <w:rPr>
                <w:sz w:val="20"/>
                <w:szCs w:val="20"/>
                <w:vertAlign w:val="superscript"/>
              </w:rPr>
              <w:t>●</w:t>
            </w:r>
          </w:p>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(0.11)</w:t>
            </w:r>
          </w:p>
        </w:tc>
        <w:tc>
          <w:tcPr>
            <w:tcW w:w="0" w:type="dxa"/>
            <w:tcBorders>
              <w:right w:val="single" w:sz="4" w:space="0" w:color="auto"/>
            </w:tcBorders>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0.01</w:t>
            </w:r>
          </w:p>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(0.02)</w:t>
            </w:r>
          </w:p>
        </w:tc>
      </w:tr>
      <w:tr w:rsidR="00843257" w:rsidRPr="008F7DB7" w:rsidTr="00265AAB">
        <w:trPr>
          <w:trHeight w:val="576"/>
        </w:trPr>
        <w:tc>
          <w:tcPr>
            <w:cnfStyle w:val="001000000000" w:firstRow="0" w:lastRow="0" w:firstColumn="1" w:lastColumn="0" w:oddVBand="0" w:evenVBand="0" w:oddHBand="0" w:evenHBand="0" w:firstRowFirstColumn="0" w:firstRowLastColumn="0" w:lastRowFirstColumn="0" w:lastRowLastColumn="0"/>
            <w:tcW w:w="0" w:type="dxa"/>
            <w:tcBorders>
              <w:left w:val="single" w:sz="4" w:space="0" w:color="auto"/>
              <w:bottom w:val="single" w:sz="4" w:space="0" w:color="auto"/>
            </w:tcBorders>
            <w:vAlign w:val="center"/>
          </w:tcPr>
          <w:p w:rsidR="00843257" w:rsidRPr="008F7DB7" w:rsidRDefault="00843257" w:rsidP="00265AAB">
            <w:pPr>
              <w:rPr>
                <w:b w:val="0"/>
                <w:bCs w:val="0"/>
                <w:sz w:val="20"/>
                <w:szCs w:val="20"/>
              </w:rPr>
            </w:pPr>
            <w:r w:rsidRPr="008F7DB7">
              <w:rPr>
                <w:b w:val="0"/>
                <w:bCs w:val="0"/>
                <w:sz w:val="20"/>
                <w:szCs w:val="20"/>
              </w:rPr>
              <w:t>Intercept</w:t>
            </w:r>
          </w:p>
        </w:tc>
        <w:tc>
          <w:tcPr>
            <w:tcW w:w="0" w:type="dxa"/>
            <w:tcBorders>
              <w:bottom w:val="single" w:sz="4" w:space="0" w:color="auto"/>
            </w:tcBorders>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2.60***</w:t>
            </w:r>
          </w:p>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(0.40)</w:t>
            </w:r>
          </w:p>
        </w:tc>
        <w:tc>
          <w:tcPr>
            <w:tcW w:w="0" w:type="dxa"/>
            <w:tcBorders>
              <w:bottom w:val="single" w:sz="4" w:space="0" w:color="auto"/>
            </w:tcBorders>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-5.41***</w:t>
            </w:r>
          </w:p>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(0.61)</w:t>
            </w:r>
          </w:p>
        </w:tc>
        <w:tc>
          <w:tcPr>
            <w:tcW w:w="0" w:type="dxa"/>
            <w:tcBorders>
              <w:bottom w:val="single" w:sz="4" w:space="0" w:color="auto"/>
              <w:right w:val="single" w:sz="4" w:space="0" w:color="auto"/>
            </w:tcBorders>
            <w:vAlign w:val="center"/>
          </w:tcPr>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0.64***</w:t>
            </w:r>
          </w:p>
          <w:p w:rsidR="00843257" w:rsidRPr="008F7DB7" w:rsidRDefault="00843257" w:rsidP="00265A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7DB7">
              <w:rPr>
                <w:sz w:val="20"/>
                <w:szCs w:val="20"/>
              </w:rPr>
              <w:t>(0.08)</w:t>
            </w:r>
          </w:p>
        </w:tc>
      </w:tr>
      <w:tr w:rsidR="00843257" w:rsidRPr="008F7DB7" w:rsidTr="00265AA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left w:val="single" w:sz="4" w:space="0" w:color="auto"/>
              <w:bottom w:val="single" w:sz="4" w:space="0" w:color="auto"/>
            </w:tcBorders>
            <w:vAlign w:val="center"/>
          </w:tcPr>
          <w:p w:rsidR="00843257" w:rsidRPr="008F7DB7" w:rsidRDefault="00843257" w:rsidP="00265AAB">
            <w:pPr>
              <w:jc w:val="right"/>
              <w:rPr>
                <w:sz w:val="20"/>
                <w:szCs w:val="20"/>
              </w:rPr>
            </w:pPr>
            <w:r w:rsidRPr="008F7DB7">
              <w:rPr>
                <w:sz w:val="20"/>
                <w:szCs w:val="20"/>
              </w:rPr>
              <w:t>AIC:</w:t>
            </w:r>
          </w:p>
        </w:tc>
        <w:tc>
          <w:tcPr>
            <w:tcW w:w="0" w:type="dxa"/>
            <w:tcBorders>
              <w:top w:val="single" w:sz="4" w:space="0" w:color="auto"/>
              <w:bottom w:val="single" w:sz="4" w:space="0" w:color="auto"/>
            </w:tcBorders>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7462.85</w:t>
            </w:r>
          </w:p>
        </w:tc>
        <w:tc>
          <w:tcPr>
            <w:tcW w:w="0" w:type="dxa"/>
            <w:tcBorders>
              <w:top w:val="single" w:sz="4" w:space="0" w:color="auto"/>
              <w:bottom w:val="single" w:sz="4" w:space="0" w:color="auto"/>
            </w:tcBorders>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1754.37</w:t>
            </w:r>
          </w:p>
        </w:tc>
        <w:tc>
          <w:tcPr>
            <w:tcW w:w="0" w:type="dxa"/>
            <w:tcBorders>
              <w:top w:val="single" w:sz="4" w:space="0" w:color="auto"/>
              <w:bottom w:val="single" w:sz="4" w:space="0" w:color="auto"/>
              <w:right w:val="single" w:sz="4" w:space="0" w:color="auto"/>
            </w:tcBorders>
            <w:vAlign w:val="center"/>
          </w:tcPr>
          <w:p w:rsidR="00843257" w:rsidRPr="008F7DB7" w:rsidRDefault="00843257" w:rsidP="00265A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7DB7">
              <w:rPr>
                <w:sz w:val="20"/>
                <w:szCs w:val="20"/>
              </w:rPr>
              <w:t>2754.55</w:t>
            </w:r>
          </w:p>
        </w:tc>
      </w:tr>
    </w:tbl>
    <w:p w:rsidR="00843257" w:rsidRPr="008F7DB7" w:rsidRDefault="00843257" w:rsidP="00843257">
      <w:pPr>
        <w:spacing w:line="480" w:lineRule="auto"/>
      </w:pPr>
    </w:p>
    <w:p w:rsidR="00843257" w:rsidRPr="008F7DB7" w:rsidRDefault="00843257" w:rsidP="00843257">
      <w:pPr>
        <w:spacing w:line="480" w:lineRule="auto"/>
      </w:pPr>
      <w:r w:rsidRPr="008F7DB7">
        <w:t xml:space="preserve">N = 2022 observations. Standard errors in parentheses. Degrees of freedom for mixed-models calculated using the Satterthwaite Approximation. Significance levels: </w:t>
      </w:r>
      <w:r w:rsidRPr="008F7DB7">
        <w:rPr>
          <w:i/>
          <w:iCs/>
        </w:rPr>
        <w:t>p</w:t>
      </w:r>
      <w:r w:rsidRPr="008F7DB7">
        <w:t xml:space="preserve"> &lt; .001***, </w:t>
      </w:r>
      <w:r w:rsidRPr="008F7DB7">
        <w:rPr>
          <w:i/>
          <w:iCs/>
        </w:rPr>
        <w:t>p</w:t>
      </w:r>
      <w:r w:rsidRPr="008F7DB7">
        <w:t xml:space="preserve"> &lt; .010**, </w:t>
      </w:r>
      <w:r w:rsidRPr="008F7DB7">
        <w:rPr>
          <w:i/>
          <w:iCs/>
        </w:rPr>
        <w:t>p</w:t>
      </w:r>
      <w:r w:rsidRPr="008F7DB7">
        <w:t xml:space="preserve"> &lt; .050*, </w:t>
      </w:r>
      <w:r w:rsidRPr="008F7DB7">
        <w:rPr>
          <w:i/>
          <w:iCs/>
        </w:rPr>
        <w:t>p</w:t>
      </w:r>
      <w:r w:rsidRPr="008F7DB7">
        <w:t xml:space="preserve"> &lt; .100</w:t>
      </w:r>
      <w:r w:rsidRPr="008F7DB7">
        <w:rPr>
          <w:vertAlign w:val="superscript"/>
        </w:rPr>
        <w:t>●</w:t>
      </w:r>
    </w:p>
    <w:p w:rsidR="00843257" w:rsidRPr="008F7DB7" w:rsidRDefault="00843257" w:rsidP="00843257">
      <w:pPr>
        <w:spacing w:after="160" w:line="259" w:lineRule="auto"/>
        <w:rPr>
          <w:b/>
          <w:sz w:val="28"/>
        </w:rPr>
      </w:pPr>
    </w:p>
    <w:p w:rsidR="00135900" w:rsidRDefault="00135900"/>
    <w:sectPr w:rsidR="00135900" w:rsidSect="00E83BC2">
      <w:headerReference w:type="default" r:id="rId4"/>
      <w:pgSz w:w="12240" w:h="15840"/>
      <w:pgMar w:top="1440" w:right="1440" w:bottom="1440" w:left="1440"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1762400"/>
      <w:docPartObj>
        <w:docPartGallery w:val="Page Numbers (Top of Page)"/>
        <w:docPartUnique/>
      </w:docPartObj>
    </w:sdtPr>
    <w:sdtEndPr>
      <w:rPr>
        <w:noProof/>
      </w:rPr>
    </w:sdtEndPr>
    <w:sdtContent>
      <w:p w:rsidR="00BA0B02" w:rsidRDefault="00843257">
        <w:pPr>
          <w:pStyle w:val="Header"/>
          <w:jc w:val="right"/>
        </w:pPr>
        <w:r>
          <w:fldChar w:fldCharType="begin"/>
        </w:r>
        <w:r>
          <w:instrText xml:space="preserve"> PAGE   \* MERGEFORMAT </w:instrText>
        </w:r>
        <w:r>
          <w:fldChar w:fldCharType="separate"/>
        </w:r>
        <w:r>
          <w:rPr>
            <w:noProof/>
          </w:rPr>
          <w:t>1</w:t>
        </w:r>
        <w:r>
          <w:fldChar w:fldCharType="end"/>
        </w:r>
      </w:p>
    </w:sdtContent>
  </w:sdt>
  <w:p w:rsidR="00BA0B02" w:rsidRDefault="008432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3257"/>
    <w:rsid w:val="00135900"/>
    <w:rsid w:val="008432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30BC8A-B224-46D9-90D5-56DCBF39C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325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43257"/>
  </w:style>
  <w:style w:type="paragraph" w:styleId="Header">
    <w:name w:val="header"/>
    <w:basedOn w:val="Normal"/>
    <w:link w:val="HeaderChar"/>
    <w:uiPriority w:val="99"/>
    <w:unhideWhenUsed/>
    <w:rsid w:val="00843257"/>
    <w:pPr>
      <w:tabs>
        <w:tab w:val="center" w:pos="4680"/>
        <w:tab w:val="right" w:pos="9360"/>
      </w:tabs>
    </w:pPr>
  </w:style>
  <w:style w:type="character" w:customStyle="1" w:styleId="HeaderChar">
    <w:name w:val="Header Char"/>
    <w:basedOn w:val="DefaultParagraphFont"/>
    <w:link w:val="Header"/>
    <w:uiPriority w:val="99"/>
    <w:rsid w:val="00843257"/>
    <w:rPr>
      <w:rFonts w:ascii="Times New Roman" w:eastAsia="Times New Roman" w:hAnsi="Times New Roman" w:cs="Times New Roman"/>
      <w:sz w:val="24"/>
      <w:szCs w:val="24"/>
    </w:rPr>
  </w:style>
  <w:style w:type="table" w:customStyle="1" w:styleId="ListTable2-Accent31">
    <w:name w:val="List Table 2 - Accent 31"/>
    <w:basedOn w:val="TableNormal"/>
    <w:uiPriority w:val="47"/>
    <w:rsid w:val="00843257"/>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1196</Words>
  <Characters>6823</Characters>
  <Application>Microsoft Office Word</Application>
  <DocSecurity>0</DocSecurity>
  <Lines>56</Lines>
  <Paragraphs>16</Paragraphs>
  <ScaleCrop>false</ScaleCrop>
  <Company/>
  <LinksUpToDate>false</LinksUpToDate>
  <CharactersWithSpaces>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Gerona, Razel</dc:creator>
  <cp:keywords/>
  <dc:description/>
  <cp:lastModifiedBy>Gerona, Razel</cp:lastModifiedBy>
  <cp:revision>1</cp:revision>
  <dcterms:created xsi:type="dcterms:W3CDTF">2023-02-11T02:54:00Z</dcterms:created>
  <dcterms:modified xsi:type="dcterms:W3CDTF">2023-02-11T02:55:00Z</dcterms:modified>
</cp:coreProperties>
</file>