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FF31E" w14:textId="4221A848" w:rsidR="00EF1286" w:rsidRDefault="00B759D8" w:rsidP="00EF1286">
      <w:pPr>
        <w:jc w:val="center"/>
        <w:rPr>
          <w:b/>
          <w:bCs/>
          <w:lang w:val="en-US"/>
        </w:rPr>
      </w:pPr>
      <w:bookmarkStart w:id="0" w:name="_Toc108596126"/>
      <w:r>
        <w:rPr>
          <w:b/>
          <w:bCs/>
          <w:lang w:val="en-US"/>
        </w:rPr>
        <w:t>WEB APPENDIX</w:t>
      </w:r>
    </w:p>
    <w:p w14:paraId="2D28A1F9" w14:textId="77777777" w:rsidR="00CA2C63" w:rsidRDefault="00CA2C63" w:rsidP="00EF1286">
      <w:pPr>
        <w:jc w:val="center"/>
        <w:rPr>
          <w:b/>
          <w:bCs/>
          <w:lang w:val="en-US"/>
        </w:rPr>
      </w:pPr>
    </w:p>
    <w:p w14:paraId="3E0906A7" w14:textId="77777777" w:rsidR="00CA2C63" w:rsidRPr="00D40FFC" w:rsidRDefault="00CA2C63" w:rsidP="009635CB">
      <w:pPr>
        <w:spacing w:line="240" w:lineRule="auto"/>
        <w:jc w:val="center"/>
        <w:rPr>
          <w:b/>
          <w:bCs/>
          <w:szCs w:val="24"/>
        </w:rPr>
      </w:pPr>
      <w:bookmarkStart w:id="1" w:name="_Hlk115347892"/>
      <w:r w:rsidRPr="00D40FFC">
        <w:rPr>
          <w:b/>
          <w:bCs/>
          <w:szCs w:val="24"/>
          <w:lang w:val="en-US"/>
        </w:rPr>
        <w:t xml:space="preserve">Verbal Persuasion in Marketing: </w:t>
      </w:r>
    </w:p>
    <w:p w14:paraId="7B511A91" w14:textId="33FF6DA5" w:rsidR="00CA2C63" w:rsidRPr="00663FAB" w:rsidRDefault="0047160A" w:rsidP="00CA2C63">
      <w:pPr>
        <w:jc w:val="center"/>
        <w:rPr>
          <w:rFonts w:eastAsiaTheme="minorEastAsia"/>
          <w:b/>
          <w:bCs/>
          <w:szCs w:val="24"/>
          <w:lang w:val="en-US" w:eastAsia="zh-CN"/>
        </w:rPr>
      </w:pPr>
      <w:bookmarkStart w:id="2" w:name="_Hlk185423147"/>
      <w:r w:rsidRPr="0047160A">
        <w:rPr>
          <w:b/>
          <w:bCs/>
          <w:szCs w:val="24"/>
          <w:lang w:val="en-US"/>
        </w:rPr>
        <w:t xml:space="preserve">A Multimethod Meta-Analysis </w:t>
      </w:r>
      <w:bookmarkEnd w:id="2"/>
      <w:r w:rsidRPr="0047160A">
        <w:rPr>
          <w:b/>
          <w:bCs/>
          <w:szCs w:val="24"/>
          <w:lang w:val="en-US"/>
        </w:rPr>
        <w:t>of Analytical and Narrative Processing</w:t>
      </w:r>
    </w:p>
    <w:bookmarkEnd w:id="1"/>
    <w:p w14:paraId="1CFA8C59" w14:textId="77777777" w:rsidR="00CA2C63" w:rsidRDefault="00CA2C63" w:rsidP="00EF1286">
      <w:pPr>
        <w:jc w:val="center"/>
        <w:rPr>
          <w:b/>
          <w:bCs/>
          <w:lang w:val="en-US"/>
        </w:rPr>
      </w:pPr>
    </w:p>
    <w:sdt>
      <w:sdtPr>
        <w:rPr>
          <w:rFonts w:eastAsiaTheme="minorHAnsi" w:cstheme="minorBidi"/>
          <w:b w:val="0"/>
          <w:szCs w:val="22"/>
          <w:lang w:val="en-GB"/>
        </w:rPr>
        <w:id w:val="1999850874"/>
        <w:docPartObj>
          <w:docPartGallery w:val="Table of Contents"/>
          <w:docPartUnique/>
        </w:docPartObj>
      </w:sdtPr>
      <w:sdtEndPr>
        <w:rPr>
          <w:bCs/>
          <w:noProof/>
        </w:rPr>
      </w:sdtEndPr>
      <w:sdtContent>
        <w:p w14:paraId="63EEDA04" w14:textId="01A6C5FE" w:rsidR="00EF1286" w:rsidRPr="00CA2C63" w:rsidRDefault="00CA2C63">
          <w:pPr>
            <w:pStyle w:val="TOCHeading"/>
            <w:rPr>
              <w:bCs/>
            </w:rPr>
          </w:pPr>
          <w:r w:rsidRPr="00CA2C63">
            <w:rPr>
              <w:rFonts w:eastAsiaTheme="minorHAnsi" w:cstheme="minorBidi"/>
              <w:bCs/>
              <w:szCs w:val="22"/>
              <w:lang w:val="en-GB"/>
            </w:rPr>
            <w:t xml:space="preserve">Table of </w:t>
          </w:r>
          <w:r w:rsidR="00EF1286" w:rsidRPr="00CA2C63">
            <w:rPr>
              <w:bCs/>
            </w:rPr>
            <w:t>Content</w:t>
          </w:r>
        </w:p>
        <w:p w14:paraId="1927A1E6" w14:textId="58161794" w:rsidR="001475CD" w:rsidRDefault="00EF1286">
          <w:pPr>
            <w:pStyle w:val="TOC1"/>
            <w:rPr>
              <w:rFonts w:asciiTheme="minorHAnsi" w:eastAsiaTheme="minorEastAsia" w:hAnsiTheme="minorHAnsi"/>
              <w:kern w:val="2"/>
              <w:sz w:val="22"/>
              <w14:ligatures w14:val="standardContextual"/>
            </w:rPr>
          </w:pPr>
          <w:r>
            <w:fldChar w:fldCharType="begin"/>
          </w:r>
          <w:r>
            <w:instrText xml:space="preserve"> TOC \o "1-3" \h \z \u </w:instrText>
          </w:r>
          <w:r>
            <w:fldChar w:fldCharType="separate"/>
          </w:r>
          <w:hyperlink w:anchor="_Toc185425559" w:history="1">
            <w:r w:rsidR="001475CD" w:rsidRPr="00626BEF">
              <w:rPr>
                <w:rStyle w:val="Hyperlink"/>
                <w:rFonts w:eastAsia="Calibri" w:cs="Times New Roman"/>
              </w:rPr>
              <w:t>Web Appendix A. Details for Study 1</w:t>
            </w:r>
            <w:r w:rsidR="001475CD">
              <w:rPr>
                <w:webHidden/>
              </w:rPr>
              <w:tab/>
            </w:r>
            <w:r w:rsidR="001475CD">
              <w:rPr>
                <w:webHidden/>
              </w:rPr>
              <w:fldChar w:fldCharType="begin"/>
            </w:r>
            <w:r w:rsidR="001475CD">
              <w:rPr>
                <w:webHidden/>
              </w:rPr>
              <w:instrText xml:space="preserve"> PAGEREF _Toc185425559 \h </w:instrText>
            </w:r>
            <w:r w:rsidR="001475CD">
              <w:rPr>
                <w:webHidden/>
              </w:rPr>
            </w:r>
            <w:r w:rsidR="001475CD">
              <w:rPr>
                <w:webHidden/>
              </w:rPr>
              <w:fldChar w:fldCharType="separate"/>
            </w:r>
            <w:r w:rsidR="001475CD">
              <w:rPr>
                <w:webHidden/>
              </w:rPr>
              <w:t>1</w:t>
            </w:r>
            <w:r w:rsidR="001475CD">
              <w:rPr>
                <w:webHidden/>
              </w:rPr>
              <w:fldChar w:fldCharType="end"/>
            </w:r>
          </w:hyperlink>
        </w:p>
        <w:p w14:paraId="207AAEA0" w14:textId="2BB914F0" w:rsidR="001475CD" w:rsidRDefault="002252B8">
          <w:pPr>
            <w:pStyle w:val="TOC2"/>
            <w:rPr>
              <w:rFonts w:asciiTheme="minorHAnsi" w:eastAsiaTheme="minorEastAsia" w:hAnsiTheme="minorHAnsi"/>
              <w:noProof/>
              <w:kern w:val="2"/>
              <w:sz w:val="22"/>
              <w:lang w:val="en-US"/>
              <w14:ligatures w14:val="standardContextual"/>
            </w:rPr>
          </w:pPr>
          <w:hyperlink w:anchor="_Toc185425560" w:history="1">
            <w:r w:rsidR="001475CD" w:rsidRPr="00626BEF">
              <w:rPr>
                <w:rStyle w:val="Hyperlink"/>
                <w:rFonts w:eastAsia="Calibri"/>
                <w:noProof/>
                <w:lang w:val="en-US"/>
              </w:rPr>
              <w:t>Web Appendix A1. Search strategy to retrieve studies</w:t>
            </w:r>
            <w:r w:rsidR="001475CD">
              <w:rPr>
                <w:noProof/>
                <w:webHidden/>
              </w:rPr>
              <w:tab/>
            </w:r>
            <w:r w:rsidR="001475CD">
              <w:rPr>
                <w:noProof/>
                <w:webHidden/>
              </w:rPr>
              <w:fldChar w:fldCharType="begin"/>
            </w:r>
            <w:r w:rsidR="001475CD">
              <w:rPr>
                <w:noProof/>
                <w:webHidden/>
              </w:rPr>
              <w:instrText xml:space="preserve"> PAGEREF _Toc185425560 \h </w:instrText>
            </w:r>
            <w:r w:rsidR="001475CD">
              <w:rPr>
                <w:noProof/>
                <w:webHidden/>
              </w:rPr>
            </w:r>
            <w:r w:rsidR="001475CD">
              <w:rPr>
                <w:noProof/>
                <w:webHidden/>
              </w:rPr>
              <w:fldChar w:fldCharType="separate"/>
            </w:r>
            <w:r w:rsidR="001475CD">
              <w:rPr>
                <w:noProof/>
                <w:webHidden/>
              </w:rPr>
              <w:t>1</w:t>
            </w:r>
            <w:r w:rsidR="001475CD">
              <w:rPr>
                <w:noProof/>
                <w:webHidden/>
              </w:rPr>
              <w:fldChar w:fldCharType="end"/>
            </w:r>
          </w:hyperlink>
        </w:p>
        <w:p w14:paraId="1D8A0133" w14:textId="1420B843" w:rsidR="001475CD" w:rsidRDefault="002252B8">
          <w:pPr>
            <w:pStyle w:val="TOC2"/>
            <w:rPr>
              <w:rFonts w:asciiTheme="minorHAnsi" w:eastAsiaTheme="minorEastAsia" w:hAnsiTheme="minorHAnsi"/>
              <w:noProof/>
              <w:kern w:val="2"/>
              <w:sz w:val="22"/>
              <w:lang w:val="en-US"/>
              <w14:ligatures w14:val="standardContextual"/>
            </w:rPr>
          </w:pPr>
          <w:hyperlink w:anchor="_Toc185425561" w:history="1">
            <w:r w:rsidR="001475CD" w:rsidRPr="00626BEF">
              <w:rPr>
                <w:rStyle w:val="Hyperlink"/>
                <w:rFonts w:eastAsia="Calibri"/>
                <w:noProof/>
                <w:lang w:val="en-US"/>
              </w:rPr>
              <w:t>Web Appendix A2. Definitions of information processes and outcomes</w:t>
            </w:r>
            <w:r w:rsidR="001475CD">
              <w:rPr>
                <w:noProof/>
                <w:webHidden/>
              </w:rPr>
              <w:tab/>
            </w:r>
            <w:r w:rsidR="001475CD">
              <w:rPr>
                <w:noProof/>
                <w:webHidden/>
              </w:rPr>
              <w:fldChar w:fldCharType="begin"/>
            </w:r>
            <w:r w:rsidR="001475CD">
              <w:rPr>
                <w:noProof/>
                <w:webHidden/>
              </w:rPr>
              <w:instrText xml:space="preserve"> PAGEREF _Toc185425561 \h </w:instrText>
            </w:r>
            <w:r w:rsidR="001475CD">
              <w:rPr>
                <w:noProof/>
                <w:webHidden/>
              </w:rPr>
            </w:r>
            <w:r w:rsidR="001475CD">
              <w:rPr>
                <w:noProof/>
                <w:webHidden/>
              </w:rPr>
              <w:fldChar w:fldCharType="separate"/>
            </w:r>
            <w:r w:rsidR="001475CD">
              <w:rPr>
                <w:noProof/>
                <w:webHidden/>
              </w:rPr>
              <w:t>3</w:t>
            </w:r>
            <w:r w:rsidR="001475CD">
              <w:rPr>
                <w:noProof/>
                <w:webHidden/>
              </w:rPr>
              <w:fldChar w:fldCharType="end"/>
            </w:r>
          </w:hyperlink>
        </w:p>
        <w:p w14:paraId="525CC988" w14:textId="60151A56" w:rsidR="001475CD" w:rsidRDefault="002252B8">
          <w:pPr>
            <w:pStyle w:val="TOC2"/>
            <w:rPr>
              <w:rFonts w:asciiTheme="minorHAnsi" w:eastAsiaTheme="minorEastAsia" w:hAnsiTheme="minorHAnsi"/>
              <w:noProof/>
              <w:kern w:val="2"/>
              <w:sz w:val="22"/>
              <w:lang w:val="en-US"/>
              <w14:ligatures w14:val="standardContextual"/>
            </w:rPr>
          </w:pPr>
          <w:hyperlink w:anchor="_Toc185425562" w:history="1">
            <w:r w:rsidR="001475CD" w:rsidRPr="00626BEF">
              <w:rPr>
                <w:rStyle w:val="Hyperlink"/>
                <w:rFonts w:eastAsia="Calibri"/>
                <w:noProof/>
                <w:lang w:val="en-US"/>
              </w:rPr>
              <w:t>Web Appendix A3. Measurement and coding protocol</w:t>
            </w:r>
            <w:r w:rsidR="001475CD">
              <w:rPr>
                <w:noProof/>
                <w:webHidden/>
              </w:rPr>
              <w:tab/>
            </w:r>
            <w:r w:rsidR="001475CD">
              <w:rPr>
                <w:noProof/>
                <w:webHidden/>
              </w:rPr>
              <w:fldChar w:fldCharType="begin"/>
            </w:r>
            <w:r w:rsidR="001475CD">
              <w:rPr>
                <w:noProof/>
                <w:webHidden/>
              </w:rPr>
              <w:instrText xml:space="preserve"> PAGEREF _Toc185425562 \h </w:instrText>
            </w:r>
            <w:r w:rsidR="001475CD">
              <w:rPr>
                <w:noProof/>
                <w:webHidden/>
              </w:rPr>
            </w:r>
            <w:r w:rsidR="001475CD">
              <w:rPr>
                <w:noProof/>
                <w:webHidden/>
              </w:rPr>
              <w:fldChar w:fldCharType="separate"/>
            </w:r>
            <w:r w:rsidR="001475CD">
              <w:rPr>
                <w:noProof/>
                <w:webHidden/>
              </w:rPr>
              <w:t>4</w:t>
            </w:r>
            <w:r w:rsidR="001475CD">
              <w:rPr>
                <w:noProof/>
                <w:webHidden/>
              </w:rPr>
              <w:fldChar w:fldCharType="end"/>
            </w:r>
          </w:hyperlink>
        </w:p>
        <w:p w14:paraId="4CAC5599" w14:textId="693F3D20" w:rsidR="001475CD" w:rsidRDefault="002252B8">
          <w:pPr>
            <w:pStyle w:val="TOC2"/>
            <w:rPr>
              <w:rFonts w:asciiTheme="minorHAnsi" w:eastAsiaTheme="minorEastAsia" w:hAnsiTheme="minorHAnsi"/>
              <w:noProof/>
              <w:kern w:val="2"/>
              <w:sz w:val="22"/>
              <w:lang w:val="en-US"/>
              <w14:ligatures w14:val="standardContextual"/>
            </w:rPr>
          </w:pPr>
          <w:hyperlink w:anchor="_Toc185425563" w:history="1">
            <w:r w:rsidR="001475CD" w:rsidRPr="00626BEF">
              <w:rPr>
                <w:rStyle w:val="Hyperlink"/>
                <w:rFonts w:eastAsia="Calibri"/>
                <w:noProof/>
                <w:lang w:val="en-US"/>
              </w:rPr>
              <w:t>Web Appendix A4. Funnel plot for the outcomes</w:t>
            </w:r>
            <w:r w:rsidR="001475CD">
              <w:rPr>
                <w:noProof/>
                <w:webHidden/>
              </w:rPr>
              <w:tab/>
            </w:r>
            <w:r w:rsidR="001475CD">
              <w:rPr>
                <w:noProof/>
                <w:webHidden/>
              </w:rPr>
              <w:fldChar w:fldCharType="begin"/>
            </w:r>
            <w:r w:rsidR="001475CD">
              <w:rPr>
                <w:noProof/>
                <w:webHidden/>
              </w:rPr>
              <w:instrText xml:space="preserve"> PAGEREF _Toc185425563 \h </w:instrText>
            </w:r>
            <w:r w:rsidR="001475CD">
              <w:rPr>
                <w:noProof/>
                <w:webHidden/>
              </w:rPr>
            </w:r>
            <w:r w:rsidR="001475CD">
              <w:rPr>
                <w:noProof/>
                <w:webHidden/>
              </w:rPr>
              <w:fldChar w:fldCharType="separate"/>
            </w:r>
            <w:r w:rsidR="001475CD">
              <w:rPr>
                <w:noProof/>
                <w:webHidden/>
              </w:rPr>
              <w:t>5</w:t>
            </w:r>
            <w:r w:rsidR="001475CD">
              <w:rPr>
                <w:noProof/>
                <w:webHidden/>
              </w:rPr>
              <w:fldChar w:fldCharType="end"/>
            </w:r>
          </w:hyperlink>
        </w:p>
        <w:p w14:paraId="0A5CBDB4" w14:textId="50812504" w:rsidR="001475CD" w:rsidRDefault="002252B8">
          <w:pPr>
            <w:pStyle w:val="TOC2"/>
            <w:rPr>
              <w:rFonts w:asciiTheme="minorHAnsi" w:eastAsiaTheme="minorEastAsia" w:hAnsiTheme="minorHAnsi"/>
              <w:noProof/>
              <w:kern w:val="2"/>
              <w:sz w:val="22"/>
              <w:lang w:val="en-US"/>
              <w14:ligatures w14:val="standardContextual"/>
            </w:rPr>
          </w:pPr>
          <w:hyperlink w:anchor="_Toc185425564" w:history="1">
            <w:r w:rsidR="001475CD" w:rsidRPr="00626BEF">
              <w:rPr>
                <w:rStyle w:val="Hyperlink"/>
                <w:rFonts w:eastAsia="Calibri" w:cs="Times New Roman"/>
                <w:noProof/>
                <w:lang w:val="en-US"/>
              </w:rPr>
              <w:t xml:space="preserve">Web Appendix A5. </w:t>
            </w:r>
            <w:r w:rsidR="001475CD" w:rsidRPr="00626BEF">
              <w:rPr>
                <w:rStyle w:val="Hyperlink"/>
                <w:noProof/>
              </w:rPr>
              <w:t>Average effects of analytical vs. narrative information processing</w:t>
            </w:r>
            <w:r w:rsidR="001475CD">
              <w:rPr>
                <w:noProof/>
                <w:webHidden/>
              </w:rPr>
              <w:tab/>
            </w:r>
            <w:r w:rsidR="001475CD">
              <w:rPr>
                <w:noProof/>
                <w:webHidden/>
              </w:rPr>
              <w:fldChar w:fldCharType="begin"/>
            </w:r>
            <w:r w:rsidR="001475CD">
              <w:rPr>
                <w:noProof/>
                <w:webHidden/>
              </w:rPr>
              <w:instrText xml:space="preserve"> PAGEREF _Toc185425564 \h </w:instrText>
            </w:r>
            <w:r w:rsidR="001475CD">
              <w:rPr>
                <w:noProof/>
                <w:webHidden/>
              </w:rPr>
            </w:r>
            <w:r w:rsidR="001475CD">
              <w:rPr>
                <w:noProof/>
                <w:webHidden/>
              </w:rPr>
              <w:fldChar w:fldCharType="separate"/>
            </w:r>
            <w:r w:rsidR="001475CD">
              <w:rPr>
                <w:noProof/>
                <w:webHidden/>
              </w:rPr>
              <w:t>6</w:t>
            </w:r>
            <w:r w:rsidR="001475CD">
              <w:rPr>
                <w:noProof/>
                <w:webHidden/>
              </w:rPr>
              <w:fldChar w:fldCharType="end"/>
            </w:r>
          </w:hyperlink>
        </w:p>
        <w:p w14:paraId="22E6642E" w14:textId="0D596E3C" w:rsidR="001475CD" w:rsidRDefault="002252B8">
          <w:pPr>
            <w:pStyle w:val="TOC2"/>
            <w:rPr>
              <w:rFonts w:asciiTheme="minorHAnsi" w:eastAsiaTheme="minorEastAsia" w:hAnsiTheme="minorHAnsi"/>
              <w:noProof/>
              <w:kern w:val="2"/>
              <w:sz w:val="22"/>
              <w:lang w:val="en-US"/>
              <w14:ligatures w14:val="standardContextual"/>
            </w:rPr>
          </w:pPr>
          <w:hyperlink w:anchor="_Toc185425565" w:history="1">
            <w:r w:rsidR="001475CD" w:rsidRPr="00626BEF">
              <w:rPr>
                <w:rStyle w:val="Hyperlink"/>
                <w:rFonts w:eastAsia="Calibri"/>
                <w:noProof/>
                <w:lang w:val="en-US"/>
              </w:rPr>
              <w:t>Web Appendix A6. Norm and deviation studies for the antecedents</w:t>
            </w:r>
            <w:r w:rsidR="001475CD">
              <w:rPr>
                <w:noProof/>
                <w:webHidden/>
              </w:rPr>
              <w:tab/>
            </w:r>
            <w:r w:rsidR="001475CD">
              <w:rPr>
                <w:noProof/>
                <w:webHidden/>
              </w:rPr>
              <w:fldChar w:fldCharType="begin"/>
            </w:r>
            <w:r w:rsidR="001475CD">
              <w:rPr>
                <w:noProof/>
                <w:webHidden/>
              </w:rPr>
              <w:instrText xml:space="preserve"> PAGEREF _Toc185425565 \h </w:instrText>
            </w:r>
            <w:r w:rsidR="001475CD">
              <w:rPr>
                <w:noProof/>
                <w:webHidden/>
              </w:rPr>
            </w:r>
            <w:r w:rsidR="001475CD">
              <w:rPr>
                <w:noProof/>
                <w:webHidden/>
              </w:rPr>
              <w:fldChar w:fldCharType="separate"/>
            </w:r>
            <w:r w:rsidR="001475CD">
              <w:rPr>
                <w:noProof/>
                <w:webHidden/>
              </w:rPr>
              <w:t>7</w:t>
            </w:r>
            <w:r w:rsidR="001475CD">
              <w:rPr>
                <w:noProof/>
                <w:webHidden/>
              </w:rPr>
              <w:fldChar w:fldCharType="end"/>
            </w:r>
          </w:hyperlink>
        </w:p>
        <w:p w14:paraId="7B9DFE9E" w14:textId="4449C524" w:rsidR="001475CD" w:rsidRDefault="002252B8">
          <w:pPr>
            <w:pStyle w:val="TOC2"/>
            <w:rPr>
              <w:rFonts w:asciiTheme="minorHAnsi" w:eastAsiaTheme="minorEastAsia" w:hAnsiTheme="minorHAnsi"/>
              <w:noProof/>
              <w:kern w:val="2"/>
              <w:sz w:val="22"/>
              <w:lang w:val="en-US"/>
              <w14:ligatures w14:val="standardContextual"/>
            </w:rPr>
          </w:pPr>
          <w:hyperlink w:anchor="_Toc185425566" w:history="1">
            <w:r w:rsidR="001475CD" w:rsidRPr="00626BEF">
              <w:rPr>
                <w:rStyle w:val="Hyperlink"/>
                <w:rFonts w:eastAsia="Calibri"/>
                <w:noProof/>
                <w:lang w:val="en-US"/>
              </w:rPr>
              <w:t>Web Appendix A7. Meta-analytic correlation matrix</w:t>
            </w:r>
            <w:r w:rsidR="001475CD">
              <w:rPr>
                <w:noProof/>
                <w:webHidden/>
              </w:rPr>
              <w:tab/>
            </w:r>
            <w:r w:rsidR="001475CD">
              <w:rPr>
                <w:noProof/>
                <w:webHidden/>
              </w:rPr>
              <w:fldChar w:fldCharType="begin"/>
            </w:r>
            <w:r w:rsidR="001475CD">
              <w:rPr>
                <w:noProof/>
                <w:webHidden/>
              </w:rPr>
              <w:instrText xml:space="preserve"> PAGEREF _Toc185425566 \h </w:instrText>
            </w:r>
            <w:r w:rsidR="001475CD">
              <w:rPr>
                <w:noProof/>
                <w:webHidden/>
              </w:rPr>
            </w:r>
            <w:r w:rsidR="001475CD">
              <w:rPr>
                <w:noProof/>
                <w:webHidden/>
              </w:rPr>
              <w:fldChar w:fldCharType="separate"/>
            </w:r>
            <w:r w:rsidR="001475CD">
              <w:rPr>
                <w:noProof/>
                <w:webHidden/>
              </w:rPr>
              <w:t>8</w:t>
            </w:r>
            <w:r w:rsidR="001475CD">
              <w:rPr>
                <w:noProof/>
                <w:webHidden/>
              </w:rPr>
              <w:fldChar w:fldCharType="end"/>
            </w:r>
          </w:hyperlink>
        </w:p>
        <w:p w14:paraId="773DDF4B" w14:textId="352FA3D3" w:rsidR="001475CD" w:rsidRDefault="002252B8">
          <w:pPr>
            <w:pStyle w:val="TOC2"/>
            <w:rPr>
              <w:rFonts w:asciiTheme="minorHAnsi" w:eastAsiaTheme="minorEastAsia" w:hAnsiTheme="minorHAnsi"/>
              <w:noProof/>
              <w:kern w:val="2"/>
              <w:sz w:val="22"/>
              <w:lang w:val="en-US"/>
              <w14:ligatures w14:val="standardContextual"/>
            </w:rPr>
          </w:pPr>
          <w:hyperlink w:anchor="_Toc185425567" w:history="1">
            <w:r w:rsidR="001475CD" w:rsidRPr="00626BEF">
              <w:rPr>
                <w:rStyle w:val="Hyperlink"/>
                <w:rFonts w:eastAsia="Calibri"/>
                <w:noProof/>
                <w:lang w:val="en-US"/>
              </w:rPr>
              <w:t>Web Appendix A8. Meta-regression results including three-way interaction effect</w:t>
            </w:r>
            <w:r w:rsidR="001475CD">
              <w:rPr>
                <w:noProof/>
                <w:webHidden/>
              </w:rPr>
              <w:tab/>
            </w:r>
            <w:r w:rsidR="001475CD">
              <w:rPr>
                <w:noProof/>
                <w:webHidden/>
              </w:rPr>
              <w:fldChar w:fldCharType="begin"/>
            </w:r>
            <w:r w:rsidR="001475CD">
              <w:rPr>
                <w:noProof/>
                <w:webHidden/>
              </w:rPr>
              <w:instrText xml:space="preserve"> PAGEREF _Toc185425567 \h </w:instrText>
            </w:r>
            <w:r w:rsidR="001475CD">
              <w:rPr>
                <w:noProof/>
                <w:webHidden/>
              </w:rPr>
            </w:r>
            <w:r w:rsidR="001475CD">
              <w:rPr>
                <w:noProof/>
                <w:webHidden/>
              </w:rPr>
              <w:fldChar w:fldCharType="separate"/>
            </w:r>
            <w:r w:rsidR="001475CD">
              <w:rPr>
                <w:noProof/>
                <w:webHidden/>
              </w:rPr>
              <w:t>9</w:t>
            </w:r>
            <w:r w:rsidR="001475CD">
              <w:rPr>
                <w:noProof/>
                <w:webHidden/>
              </w:rPr>
              <w:fldChar w:fldCharType="end"/>
            </w:r>
          </w:hyperlink>
        </w:p>
        <w:p w14:paraId="1BAC2FAB" w14:textId="14D9FA04" w:rsidR="001475CD" w:rsidRDefault="002252B8">
          <w:pPr>
            <w:pStyle w:val="TOC2"/>
            <w:rPr>
              <w:rFonts w:asciiTheme="minorHAnsi" w:eastAsiaTheme="minorEastAsia" w:hAnsiTheme="minorHAnsi"/>
              <w:noProof/>
              <w:kern w:val="2"/>
              <w:sz w:val="22"/>
              <w:lang w:val="en-US"/>
              <w14:ligatures w14:val="standardContextual"/>
            </w:rPr>
          </w:pPr>
          <w:hyperlink w:anchor="_Toc185425568" w:history="1">
            <w:r w:rsidR="001475CD" w:rsidRPr="00626BEF">
              <w:rPr>
                <w:rStyle w:val="Hyperlink"/>
                <w:rFonts w:eastAsia="Calibri"/>
                <w:noProof/>
                <w:lang w:val="en-US"/>
              </w:rPr>
              <w:t>Web Appendix A9. Conceptual framework with results</w:t>
            </w:r>
            <w:r w:rsidR="001475CD">
              <w:rPr>
                <w:noProof/>
                <w:webHidden/>
              </w:rPr>
              <w:tab/>
            </w:r>
            <w:r w:rsidR="001475CD">
              <w:rPr>
                <w:noProof/>
                <w:webHidden/>
              </w:rPr>
              <w:fldChar w:fldCharType="begin"/>
            </w:r>
            <w:r w:rsidR="001475CD">
              <w:rPr>
                <w:noProof/>
                <w:webHidden/>
              </w:rPr>
              <w:instrText xml:space="preserve"> PAGEREF _Toc185425568 \h </w:instrText>
            </w:r>
            <w:r w:rsidR="001475CD">
              <w:rPr>
                <w:noProof/>
                <w:webHidden/>
              </w:rPr>
            </w:r>
            <w:r w:rsidR="001475CD">
              <w:rPr>
                <w:noProof/>
                <w:webHidden/>
              </w:rPr>
              <w:fldChar w:fldCharType="separate"/>
            </w:r>
            <w:r w:rsidR="001475CD">
              <w:rPr>
                <w:noProof/>
                <w:webHidden/>
              </w:rPr>
              <w:t>10</w:t>
            </w:r>
            <w:r w:rsidR="001475CD">
              <w:rPr>
                <w:noProof/>
                <w:webHidden/>
              </w:rPr>
              <w:fldChar w:fldCharType="end"/>
            </w:r>
          </w:hyperlink>
        </w:p>
        <w:p w14:paraId="37AD6A7E" w14:textId="2C23883B" w:rsidR="001475CD" w:rsidRDefault="002252B8">
          <w:pPr>
            <w:pStyle w:val="TOC1"/>
            <w:rPr>
              <w:rFonts w:asciiTheme="minorHAnsi" w:eastAsiaTheme="minorEastAsia" w:hAnsiTheme="minorHAnsi"/>
              <w:kern w:val="2"/>
              <w:sz w:val="22"/>
              <w14:ligatures w14:val="standardContextual"/>
            </w:rPr>
          </w:pPr>
          <w:hyperlink w:anchor="_Toc185425569" w:history="1">
            <w:r w:rsidR="001475CD" w:rsidRPr="00626BEF">
              <w:rPr>
                <w:rStyle w:val="Hyperlink"/>
                <w:rFonts w:eastAsia="Calibri" w:cs="Times New Roman"/>
              </w:rPr>
              <w:t>Web Appendix B. Dominant themes in Study 2</w:t>
            </w:r>
            <w:r w:rsidR="001475CD">
              <w:rPr>
                <w:webHidden/>
              </w:rPr>
              <w:tab/>
            </w:r>
            <w:r w:rsidR="001475CD">
              <w:rPr>
                <w:webHidden/>
              </w:rPr>
              <w:fldChar w:fldCharType="begin"/>
            </w:r>
            <w:r w:rsidR="001475CD">
              <w:rPr>
                <w:webHidden/>
              </w:rPr>
              <w:instrText xml:space="preserve"> PAGEREF _Toc185425569 \h </w:instrText>
            </w:r>
            <w:r w:rsidR="001475CD">
              <w:rPr>
                <w:webHidden/>
              </w:rPr>
            </w:r>
            <w:r w:rsidR="001475CD">
              <w:rPr>
                <w:webHidden/>
              </w:rPr>
              <w:fldChar w:fldCharType="separate"/>
            </w:r>
            <w:r w:rsidR="001475CD">
              <w:rPr>
                <w:webHidden/>
              </w:rPr>
              <w:t>11</w:t>
            </w:r>
            <w:r w:rsidR="001475CD">
              <w:rPr>
                <w:webHidden/>
              </w:rPr>
              <w:fldChar w:fldCharType="end"/>
            </w:r>
          </w:hyperlink>
        </w:p>
        <w:p w14:paraId="12DB4688" w14:textId="06191C34" w:rsidR="001475CD" w:rsidRDefault="002252B8">
          <w:pPr>
            <w:pStyle w:val="TOC1"/>
            <w:rPr>
              <w:rFonts w:asciiTheme="minorHAnsi" w:eastAsiaTheme="minorEastAsia" w:hAnsiTheme="minorHAnsi"/>
              <w:kern w:val="2"/>
              <w:sz w:val="22"/>
              <w14:ligatures w14:val="standardContextual"/>
            </w:rPr>
          </w:pPr>
          <w:hyperlink w:anchor="_Toc185425570" w:history="1">
            <w:r w:rsidR="001475CD" w:rsidRPr="00626BEF">
              <w:rPr>
                <w:rStyle w:val="Hyperlink"/>
                <w:rFonts w:eastAsia="Calibri" w:cs="Times New Roman"/>
              </w:rPr>
              <w:t>Web Appendix C. Details for Study 3</w:t>
            </w:r>
            <w:r w:rsidR="001475CD">
              <w:rPr>
                <w:webHidden/>
              </w:rPr>
              <w:tab/>
            </w:r>
            <w:r w:rsidR="001475CD">
              <w:rPr>
                <w:webHidden/>
              </w:rPr>
              <w:fldChar w:fldCharType="begin"/>
            </w:r>
            <w:r w:rsidR="001475CD">
              <w:rPr>
                <w:webHidden/>
              </w:rPr>
              <w:instrText xml:space="preserve"> PAGEREF _Toc185425570 \h </w:instrText>
            </w:r>
            <w:r w:rsidR="001475CD">
              <w:rPr>
                <w:webHidden/>
              </w:rPr>
            </w:r>
            <w:r w:rsidR="001475CD">
              <w:rPr>
                <w:webHidden/>
              </w:rPr>
              <w:fldChar w:fldCharType="separate"/>
            </w:r>
            <w:r w:rsidR="001475CD">
              <w:rPr>
                <w:webHidden/>
              </w:rPr>
              <w:t>12</w:t>
            </w:r>
            <w:r w:rsidR="001475CD">
              <w:rPr>
                <w:webHidden/>
              </w:rPr>
              <w:fldChar w:fldCharType="end"/>
            </w:r>
          </w:hyperlink>
        </w:p>
        <w:p w14:paraId="012D9252" w14:textId="5EF23CD4" w:rsidR="001475CD" w:rsidRDefault="002252B8">
          <w:pPr>
            <w:pStyle w:val="TOC2"/>
            <w:rPr>
              <w:rFonts w:asciiTheme="minorHAnsi" w:eastAsiaTheme="minorEastAsia" w:hAnsiTheme="minorHAnsi"/>
              <w:noProof/>
              <w:kern w:val="2"/>
              <w:sz w:val="22"/>
              <w:lang w:val="en-US"/>
              <w14:ligatures w14:val="standardContextual"/>
            </w:rPr>
          </w:pPr>
          <w:hyperlink w:anchor="_Toc185425571" w:history="1">
            <w:r w:rsidR="001475CD" w:rsidRPr="00626BEF">
              <w:rPr>
                <w:rStyle w:val="Hyperlink"/>
                <w:noProof/>
              </w:rPr>
              <w:t>Web Appendix C1. Stimuli</w:t>
            </w:r>
            <w:r w:rsidR="001475CD">
              <w:rPr>
                <w:noProof/>
                <w:webHidden/>
              </w:rPr>
              <w:tab/>
            </w:r>
            <w:r w:rsidR="001475CD">
              <w:rPr>
                <w:noProof/>
                <w:webHidden/>
              </w:rPr>
              <w:fldChar w:fldCharType="begin"/>
            </w:r>
            <w:r w:rsidR="001475CD">
              <w:rPr>
                <w:noProof/>
                <w:webHidden/>
              </w:rPr>
              <w:instrText xml:space="preserve"> PAGEREF _Toc185425571 \h </w:instrText>
            </w:r>
            <w:r w:rsidR="001475CD">
              <w:rPr>
                <w:noProof/>
                <w:webHidden/>
              </w:rPr>
            </w:r>
            <w:r w:rsidR="001475CD">
              <w:rPr>
                <w:noProof/>
                <w:webHidden/>
              </w:rPr>
              <w:fldChar w:fldCharType="separate"/>
            </w:r>
            <w:r w:rsidR="001475CD">
              <w:rPr>
                <w:noProof/>
                <w:webHidden/>
              </w:rPr>
              <w:t>12</w:t>
            </w:r>
            <w:r w:rsidR="001475CD">
              <w:rPr>
                <w:noProof/>
                <w:webHidden/>
              </w:rPr>
              <w:fldChar w:fldCharType="end"/>
            </w:r>
          </w:hyperlink>
        </w:p>
        <w:p w14:paraId="4C530F22" w14:textId="695870F2" w:rsidR="001475CD" w:rsidRDefault="002252B8">
          <w:pPr>
            <w:pStyle w:val="TOC2"/>
            <w:rPr>
              <w:rFonts w:asciiTheme="minorHAnsi" w:eastAsiaTheme="minorEastAsia" w:hAnsiTheme="minorHAnsi"/>
              <w:noProof/>
              <w:kern w:val="2"/>
              <w:sz w:val="22"/>
              <w:lang w:val="en-US"/>
              <w14:ligatures w14:val="standardContextual"/>
            </w:rPr>
          </w:pPr>
          <w:hyperlink w:anchor="_Toc185425572" w:history="1">
            <w:r w:rsidR="001475CD" w:rsidRPr="00626BEF">
              <w:rPr>
                <w:rStyle w:val="Hyperlink"/>
                <w:rFonts w:eastAsia="Calibri"/>
                <w:noProof/>
                <w:lang w:val="en-US"/>
              </w:rPr>
              <w:t>Web Appendix C2. Manipulation and attention checks</w:t>
            </w:r>
            <w:r w:rsidR="001475CD">
              <w:rPr>
                <w:noProof/>
                <w:webHidden/>
              </w:rPr>
              <w:tab/>
            </w:r>
            <w:r w:rsidR="001475CD">
              <w:rPr>
                <w:noProof/>
                <w:webHidden/>
              </w:rPr>
              <w:fldChar w:fldCharType="begin"/>
            </w:r>
            <w:r w:rsidR="001475CD">
              <w:rPr>
                <w:noProof/>
                <w:webHidden/>
              </w:rPr>
              <w:instrText xml:space="preserve"> PAGEREF _Toc185425572 \h </w:instrText>
            </w:r>
            <w:r w:rsidR="001475CD">
              <w:rPr>
                <w:noProof/>
                <w:webHidden/>
              </w:rPr>
            </w:r>
            <w:r w:rsidR="001475CD">
              <w:rPr>
                <w:noProof/>
                <w:webHidden/>
              </w:rPr>
              <w:fldChar w:fldCharType="separate"/>
            </w:r>
            <w:r w:rsidR="001475CD">
              <w:rPr>
                <w:noProof/>
                <w:webHidden/>
              </w:rPr>
              <w:t>13</w:t>
            </w:r>
            <w:r w:rsidR="001475CD">
              <w:rPr>
                <w:noProof/>
                <w:webHidden/>
              </w:rPr>
              <w:fldChar w:fldCharType="end"/>
            </w:r>
          </w:hyperlink>
        </w:p>
        <w:p w14:paraId="29785FCC" w14:textId="63C7CD00" w:rsidR="001475CD" w:rsidRDefault="002252B8">
          <w:pPr>
            <w:pStyle w:val="TOC2"/>
            <w:rPr>
              <w:rFonts w:asciiTheme="minorHAnsi" w:eastAsiaTheme="minorEastAsia" w:hAnsiTheme="minorHAnsi"/>
              <w:noProof/>
              <w:kern w:val="2"/>
              <w:sz w:val="22"/>
              <w:lang w:val="en-US"/>
              <w14:ligatures w14:val="standardContextual"/>
            </w:rPr>
          </w:pPr>
          <w:hyperlink w:anchor="_Toc185425573" w:history="1">
            <w:r w:rsidR="001475CD" w:rsidRPr="00626BEF">
              <w:rPr>
                <w:rStyle w:val="Hyperlink"/>
                <w:rFonts w:eastAsia="Calibri"/>
                <w:noProof/>
                <w:lang w:val="en-US"/>
              </w:rPr>
              <w:t>Web Appendix C3. Additional analyses</w:t>
            </w:r>
            <w:r w:rsidR="001475CD">
              <w:rPr>
                <w:noProof/>
                <w:webHidden/>
              </w:rPr>
              <w:tab/>
            </w:r>
            <w:r w:rsidR="001475CD">
              <w:rPr>
                <w:noProof/>
                <w:webHidden/>
              </w:rPr>
              <w:fldChar w:fldCharType="begin"/>
            </w:r>
            <w:r w:rsidR="001475CD">
              <w:rPr>
                <w:noProof/>
                <w:webHidden/>
              </w:rPr>
              <w:instrText xml:space="preserve"> PAGEREF _Toc185425573 \h </w:instrText>
            </w:r>
            <w:r w:rsidR="001475CD">
              <w:rPr>
                <w:noProof/>
                <w:webHidden/>
              </w:rPr>
            </w:r>
            <w:r w:rsidR="001475CD">
              <w:rPr>
                <w:noProof/>
                <w:webHidden/>
              </w:rPr>
              <w:fldChar w:fldCharType="separate"/>
            </w:r>
            <w:r w:rsidR="001475CD">
              <w:rPr>
                <w:noProof/>
                <w:webHidden/>
              </w:rPr>
              <w:t>14</w:t>
            </w:r>
            <w:r w:rsidR="001475CD">
              <w:rPr>
                <w:noProof/>
                <w:webHidden/>
              </w:rPr>
              <w:fldChar w:fldCharType="end"/>
            </w:r>
          </w:hyperlink>
        </w:p>
        <w:p w14:paraId="09FFEF40" w14:textId="592A37CF" w:rsidR="001475CD" w:rsidRDefault="002252B8">
          <w:pPr>
            <w:pStyle w:val="TOC1"/>
            <w:rPr>
              <w:rFonts w:asciiTheme="minorHAnsi" w:eastAsiaTheme="minorEastAsia" w:hAnsiTheme="minorHAnsi"/>
              <w:kern w:val="2"/>
              <w:sz w:val="22"/>
              <w14:ligatures w14:val="standardContextual"/>
            </w:rPr>
          </w:pPr>
          <w:hyperlink w:anchor="_Toc185425574" w:history="1">
            <w:r w:rsidR="001475CD" w:rsidRPr="00626BEF">
              <w:rPr>
                <w:rStyle w:val="Hyperlink"/>
                <w:rFonts w:eastAsia="Calibri" w:cs="Times New Roman"/>
              </w:rPr>
              <w:t>Web Appendix D. Survey of senior marketing managers</w:t>
            </w:r>
            <w:r w:rsidR="001475CD">
              <w:rPr>
                <w:webHidden/>
              </w:rPr>
              <w:tab/>
            </w:r>
            <w:r w:rsidR="001475CD">
              <w:rPr>
                <w:webHidden/>
              </w:rPr>
              <w:fldChar w:fldCharType="begin"/>
            </w:r>
            <w:r w:rsidR="001475CD">
              <w:rPr>
                <w:webHidden/>
              </w:rPr>
              <w:instrText xml:space="preserve"> PAGEREF _Toc185425574 \h </w:instrText>
            </w:r>
            <w:r w:rsidR="001475CD">
              <w:rPr>
                <w:webHidden/>
              </w:rPr>
            </w:r>
            <w:r w:rsidR="001475CD">
              <w:rPr>
                <w:webHidden/>
              </w:rPr>
              <w:fldChar w:fldCharType="separate"/>
            </w:r>
            <w:r w:rsidR="001475CD">
              <w:rPr>
                <w:webHidden/>
              </w:rPr>
              <w:t>15</w:t>
            </w:r>
            <w:r w:rsidR="001475CD">
              <w:rPr>
                <w:webHidden/>
              </w:rPr>
              <w:fldChar w:fldCharType="end"/>
            </w:r>
          </w:hyperlink>
        </w:p>
        <w:p w14:paraId="3A8A316F" w14:textId="3E7059A9" w:rsidR="001475CD" w:rsidRDefault="002252B8">
          <w:pPr>
            <w:pStyle w:val="TOC1"/>
            <w:rPr>
              <w:rFonts w:asciiTheme="minorHAnsi" w:eastAsiaTheme="minorEastAsia" w:hAnsiTheme="minorHAnsi"/>
              <w:kern w:val="2"/>
              <w:sz w:val="22"/>
              <w14:ligatures w14:val="standardContextual"/>
            </w:rPr>
          </w:pPr>
          <w:hyperlink w:anchor="_Toc185425575" w:history="1">
            <w:r w:rsidR="001475CD" w:rsidRPr="00626BEF">
              <w:rPr>
                <w:rStyle w:val="Hyperlink"/>
                <w:rFonts w:eastAsia="Calibri"/>
              </w:rPr>
              <w:t>Supplementary Web Appendix. Papers included in the meta-analysis</w:t>
            </w:r>
            <w:r w:rsidR="001475CD">
              <w:rPr>
                <w:webHidden/>
              </w:rPr>
              <w:tab/>
            </w:r>
            <w:r w:rsidR="001475CD">
              <w:rPr>
                <w:webHidden/>
              </w:rPr>
              <w:fldChar w:fldCharType="begin"/>
            </w:r>
            <w:r w:rsidR="001475CD">
              <w:rPr>
                <w:webHidden/>
              </w:rPr>
              <w:instrText xml:space="preserve"> PAGEREF _Toc185425575 \h </w:instrText>
            </w:r>
            <w:r w:rsidR="001475CD">
              <w:rPr>
                <w:webHidden/>
              </w:rPr>
            </w:r>
            <w:r w:rsidR="001475CD">
              <w:rPr>
                <w:webHidden/>
              </w:rPr>
              <w:fldChar w:fldCharType="separate"/>
            </w:r>
            <w:r w:rsidR="001475CD">
              <w:rPr>
                <w:webHidden/>
              </w:rPr>
              <w:t>16</w:t>
            </w:r>
            <w:r w:rsidR="001475CD">
              <w:rPr>
                <w:webHidden/>
              </w:rPr>
              <w:fldChar w:fldCharType="end"/>
            </w:r>
          </w:hyperlink>
        </w:p>
        <w:p w14:paraId="5D2EBC38" w14:textId="6297383A" w:rsidR="00EF1286" w:rsidRDefault="00EF1286">
          <w:r>
            <w:rPr>
              <w:b/>
              <w:bCs/>
              <w:noProof/>
            </w:rPr>
            <w:fldChar w:fldCharType="end"/>
          </w:r>
        </w:p>
      </w:sdtContent>
    </w:sdt>
    <w:p w14:paraId="719A2377" w14:textId="77777777" w:rsidR="00213201" w:rsidRDefault="00213201">
      <w:pPr>
        <w:spacing w:after="160" w:line="259" w:lineRule="auto"/>
        <w:rPr>
          <w:rFonts w:eastAsia="Calibri" w:cs="Times New Roman"/>
          <w:lang w:val="en-US"/>
        </w:rPr>
      </w:pPr>
    </w:p>
    <w:p w14:paraId="11D82C6F" w14:textId="77777777" w:rsidR="00213201" w:rsidRDefault="00213201">
      <w:pPr>
        <w:spacing w:after="160" w:line="259" w:lineRule="auto"/>
        <w:rPr>
          <w:rFonts w:eastAsia="Calibri" w:cs="Times New Roman"/>
          <w:lang w:val="en-US"/>
        </w:rPr>
        <w:sectPr w:rsidR="00213201" w:rsidSect="00213201">
          <w:headerReference w:type="default" r:id="rId8"/>
          <w:pgSz w:w="12242" w:h="15842" w:code="1"/>
          <w:pgMar w:top="1440" w:right="1440" w:bottom="1440" w:left="1440" w:header="709" w:footer="709" w:gutter="0"/>
          <w:pgNumType w:start="0"/>
          <w:cols w:space="708"/>
          <w:docGrid w:linePitch="360"/>
        </w:sectPr>
      </w:pPr>
    </w:p>
    <w:p w14:paraId="3F0D9C70" w14:textId="26B3B9BF" w:rsidR="00DD1DA0" w:rsidRDefault="00DD1DA0" w:rsidP="00DD1DA0">
      <w:pPr>
        <w:pStyle w:val="Heading1"/>
        <w:rPr>
          <w:rFonts w:eastAsia="Calibri" w:cs="Times New Roman"/>
          <w:lang w:val="en-US"/>
        </w:rPr>
      </w:pPr>
      <w:bookmarkStart w:id="3" w:name="_Toc185425559"/>
      <w:r w:rsidRPr="00F50308">
        <w:rPr>
          <w:rFonts w:eastAsia="Calibri" w:cs="Times New Roman"/>
          <w:lang w:val="en-US"/>
        </w:rPr>
        <w:lastRenderedPageBreak/>
        <w:t xml:space="preserve">Web Appendix </w:t>
      </w:r>
      <w:r w:rsidR="00241FDB" w:rsidRPr="00F50308">
        <w:rPr>
          <w:rFonts w:eastAsia="Calibri" w:cs="Times New Roman"/>
          <w:lang w:val="en-US"/>
        </w:rPr>
        <w:t>A</w:t>
      </w:r>
      <w:r w:rsidRPr="00F50308">
        <w:rPr>
          <w:rFonts w:eastAsia="Calibri" w:cs="Times New Roman"/>
          <w:lang w:val="en-US"/>
        </w:rPr>
        <w:t xml:space="preserve">. </w:t>
      </w:r>
      <w:r w:rsidR="00367BBE">
        <w:rPr>
          <w:rFonts w:eastAsia="Calibri" w:cs="Times New Roman"/>
          <w:lang w:val="en-US"/>
        </w:rPr>
        <w:t>D</w:t>
      </w:r>
      <w:r w:rsidR="00060A3B">
        <w:rPr>
          <w:rFonts w:eastAsia="Calibri" w:cs="Times New Roman"/>
          <w:lang w:val="en-US"/>
        </w:rPr>
        <w:t xml:space="preserve">etails for </w:t>
      </w:r>
      <w:r w:rsidR="00FE1407" w:rsidRPr="00F50308">
        <w:rPr>
          <w:rFonts w:eastAsia="Calibri" w:cs="Times New Roman"/>
          <w:lang w:val="en-US"/>
        </w:rPr>
        <w:t>S</w:t>
      </w:r>
      <w:bookmarkEnd w:id="0"/>
      <w:r w:rsidR="00CA2C63">
        <w:rPr>
          <w:rFonts w:eastAsia="Calibri" w:cs="Times New Roman"/>
          <w:lang w:val="en-US"/>
        </w:rPr>
        <w:t>tudy 1</w:t>
      </w:r>
      <w:bookmarkEnd w:id="3"/>
    </w:p>
    <w:p w14:paraId="5E7F62DF" w14:textId="0BA82F76" w:rsidR="00CA2C63" w:rsidRDefault="00CA2C63" w:rsidP="00CA2C63">
      <w:pPr>
        <w:pStyle w:val="Heading2"/>
        <w:rPr>
          <w:rFonts w:eastAsia="Calibri"/>
          <w:lang w:val="en-US"/>
        </w:rPr>
      </w:pPr>
      <w:bookmarkStart w:id="4" w:name="_Toc185425560"/>
      <w:r w:rsidRPr="00F50308">
        <w:rPr>
          <w:rFonts w:eastAsia="Calibri"/>
          <w:lang w:val="en-US"/>
        </w:rPr>
        <w:t>Web Appendix A</w:t>
      </w:r>
      <w:r>
        <w:rPr>
          <w:rFonts w:eastAsia="Calibri"/>
          <w:lang w:val="en-US"/>
        </w:rPr>
        <w:t>1</w:t>
      </w:r>
      <w:r w:rsidRPr="00F50308">
        <w:rPr>
          <w:rFonts w:eastAsia="Calibri"/>
          <w:lang w:val="en-US"/>
        </w:rPr>
        <w:t xml:space="preserve">. Search strategy to retrieve </w:t>
      </w:r>
      <w:r>
        <w:rPr>
          <w:rFonts w:eastAsia="Calibri"/>
          <w:lang w:val="en-US"/>
        </w:rPr>
        <w:t>studies</w:t>
      </w:r>
      <w:bookmarkEnd w:id="4"/>
    </w:p>
    <w:p w14:paraId="5C0665CD" w14:textId="59B78AEB" w:rsidR="00A251C5" w:rsidRPr="00CA2C63" w:rsidRDefault="00A251C5" w:rsidP="00CA2C63">
      <w:pPr>
        <w:spacing w:after="240" w:line="240" w:lineRule="auto"/>
        <w:rPr>
          <w:rFonts w:eastAsia="Arial"/>
          <w:b/>
          <w:bCs/>
          <w:szCs w:val="24"/>
          <w:lang w:val="en-US"/>
        </w:rPr>
      </w:pPr>
      <w:r w:rsidRPr="00CA2C63">
        <w:rPr>
          <w:b/>
          <w:bCs/>
          <w:szCs w:val="24"/>
          <w:lang w:val="en-US"/>
        </w:rPr>
        <w:t xml:space="preserve">1) </w:t>
      </w:r>
      <w:r w:rsidR="00CA2C63">
        <w:rPr>
          <w:b/>
          <w:bCs/>
          <w:szCs w:val="24"/>
          <w:lang w:val="en-US"/>
        </w:rPr>
        <w:t>S</w:t>
      </w:r>
      <w:r w:rsidRPr="00CA2C63">
        <w:rPr>
          <w:b/>
          <w:bCs/>
          <w:szCs w:val="24"/>
          <w:lang w:val="en-US"/>
        </w:rPr>
        <w:t xml:space="preserve">earch strings for </w:t>
      </w:r>
      <w:r w:rsidRPr="00CA2C63">
        <w:rPr>
          <w:rFonts w:eastAsia="Arial"/>
          <w:b/>
          <w:bCs/>
          <w:szCs w:val="24"/>
          <w:lang w:val="en-US"/>
        </w:rPr>
        <w:t>ABI/INFORM, Business Source Complete, Science Direct, and Google Scholar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62"/>
        <w:gridCol w:w="8790"/>
      </w:tblGrid>
      <w:tr w:rsidR="00A251C5" w:rsidRPr="00A251C5" w14:paraId="65E84098" w14:textId="77777777" w:rsidTr="00A251C5">
        <w:tc>
          <w:tcPr>
            <w:tcW w:w="562" w:type="dxa"/>
            <w:tcBorders>
              <w:top w:val="single" w:sz="4" w:space="0" w:color="auto"/>
            </w:tcBorders>
          </w:tcPr>
          <w:p w14:paraId="38904B4A" w14:textId="77777777" w:rsidR="00A251C5" w:rsidRPr="00A251C5" w:rsidRDefault="00A251C5" w:rsidP="00A251C5">
            <w:pPr>
              <w:spacing w:line="240" w:lineRule="auto"/>
              <w:rPr>
                <w:rFonts w:cs="Times New Roman"/>
                <w:sz w:val="20"/>
                <w:szCs w:val="20"/>
                <w:lang w:val="en-US"/>
              </w:rPr>
            </w:pPr>
          </w:p>
        </w:tc>
        <w:tc>
          <w:tcPr>
            <w:tcW w:w="8790" w:type="dxa"/>
            <w:tcBorders>
              <w:top w:val="single" w:sz="4" w:space="0" w:color="auto"/>
              <w:bottom w:val="single" w:sz="4" w:space="0" w:color="auto"/>
            </w:tcBorders>
          </w:tcPr>
          <w:p w14:paraId="12A52E27" w14:textId="6A463F02" w:rsidR="00A251C5" w:rsidRPr="00A251C5" w:rsidRDefault="00A251C5" w:rsidP="00A251C5">
            <w:pPr>
              <w:spacing w:line="240" w:lineRule="auto"/>
              <w:jc w:val="center"/>
              <w:rPr>
                <w:rFonts w:cs="Times New Roman"/>
                <w:b/>
                <w:bCs/>
                <w:sz w:val="20"/>
                <w:szCs w:val="20"/>
                <w:lang w:val="en-US"/>
              </w:rPr>
            </w:pPr>
            <w:r w:rsidRPr="00A251C5">
              <w:rPr>
                <w:rFonts w:cs="Times New Roman"/>
                <w:b/>
                <w:bCs/>
                <w:sz w:val="20"/>
                <w:szCs w:val="20"/>
                <w:lang w:val="en-US"/>
              </w:rPr>
              <w:t>Search Strings</w:t>
            </w:r>
          </w:p>
        </w:tc>
      </w:tr>
      <w:tr w:rsidR="00A251C5" w:rsidRPr="00A251C5" w14:paraId="6FD208FB" w14:textId="77777777" w:rsidTr="00A251C5">
        <w:tc>
          <w:tcPr>
            <w:tcW w:w="562" w:type="dxa"/>
          </w:tcPr>
          <w:p w14:paraId="1A02EA6D" w14:textId="3FD7696B"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w:t>
            </w:r>
          </w:p>
        </w:tc>
        <w:tc>
          <w:tcPr>
            <w:tcW w:w="8790" w:type="dxa"/>
            <w:tcBorders>
              <w:top w:val="single" w:sz="4" w:space="0" w:color="auto"/>
            </w:tcBorders>
          </w:tcPr>
          <w:p w14:paraId="7CE81DF4" w14:textId="37A8A801"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“Systematic processing” OR “elaboration likelihood” OR “cognitive elaboration” OR “heuristic processing” “analytical elaboration” OR “involvement”</w:t>
            </w:r>
          </w:p>
        </w:tc>
      </w:tr>
      <w:tr w:rsidR="00A251C5" w:rsidRPr="00A251C5" w14:paraId="0CFDB2DA" w14:textId="77777777" w:rsidTr="00A251C5">
        <w:tc>
          <w:tcPr>
            <w:tcW w:w="562" w:type="dxa"/>
          </w:tcPr>
          <w:p w14:paraId="67AF8263" w14:textId="4DC36B89"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w:t>
            </w:r>
          </w:p>
        </w:tc>
        <w:tc>
          <w:tcPr>
            <w:tcW w:w="8790" w:type="dxa"/>
          </w:tcPr>
          <w:p w14:paraId="5329FDE2" w14:textId="5C41FF82"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“Narrative transportation” OR “narrative engagement” OR “being hooked” OR “narrative thoughts”</w:t>
            </w:r>
          </w:p>
        </w:tc>
      </w:tr>
      <w:tr w:rsidR="00A251C5" w:rsidRPr="00A251C5" w14:paraId="43BF88C5" w14:textId="77777777" w:rsidTr="00A251C5">
        <w:tc>
          <w:tcPr>
            <w:tcW w:w="562" w:type="dxa"/>
          </w:tcPr>
          <w:p w14:paraId="7BC3104F" w14:textId="15EB8D4B"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S3.</w:t>
            </w:r>
          </w:p>
        </w:tc>
        <w:tc>
          <w:tcPr>
            <w:tcW w:w="8790" w:type="dxa"/>
          </w:tcPr>
          <w:p w14:paraId="0555B2F8" w14:textId="6AF41390"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“Experiential processing” OR “process generated” OR “affective elaboration”</w:t>
            </w:r>
          </w:p>
        </w:tc>
      </w:tr>
      <w:tr w:rsidR="00A251C5" w:rsidRPr="00A251C5" w14:paraId="14EFF4B3" w14:textId="77777777" w:rsidTr="00A251C5">
        <w:tc>
          <w:tcPr>
            <w:tcW w:w="562" w:type="dxa"/>
          </w:tcPr>
          <w:p w14:paraId="25EEBBA5" w14:textId="530F12A6"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S4.</w:t>
            </w:r>
          </w:p>
        </w:tc>
        <w:tc>
          <w:tcPr>
            <w:tcW w:w="8790" w:type="dxa"/>
          </w:tcPr>
          <w:p w14:paraId="52A166C2" w14:textId="309F6663"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“Information processing” OR “message processing”</w:t>
            </w:r>
          </w:p>
        </w:tc>
      </w:tr>
      <w:tr w:rsidR="00A251C5" w:rsidRPr="00A251C5" w14:paraId="5FD3E7F9" w14:textId="77777777" w:rsidTr="00A251C5">
        <w:tc>
          <w:tcPr>
            <w:tcW w:w="562" w:type="dxa"/>
          </w:tcPr>
          <w:p w14:paraId="548B30CC" w14:textId="5A98620A"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S5.</w:t>
            </w:r>
          </w:p>
        </w:tc>
        <w:tc>
          <w:tcPr>
            <w:tcW w:w="8790" w:type="dxa"/>
          </w:tcPr>
          <w:p w14:paraId="7ADBDDAB" w14:textId="6E27AD2B"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“Argument” OR “list” OR “lecture” OR “theatre” OR “narrative” OR “story” OR “ad” OR “advert*” OR “editorial” OR “article” OR “blog” or “website” OR “packag*” OR “review” AND “read”</w:t>
            </w:r>
          </w:p>
        </w:tc>
      </w:tr>
      <w:tr w:rsidR="00A251C5" w:rsidRPr="00A251C5" w14:paraId="29EB6877" w14:textId="77777777" w:rsidTr="00A251C5">
        <w:tc>
          <w:tcPr>
            <w:tcW w:w="562" w:type="dxa"/>
          </w:tcPr>
          <w:p w14:paraId="5F77293A" w14:textId="4FE38221"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S6.</w:t>
            </w:r>
          </w:p>
        </w:tc>
        <w:tc>
          <w:tcPr>
            <w:tcW w:w="8790" w:type="dxa"/>
          </w:tcPr>
          <w:p w14:paraId="797573E1" w14:textId="032B3639"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“Rhyme” OR “chime” OR “alliteration” OR “anaphora” OR “epistrophe” OR “epanalepsis” OR “anadiplosis” OR “parison” OR “antimetabole” OR “antithesis” OR “hyperbole” OR “ellipsis” OR “epanorthosis” OR “rhetorical question” OR “metonym” OR “metaphor” OR “pun” OR “irony” OR “paradox” OR “schemes” OR “tropes” OR “rhetoric”</w:t>
            </w:r>
          </w:p>
        </w:tc>
      </w:tr>
      <w:tr w:rsidR="00A251C5" w:rsidRPr="00A251C5" w14:paraId="206E6B5F" w14:textId="77777777" w:rsidTr="00A251C5">
        <w:tc>
          <w:tcPr>
            <w:tcW w:w="562" w:type="dxa"/>
          </w:tcPr>
          <w:p w14:paraId="47135C18" w14:textId="44A25934"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S7.</w:t>
            </w:r>
          </w:p>
        </w:tc>
        <w:tc>
          <w:tcPr>
            <w:tcW w:w="8790" w:type="dxa"/>
          </w:tcPr>
          <w:p w14:paraId="4CC0EDC5" w14:textId="2BCBD5E4"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“Outcome-relevant involvement” OR “issue involvement” OR “task involvement” OR “processing motivation” OR “task importance” OR “task attention” OR “value-relevant involvement” OR “personal relevance” OR “concern” “interest in”</w:t>
            </w:r>
          </w:p>
        </w:tc>
      </w:tr>
      <w:tr w:rsidR="00A251C5" w:rsidRPr="00A251C5" w14:paraId="0D3C5392" w14:textId="77777777" w:rsidTr="00A251C5">
        <w:tc>
          <w:tcPr>
            <w:tcW w:w="562" w:type="dxa"/>
          </w:tcPr>
          <w:p w14:paraId="2640525A" w14:textId="27EE0F74"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S8.</w:t>
            </w:r>
          </w:p>
        </w:tc>
        <w:tc>
          <w:tcPr>
            <w:tcW w:w="8790" w:type="dxa"/>
          </w:tcPr>
          <w:p w14:paraId="0CA41167" w14:textId="45D9539D"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“Awareness” OR “category knowledge” OR “product knowledge” OR “prior knowledge” OR “product experience”</w:t>
            </w:r>
          </w:p>
        </w:tc>
      </w:tr>
      <w:tr w:rsidR="00A251C5" w:rsidRPr="00A251C5" w14:paraId="6E200D02" w14:textId="77777777" w:rsidTr="00A251C5">
        <w:tc>
          <w:tcPr>
            <w:tcW w:w="562" w:type="dxa"/>
          </w:tcPr>
          <w:p w14:paraId="5E5EAF86" w14:textId="3A324FCB"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S9.</w:t>
            </w:r>
          </w:p>
        </w:tc>
        <w:tc>
          <w:tcPr>
            <w:tcW w:w="8790" w:type="dxa"/>
          </w:tcPr>
          <w:p w14:paraId="71809D50" w14:textId="3D6978F7"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“Conguren*” OR “discrep*” OR “consisten*” OR “*matching”</w:t>
            </w:r>
          </w:p>
        </w:tc>
      </w:tr>
      <w:tr w:rsidR="00A251C5" w:rsidRPr="00A251C5" w14:paraId="72DBF6F0" w14:textId="77777777" w:rsidTr="00A251C5">
        <w:tc>
          <w:tcPr>
            <w:tcW w:w="562" w:type="dxa"/>
          </w:tcPr>
          <w:p w14:paraId="5E9FE4CF" w14:textId="372BEB66"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S10.</w:t>
            </w:r>
          </w:p>
        </w:tc>
        <w:tc>
          <w:tcPr>
            <w:tcW w:w="8790" w:type="dxa"/>
          </w:tcPr>
          <w:p w14:paraId="3719C65F" w14:textId="125267C9"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“Mood”</w:t>
            </w:r>
          </w:p>
        </w:tc>
      </w:tr>
      <w:tr w:rsidR="00A251C5" w:rsidRPr="00A251C5" w14:paraId="77B46D01" w14:textId="77777777" w:rsidTr="00A251C5">
        <w:tc>
          <w:tcPr>
            <w:tcW w:w="562" w:type="dxa"/>
          </w:tcPr>
          <w:p w14:paraId="7B9D3983" w14:textId="2AF27AED"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S11.</w:t>
            </w:r>
          </w:p>
        </w:tc>
        <w:tc>
          <w:tcPr>
            <w:tcW w:w="8790" w:type="dxa"/>
          </w:tcPr>
          <w:p w14:paraId="59B45F2F" w14:textId="7E644B81"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“Need for cognition”</w:t>
            </w:r>
          </w:p>
        </w:tc>
      </w:tr>
      <w:tr w:rsidR="00A251C5" w:rsidRPr="00A251C5" w14:paraId="1C0B20B4" w14:textId="77777777" w:rsidTr="00A251C5">
        <w:tc>
          <w:tcPr>
            <w:tcW w:w="562" w:type="dxa"/>
          </w:tcPr>
          <w:p w14:paraId="5FC6C4E2" w14:textId="3362ABE4"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S12.</w:t>
            </w:r>
          </w:p>
        </w:tc>
        <w:tc>
          <w:tcPr>
            <w:tcW w:w="8790" w:type="dxa"/>
          </w:tcPr>
          <w:p w14:paraId="677C0650" w14:textId="68B18A9F"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“Source” AND “message” AND (“congru* OR “fit”)</w:t>
            </w:r>
          </w:p>
        </w:tc>
      </w:tr>
      <w:tr w:rsidR="00A251C5" w:rsidRPr="00A251C5" w14:paraId="24360757" w14:textId="77777777" w:rsidTr="00A251C5">
        <w:tc>
          <w:tcPr>
            <w:tcW w:w="562" w:type="dxa"/>
          </w:tcPr>
          <w:p w14:paraId="71F2539B" w14:textId="6B6922D7"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S13.</w:t>
            </w:r>
          </w:p>
        </w:tc>
        <w:tc>
          <w:tcPr>
            <w:tcW w:w="8790" w:type="dxa"/>
          </w:tcPr>
          <w:p w14:paraId="787E66AE" w14:textId="7E1FF237"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“Source” AND “credibility” OR “expertise” OR “trustworthiness”</w:t>
            </w:r>
          </w:p>
        </w:tc>
      </w:tr>
      <w:tr w:rsidR="00A251C5" w:rsidRPr="00A251C5" w14:paraId="4A3E1600" w14:textId="77777777" w:rsidTr="00A251C5">
        <w:tc>
          <w:tcPr>
            <w:tcW w:w="562" w:type="dxa"/>
          </w:tcPr>
          <w:p w14:paraId="47C45E43" w14:textId="3B6A8A37"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S14.</w:t>
            </w:r>
          </w:p>
        </w:tc>
        <w:tc>
          <w:tcPr>
            <w:tcW w:w="8790" w:type="dxa"/>
          </w:tcPr>
          <w:p w14:paraId="5360F905" w14:textId="2A9C1CDF"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“Source” AND (“similarity” OR “homophily”)</w:t>
            </w:r>
          </w:p>
        </w:tc>
      </w:tr>
      <w:tr w:rsidR="00A251C5" w:rsidRPr="00A251C5" w14:paraId="7C8578C0" w14:textId="77777777" w:rsidTr="00A251C5">
        <w:tc>
          <w:tcPr>
            <w:tcW w:w="562" w:type="dxa"/>
          </w:tcPr>
          <w:p w14:paraId="4ADEC807" w14:textId="0145406B"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S15.</w:t>
            </w:r>
          </w:p>
        </w:tc>
        <w:tc>
          <w:tcPr>
            <w:tcW w:w="8790" w:type="dxa"/>
          </w:tcPr>
          <w:p w14:paraId="5FACA010" w14:textId="420C5846"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“Cognitive load” OR “processing opportunity” OR “time constraints” OR “comprehensibility”</w:t>
            </w:r>
          </w:p>
        </w:tc>
      </w:tr>
      <w:tr w:rsidR="00A251C5" w:rsidRPr="00A251C5" w14:paraId="42B41016" w14:textId="77777777" w:rsidTr="00A251C5">
        <w:tc>
          <w:tcPr>
            <w:tcW w:w="562" w:type="dxa"/>
          </w:tcPr>
          <w:p w14:paraId="730765A8" w14:textId="58C4F394"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S16.</w:t>
            </w:r>
          </w:p>
        </w:tc>
        <w:tc>
          <w:tcPr>
            <w:tcW w:w="8790" w:type="dxa"/>
          </w:tcPr>
          <w:p w14:paraId="7DD3D58A" w14:textId="6EA35749"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“Media richness” OR “dynami*” OR “interactiv*”</w:t>
            </w:r>
          </w:p>
        </w:tc>
      </w:tr>
      <w:tr w:rsidR="00A251C5" w:rsidRPr="00A251C5" w14:paraId="0AD04434" w14:textId="77777777" w:rsidTr="00A251C5">
        <w:tc>
          <w:tcPr>
            <w:tcW w:w="562" w:type="dxa"/>
          </w:tcPr>
          <w:p w14:paraId="10D9E6B3" w14:textId="16C16324"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S17.</w:t>
            </w:r>
          </w:p>
        </w:tc>
        <w:tc>
          <w:tcPr>
            <w:tcW w:w="8790" w:type="dxa"/>
          </w:tcPr>
          <w:p w14:paraId="1274182D" w14:textId="0B586DE7"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“Argument quality” OR “argument strength”</w:t>
            </w:r>
          </w:p>
        </w:tc>
      </w:tr>
      <w:tr w:rsidR="00A251C5" w:rsidRPr="00A251C5" w14:paraId="12C22C2C" w14:textId="77777777" w:rsidTr="00A251C5">
        <w:tc>
          <w:tcPr>
            <w:tcW w:w="562" w:type="dxa"/>
          </w:tcPr>
          <w:p w14:paraId="72D527CC" w14:textId="14050A03"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S18.</w:t>
            </w:r>
          </w:p>
        </w:tc>
        <w:tc>
          <w:tcPr>
            <w:tcW w:w="8790" w:type="dxa"/>
          </w:tcPr>
          <w:p w14:paraId="7664C40D" w14:textId="5A7CFD6D"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“Complexity” OR “synta*” OR “gramma*” OR “technical words” OR “technical language” OR “explanatory context”</w:t>
            </w:r>
          </w:p>
        </w:tc>
      </w:tr>
      <w:tr w:rsidR="00A251C5" w:rsidRPr="00A251C5" w14:paraId="68DC7E50" w14:textId="77777777" w:rsidTr="00A251C5">
        <w:tc>
          <w:tcPr>
            <w:tcW w:w="562" w:type="dxa"/>
          </w:tcPr>
          <w:p w14:paraId="3E255ACB" w14:textId="205DD5D5"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S19.</w:t>
            </w:r>
          </w:p>
        </w:tc>
        <w:tc>
          <w:tcPr>
            <w:tcW w:w="8790" w:type="dxa"/>
          </w:tcPr>
          <w:p w14:paraId="3A18EA2C" w14:textId="08131585"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“Mental imagery” OR “mental simulation”</w:t>
            </w:r>
          </w:p>
        </w:tc>
      </w:tr>
      <w:tr w:rsidR="00A251C5" w:rsidRPr="00A251C5" w14:paraId="459D332F" w14:textId="77777777" w:rsidTr="00A251C5">
        <w:tc>
          <w:tcPr>
            <w:tcW w:w="562" w:type="dxa"/>
          </w:tcPr>
          <w:p w14:paraId="6DE6A537" w14:textId="1FF9E253"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S20.</w:t>
            </w:r>
          </w:p>
        </w:tc>
        <w:tc>
          <w:tcPr>
            <w:tcW w:w="8790" w:type="dxa"/>
          </w:tcPr>
          <w:p w14:paraId="445D2D3C" w14:textId="5F2D3767"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“Positiv*” OR “negativ*” OR “valence”</w:t>
            </w:r>
          </w:p>
        </w:tc>
      </w:tr>
      <w:tr w:rsidR="00A251C5" w:rsidRPr="00A251C5" w14:paraId="2ABA2DAE" w14:textId="77777777" w:rsidTr="00A251C5">
        <w:tc>
          <w:tcPr>
            <w:tcW w:w="562" w:type="dxa"/>
          </w:tcPr>
          <w:p w14:paraId="3AC16A7E" w14:textId="506C4C63"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S21.</w:t>
            </w:r>
          </w:p>
        </w:tc>
        <w:tc>
          <w:tcPr>
            <w:tcW w:w="8790" w:type="dxa"/>
          </w:tcPr>
          <w:p w14:paraId="291F2423" w14:textId="64B34B13"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“Affect” OR “affective response” OR “emotion”</w:t>
            </w:r>
          </w:p>
        </w:tc>
      </w:tr>
      <w:tr w:rsidR="00A251C5" w:rsidRPr="00A251C5" w14:paraId="3121BD6B" w14:textId="77777777" w:rsidTr="00A251C5">
        <w:tc>
          <w:tcPr>
            <w:tcW w:w="562" w:type="dxa"/>
          </w:tcPr>
          <w:p w14:paraId="43773351" w14:textId="59DCEFB0"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S22.</w:t>
            </w:r>
          </w:p>
        </w:tc>
        <w:tc>
          <w:tcPr>
            <w:tcW w:w="8790" w:type="dxa"/>
          </w:tcPr>
          <w:p w14:paraId="4EF892BA" w14:textId="4D53FDE1"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“Cognitive response” OR “cognitions”</w:t>
            </w:r>
          </w:p>
        </w:tc>
      </w:tr>
      <w:tr w:rsidR="00A251C5" w:rsidRPr="00A251C5" w14:paraId="20320482" w14:textId="77777777" w:rsidTr="00A251C5">
        <w:tc>
          <w:tcPr>
            <w:tcW w:w="562" w:type="dxa"/>
          </w:tcPr>
          <w:p w14:paraId="766C6F29" w14:textId="0014BB67"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S23.</w:t>
            </w:r>
          </w:p>
        </w:tc>
        <w:tc>
          <w:tcPr>
            <w:tcW w:w="8790" w:type="dxa"/>
          </w:tcPr>
          <w:p w14:paraId="38F16810" w14:textId="2A3F82BF"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“Recall”</w:t>
            </w:r>
          </w:p>
        </w:tc>
      </w:tr>
      <w:tr w:rsidR="00A251C5" w:rsidRPr="00A251C5" w14:paraId="2541B159" w14:textId="77777777" w:rsidTr="00A251C5">
        <w:tc>
          <w:tcPr>
            <w:tcW w:w="562" w:type="dxa"/>
          </w:tcPr>
          <w:p w14:paraId="39E3A8C6" w14:textId="075F6B96"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S24.</w:t>
            </w:r>
          </w:p>
        </w:tc>
        <w:tc>
          <w:tcPr>
            <w:tcW w:w="8790" w:type="dxa"/>
          </w:tcPr>
          <w:p w14:paraId="6DCE7A96" w14:textId="6187A357"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“Attitud*” OR “evaluat*” OR “opinion” OR “belief”</w:t>
            </w:r>
          </w:p>
        </w:tc>
      </w:tr>
      <w:tr w:rsidR="00A251C5" w:rsidRPr="00A251C5" w14:paraId="2FD5C4D9" w14:textId="77777777" w:rsidTr="00A251C5">
        <w:tc>
          <w:tcPr>
            <w:tcW w:w="562" w:type="dxa"/>
          </w:tcPr>
          <w:p w14:paraId="643D69B0" w14:textId="756033EE"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S25.</w:t>
            </w:r>
          </w:p>
        </w:tc>
        <w:tc>
          <w:tcPr>
            <w:tcW w:w="8790" w:type="dxa"/>
          </w:tcPr>
          <w:p w14:paraId="230C7448" w14:textId="2B922529"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“Intention” OR “willingness”</w:t>
            </w:r>
          </w:p>
        </w:tc>
      </w:tr>
      <w:tr w:rsidR="00A251C5" w:rsidRPr="00A251C5" w14:paraId="0A413311" w14:textId="77777777" w:rsidTr="00A251C5">
        <w:tc>
          <w:tcPr>
            <w:tcW w:w="562" w:type="dxa"/>
          </w:tcPr>
          <w:p w14:paraId="36ED98BE" w14:textId="3E537A90" w:rsidR="00A251C5" w:rsidRPr="00A251C5" w:rsidRDefault="00A251C5" w:rsidP="00A251C5">
            <w:pPr>
              <w:spacing w:line="240" w:lineRule="auto"/>
              <w:rPr>
                <w:rFonts w:cs="Times New Roman"/>
                <w:sz w:val="20"/>
                <w:szCs w:val="20"/>
                <w:lang w:val="en-US"/>
              </w:rPr>
            </w:pPr>
            <w:r w:rsidRPr="00A251C5">
              <w:rPr>
                <w:rFonts w:eastAsia="Arial" w:cs="Times New Roman"/>
                <w:bCs/>
                <w:iCs/>
                <w:sz w:val="20"/>
                <w:szCs w:val="20"/>
                <w:lang w:val="en-US"/>
              </w:rPr>
              <w:t>S26.</w:t>
            </w:r>
          </w:p>
        </w:tc>
        <w:tc>
          <w:tcPr>
            <w:tcW w:w="8790" w:type="dxa"/>
          </w:tcPr>
          <w:p w14:paraId="540977AE" w14:textId="488218D3"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“Behavi</w:t>
            </w:r>
            <w:r w:rsidR="00D6427B">
              <w:rPr>
                <w:rFonts w:eastAsia="Calibri" w:cs="Times New Roman"/>
                <w:sz w:val="20"/>
                <w:szCs w:val="20"/>
              </w:rPr>
              <w:t>o</w:t>
            </w:r>
            <w:r w:rsidRPr="00A251C5">
              <w:rPr>
                <w:rFonts w:eastAsia="Calibri" w:cs="Times New Roman"/>
                <w:sz w:val="20"/>
                <w:szCs w:val="20"/>
              </w:rPr>
              <w:t>r” OR “purchase” OR “choice”</w:t>
            </w:r>
          </w:p>
        </w:tc>
      </w:tr>
      <w:tr w:rsidR="00035D5F" w:rsidRPr="00A251C5" w14:paraId="658C273D" w14:textId="77777777" w:rsidTr="00A251C5">
        <w:tc>
          <w:tcPr>
            <w:tcW w:w="562" w:type="dxa"/>
          </w:tcPr>
          <w:p w14:paraId="4469F019" w14:textId="5D9B4081" w:rsidR="00035D5F" w:rsidRPr="00A251C5" w:rsidRDefault="00035D5F" w:rsidP="00A251C5">
            <w:pPr>
              <w:spacing w:line="240" w:lineRule="auto"/>
              <w:rPr>
                <w:rFonts w:eastAsia="Arial" w:cs="Times New Roman"/>
                <w:bCs/>
                <w:iCs/>
                <w:sz w:val="20"/>
                <w:szCs w:val="20"/>
                <w:lang w:val="en-US"/>
              </w:rPr>
            </w:pPr>
            <w:r w:rsidRPr="00A251C5">
              <w:rPr>
                <w:rFonts w:eastAsia="Arial" w:cs="Times New Roman"/>
                <w:bCs/>
                <w:iCs/>
                <w:sz w:val="20"/>
                <w:szCs w:val="20"/>
                <w:lang w:val="en-US"/>
              </w:rPr>
              <w:t>S27.</w:t>
            </w:r>
          </w:p>
        </w:tc>
        <w:tc>
          <w:tcPr>
            <w:tcW w:w="8790" w:type="dxa"/>
          </w:tcPr>
          <w:p w14:paraId="2F2CD24A" w14:textId="1A7CD35E" w:rsidR="00035D5F" w:rsidRPr="00A251C5" w:rsidRDefault="00035D5F" w:rsidP="00A251C5">
            <w:pPr>
              <w:spacing w:line="240" w:lineRule="auto"/>
              <w:rPr>
                <w:rFonts w:eastAsia="Calibri" w:cs="Times New Roman"/>
                <w:sz w:val="20"/>
                <w:szCs w:val="20"/>
              </w:rPr>
            </w:pPr>
            <w:r>
              <w:rPr>
                <w:rFonts w:eastAsia="Calibri" w:cs="Times New Roman"/>
                <w:sz w:val="20"/>
                <w:szCs w:val="20"/>
              </w:rPr>
              <w:t>“</w:t>
            </w:r>
            <w:r w:rsidRPr="00035D5F">
              <w:rPr>
                <w:rFonts w:eastAsia="Calibri" w:cs="Times New Roman"/>
                <w:sz w:val="20"/>
                <w:szCs w:val="20"/>
              </w:rPr>
              <w:t>Audio</w:t>
            </w:r>
            <w:r>
              <w:rPr>
                <w:rFonts w:eastAsia="Calibri" w:cs="Times New Roman"/>
                <w:sz w:val="20"/>
                <w:szCs w:val="20"/>
              </w:rPr>
              <w:t>”</w:t>
            </w:r>
            <w:r w:rsidRPr="00035D5F">
              <w:rPr>
                <w:rFonts w:eastAsia="Calibri" w:cs="Times New Roman"/>
                <w:sz w:val="20"/>
                <w:szCs w:val="20"/>
              </w:rPr>
              <w:t xml:space="preserve"> OR </w:t>
            </w:r>
            <w:r>
              <w:rPr>
                <w:rFonts w:eastAsia="Calibri" w:cs="Times New Roman"/>
                <w:sz w:val="20"/>
                <w:szCs w:val="20"/>
              </w:rPr>
              <w:t>“v</w:t>
            </w:r>
            <w:r w:rsidRPr="00035D5F">
              <w:rPr>
                <w:rFonts w:eastAsia="Calibri" w:cs="Times New Roman"/>
                <w:sz w:val="20"/>
                <w:szCs w:val="20"/>
              </w:rPr>
              <w:t>oice</w:t>
            </w:r>
            <w:r>
              <w:rPr>
                <w:rFonts w:eastAsia="Calibri" w:cs="Times New Roman"/>
                <w:sz w:val="20"/>
                <w:szCs w:val="20"/>
              </w:rPr>
              <w:t>”</w:t>
            </w:r>
            <w:r w:rsidRPr="00035D5F">
              <w:rPr>
                <w:rFonts w:eastAsia="Calibri" w:cs="Times New Roman"/>
                <w:sz w:val="20"/>
                <w:szCs w:val="20"/>
              </w:rPr>
              <w:t xml:space="preserve"> OR </w:t>
            </w:r>
            <w:r>
              <w:rPr>
                <w:rFonts w:eastAsia="Calibri" w:cs="Times New Roman"/>
                <w:sz w:val="20"/>
                <w:szCs w:val="20"/>
              </w:rPr>
              <w:t>“v</w:t>
            </w:r>
            <w:r w:rsidRPr="00035D5F">
              <w:rPr>
                <w:rFonts w:eastAsia="Calibri" w:cs="Times New Roman"/>
                <w:sz w:val="20"/>
                <w:szCs w:val="20"/>
              </w:rPr>
              <w:t>ocal</w:t>
            </w:r>
            <w:r>
              <w:rPr>
                <w:rFonts w:eastAsia="Calibri" w:cs="Times New Roman"/>
                <w:sz w:val="20"/>
                <w:szCs w:val="20"/>
              </w:rPr>
              <w:t>”</w:t>
            </w:r>
            <w:r w:rsidRPr="00035D5F">
              <w:rPr>
                <w:rFonts w:eastAsia="Calibri" w:cs="Times New Roman"/>
                <w:sz w:val="20"/>
                <w:szCs w:val="20"/>
              </w:rPr>
              <w:t xml:space="preserve"> OR </w:t>
            </w:r>
            <w:r>
              <w:rPr>
                <w:rFonts w:eastAsia="Calibri" w:cs="Times New Roman"/>
                <w:sz w:val="20"/>
                <w:szCs w:val="20"/>
              </w:rPr>
              <w:t>“s</w:t>
            </w:r>
            <w:r w:rsidRPr="00035D5F">
              <w:rPr>
                <w:rFonts w:eastAsia="Calibri" w:cs="Times New Roman"/>
                <w:sz w:val="20"/>
                <w:szCs w:val="20"/>
              </w:rPr>
              <w:t>poken</w:t>
            </w:r>
            <w:r>
              <w:rPr>
                <w:rFonts w:eastAsia="Calibri" w:cs="Times New Roman"/>
                <w:sz w:val="20"/>
                <w:szCs w:val="20"/>
              </w:rPr>
              <w:t>”</w:t>
            </w:r>
            <w:r w:rsidRPr="00035D5F">
              <w:rPr>
                <w:rFonts w:eastAsia="Calibri" w:cs="Times New Roman"/>
                <w:sz w:val="20"/>
                <w:szCs w:val="20"/>
              </w:rPr>
              <w:t xml:space="preserve"> OR </w:t>
            </w:r>
            <w:r>
              <w:rPr>
                <w:rFonts w:eastAsia="Calibri" w:cs="Times New Roman"/>
                <w:sz w:val="20"/>
                <w:szCs w:val="20"/>
              </w:rPr>
              <w:t>“v</w:t>
            </w:r>
            <w:r w:rsidRPr="00035D5F">
              <w:rPr>
                <w:rFonts w:eastAsia="Calibri" w:cs="Times New Roman"/>
                <w:sz w:val="20"/>
                <w:szCs w:val="20"/>
              </w:rPr>
              <w:t>ideo</w:t>
            </w:r>
            <w:r>
              <w:rPr>
                <w:rFonts w:eastAsia="Calibri" w:cs="Times New Roman"/>
                <w:sz w:val="20"/>
                <w:szCs w:val="20"/>
              </w:rPr>
              <w:t>”</w:t>
            </w:r>
            <w:r w:rsidRPr="00035D5F">
              <w:rPr>
                <w:rFonts w:eastAsia="Calibri" w:cs="Times New Roman"/>
                <w:sz w:val="20"/>
                <w:szCs w:val="20"/>
              </w:rPr>
              <w:t xml:space="preserve"> OR </w:t>
            </w:r>
            <w:r>
              <w:rPr>
                <w:rFonts w:eastAsia="Calibri" w:cs="Times New Roman"/>
                <w:sz w:val="20"/>
                <w:szCs w:val="20"/>
              </w:rPr>
              <w:t>“a</w:t>
            </w:r>
            <w:r w:rsidRPr="00035D5F">
              <w:rPr>
                <w:rFonts w:eastAsia="Calibri" w:cs="Times New Roman"/>
                <w:sz w:val="20"/>
                <w:szCs w:val="20"/>
              </w:rPr>
              <w:t>udiovisual</w:t>
            </w:r>
            <w:r>
              <w:rPr>
                <w:rFonts w:eastAsia="Calibri" w:cs="Times New Roman"/>
                <w:sz w:val="20"/>
                <w:szCs w:val="20"/>
              </w:rPr>
              <w:t>”</w:t>
            </w:r>
          </w:p>
        </w:tc>
      </w:tr>
      <w:tr w:rsidR="00A251C5" w:rsidRPr="00A251C5" w14:paraId="744639A9" w14:textId="77777777" w:rsidTr="00A251C5">
        <w:tc>
          <w:tcPr>
            <w:tcW w:w="562" w:type="dxa"/>
            <w:tcBorders>
              <w:bottom w:val="single" w:sz="4" w:space="0" w:color="auto"/>
            </w:tcBorders>
          </w:tcPr>
          <w:p w14:paraId="0250D963" w14:textId="1634C5FD" w:rsidR="00A251C5" w:rsidRPr="00A251C5" w:rsidRDefault="00035D5F" w:rsidP="00A251C5">
            <w:pPr>
              <w:spacing w:line="240" w:lineRule="auto"/>
              <w:rPr>
                <w:rFonts w:cs="Times New Roman"/>
                <w:sz w:val="20"/>
                <w:szCs w:val="20"/>
                <w:lang w:val="en-US"/>
              </w:rPr>
            </w:pPr>
            <w:r w:rsidRPr="00A251C5">
              <w:rPr>
                <w:rFonts w:eastAsia="Arial" w:cs="Times New Roman"/>
                <w:bCs/>
                <w:iCs/>
                <w:sz w:val="20"/>
                <w:szCs w:val="20"/>
                <w:lang w:val="en-US"/>
              </w:rPr>
              <w:t>S2</w:t>
            </w:r>
            <w:r>
              <w:rPr>
                <w:rFonts w:eastAsia="Arial" w:cs="Times New Roman"/>
                <w:bCs/>
                <w:iCs/>
                <w:sz w:val="20"/>
                <w:szCs w:val="20"/>
                <w:lang w:val="en-US"/>
              </w:rPr>
              <w:t>8</w:t>
            </w:r>
            <w:r w:rsidRPr="00A251C5">
              <w:rPr>
                <w:rFonts w:eastAsia="Arial" w:cs="Times New Roman"/>
                <w:bCs/>
                <w:iCs/>
                <w:sz w:val="20"/>
                <w:szCs w:val="20"/>
                <w:lang w:val="en-US"/>
              </w:rPr>
              <w:t>.</w:t>
            </w:r>
          </w:p>
        </w:tc>
        <w:tc>
          <w:tcPr>
            <w:tcW w:w="8790" w:type="dxa"/>
            <w:tcBorders>
              <w:bottom w:val="single" w:sz="4" w:space="0" w:color="auto"/>
            </w:tcBorders>
          </w:tcPr>
          <w:p w14:paraId="72B06601" w14:textId="30537884" w:rsidR="00A251C5" w:rsidRPr="00A251C5" w:rsidRDefault="00A251C5" w:rsidP="00A251C5">
            <w:pPr>
              <w:spacing w:line="240" w:lineRule="auto"/>
              <w:rPr>
                <w:rFonts w:cs="Times New Roman"/>
                <w:sz w:val="20"/>
                <w:szCs w:val="20"/>
                <w:lang w:val="en-US"/>
              </w:rPr>
            </w:pPr>
            <w:r w:rsidRPr="00A251C5">
              <w:rPr>
                <w:rFonts w:eastAsia="Calibri" w:cs="Times New Roman"/>
                <w:sz w:val="20"/>
                <w:szCs w:val="20"/>
              </w:rPr>
              <w:t>(S1 OR S2 OR S3 OR S4) AND (S5 OR S6 OR S7 OR S8 OR S9 OR S10 OR S11 OR S12 OR S13 OR S14 OR S15 OR S16 OR S17 OR S18 OR S19 OR S20) AND (S21 OR S22 OR S23 OR S24 OR S25 OR S26)</w:t>
            </w:r>
            <w:r w:rsidR="00737D6F">
              <w:rPr>
                <w:rFonts w:eastAsia="Calibri" w:cs="Times New Roman"/>
                <w:sz w:val="20"/>
                <w:szCs w:val="20"/>
              </w:rPr>
              <w:t xml:space="preserve"> AND (S27)</w:t>
            </w:r>
          </w:p>
        </w:tc>
      </w:tr>
    </w:tbl>
    <w:p w14:paraId="33F75207" w14:textId="77777777" w:rsidR="00CA2C63" w:rsidRDefault="00CA2C63">
      <w:pPr>
        <w:spacing w:after="160" w:line="259" w:lineRule="auto"/>
        <w:rPr>
          <w:rFonts w:cs="Times New Roman"/>
          <w:b/>
          <w:bCs/>
          <w:sz w:val="20"/>
          <w:szCs w:val="20"/>
        </w:rPr>
      </w:pPr>
      <w:bookmarkStart w:id="5" w:name="_Hlk163087030"/>
      <w:bookmarkStart w:id="6" w:name="_Toc108596127"/>
      <w:r>
        <w:rPr>
          <w:rFonts w:cs="Times New Roman"/>
          <w:b/>
          <w:bCs/>
          <w:sz w:val="20"/>
          <w:szCs w:val="20"/>
        </w:rPr>
        <w:br w:type="page"/>
      </w:r>
    </w:p>
    <w:p w14:paraId="240FB689" w14:textId="1B58A45C" w:rsidR="006C0B27" w:rsidRPr="00CA2C63" w:rsidRDefault="006C0B27" w:rsidP="00CA2C63">
      <w:pPr>
        <w:spacing w:after="240" w:line="240" w:lineRule="auto"/>
        <w:rPr>
          <w:rFonts w:cs="Times New Roman"/>
          <w:b/>
          <w:bCs/>
          <w:szCs w:val="24"/>
        </w:rPr>
      </w:pPr>
      <w:r w:rsidRPr="00CA2C63">
        <w:rPr>
          <w:rFonts w:cs="Times New Roman"/>
          <w:b/>
          <w:bCs/>
          <w:szCs w:val="24"/>
        </w:rPr>
        <w:lastRenderedPageBreak/>
        <w:t>2) A manual shelf search of relevant journals</w:t>
      </w:r>
      <w:bookmarkEnd w:id="5"/>
    </w:p>
    <w:p w14:paraId="005C8CF5" w14:textId="0DA177D7" w:rsidR="00CA2C63" w:rsidRDefault="00CA2C63" w:rsidP="00CA2C63">
      <w:pPr>
        <w:spacing w:after="240" w:line="240" w:lineRule="auto"/>
        <w:rPr>
          <w:rFonts w:cs="Times New Roman"/>
          <w:szCs w:val="24"/>
        </w:rPr>
      </w:pPr>
      <w:r w:rsidRPr="00CA2C63">
        <w:rPr>
          <w:rFonts w:cs="Times New Roman"/>
          <w:szCs w:val="24"/>
        </w:rPr>
        <w:t>Journals were considered and included if they appeared in the Erasmus Institute of Management (ERIM) Rankin</w:t>
      </w:r>
      <w:r>
        <w:rPr>
          <w:rFonts w:cs="Times New Roman"/>
          <w:szCs w:val="24"/>
        </w:rPr>
        <w:t>g (</w:t>
      </w:r>
      <w:hyperlink r:id="rId9" w:history="1">
        <w:r w:rsidRPr="00D16351">
          <w:rPr>
            <w:rStyle w:val="Hyperlink"/>
            <w:rFonts w:cs="Times New Roman"/>
            <w:szCs w:val="24"/>
          </w:rPr>
          <w:t>https://www.erim.eur.nl/about-erim/erim-journals-list-ejl/</w:t>
        </w:r>
      </w:hyperlink>
      <w:r>
        <w:rPr>
          <w:rFonts w:cs="Times New Roman"/>
          <w:szCs w:val="24"/>
        </w:rPr>
        <w:t>).</w:t>
      </w:r>
    </w:p>
    <w:p w14:paraId="5A2798BD" w14:textId="77777777" w:rsidR="00CA2C63" w:rsidRPr="00CA2C63" w:rsidRDefault="00035D5F" w:rsidP="00CA2C63">
      <w:pPr>
        <w:spacing w:after="240" w:line="240" w:lineRule="auto"/>
        <w:rPr>
          <w:rFonts w:cs="Times New Roman"/>
          <w:szCs w:val="24"/>
        </w:rPr>
      </w:pPr>
      <w:r w:rsidRPr="00CA2C63">
        <w:rPr>
          <w:rFonts w:cs="Times New Roman"/>
          <w:szCs w:val="24"/>
        </w:rPr>
        <w:t>European Journal of Marketing, International Journal of Advertising, Journal of Advertising, Journal of Applied Social Psychology, Journal of Business Research, Journal of Consumer Psychology, Journal of Consumer Research, Journal of Experimental Social Psychology, Journal of Interactive Marketing, Journal of Language and Social Psychology, Journal of Marketing, Journal of Marketing Communications, Journal of Marketing Research, Journal of the Academy of Marketing Science, Journal of Marketing Theory and Practice, Journal of Personality and Social Psychology, Journal of Retailing and Consumer Services, Marketing Letters, Personality and Social Psychology Bulletin, Psychology and Marketing, International Journal of Research in Marketing, Journal of Service Research, Journal of Retailing, Journal of Applied Psychology, Psychological Science, Psychological Bulletin, Organizational Behavior &amp; Human Decision Processes, Communication Research, Journal of Communication, Journal of Interactive Advertising, Public Opinion Quarterly, Journal of International Marketing, Industrial Marketing Management, New Media &amp; Society, Communication Methods and Measures, Media Psychology</w:t>
      </w:r>
      <w:r w:rsidR="006C0B27" w:rsidRPr="00CA2C63">
        <w:rPr>
          <w:rFonts w:cs="Times New Roman"/>
          <w:szCs w:val="24"/>
        </w:rPr>
        <w:t xml:space="preserve">, among others. </w:t>
      </w:r>
    </w:p>
    <w:p w14:paraId="07183615" w14:textId="6FFCFF89" w:rsidR="006C0B27" w:rsidRPr="00CA2C63" w:rsidRDefault="006C0B27" w:rsidP="00CA2C63">
      <w:pPr>
        <w:spacing w:after="240" w:line="240" w:lineRule="auto"/>
        <w:rPr>
          <w:rFonts w:cs="Times New Roman"/>
          <w:szCs w:val="24"/>
        </w:rPr>
      </w:pPr>
      <w:r w:rsidRPr="00CA2C63">
        <w:rPr>
          <w:rFonts w:cs="Times New Roman"/>
          <w:b/>
          <w:bCs/>
          <w:szCs w:val="24"/>
        </w:rPr>
        <w:t>3) Exclusion criteria</w:t>
      </w:r>
    </w:p>
    <w:p w14:paraId="25590D9F" w14:textId="77777777" w:rsidR="006C0B27" w:rsidRDefault="006C0B27" w:rsidP="00CA2C63">
      <w:pPr>
        <w:spacing w:after="240" w:line="240" w:lineRule="auto"/>
        <w:jc w:val="both"/>
        <w:rPr>
          <w:rFonts w:cs="Times New Roman"/>
          <w:szCs w:val="24"/>
        </w:rPr>
      </w:pPr>
      <w:r w:rsidRPr="00CA2C63">
        <w:rPr>
          <w:rFonts w:cs="Times New Roman"/>
          <w:szCs w:val="24"/>
        </w:rPr>
        <w:t>Theoretical research; absence of textual and/or audio stimuli; studies employing infographics to simplify complex scientific information; indexed or ratio measures of analytical or narrative processing; studies approaching persuasion through broader media and sociological perspectives; biometric measures of persuasion (e.g., heart rate, eye tracking); predicted or estimated outcomes.</w:t>
      </w:r>
    </w:p>
    <w:p w14:paraId="67B86847" w14:textId="77777777" w:rsidR="00CA2C63" w:rsidRPr="00CA2C63" w:rsidRDefault="00CA2C63" w:rsidP="00CA2C63">
      <w:pPr>
        <w:spacing w:after="240" w:line="240" w:lineRule="auto"/>
        <w:jc w:val="both"/>
        <w:rPr>
          <w:rFonts w:cs="Times New Roman"/>
          <w:szCs w:val="24"/>
        </w:rPr>
      </w:pPr>
    </w:p>
    <w:p w14:paraId="46DF83B1" w14:textId="77777777" w:rsidR="00CA2C63" w:rsidRPr="00CA2C63" w:rsidRDefault="00CA2C63" w:rsidP="00CA2C63">
      <w:pPr>
        <w:spacing w:after="240" w:line="240" w:lineRule="auto"/>
        <w:jc w:val="both"/>
        <w:rPr>
          <w:rFonts w:cs="Times New Roman"/>
          <w:sz w:val="22"/>
        </w:rPr>
        <w:sectPr w:rsidR="00CA2C63" w:rsidRPr="00CA2C63" w:rsidSect="00213201">
          <w:headerReference w:type="default" r:id="rId10"/>
          <w:pgSz w:w="12242" w:h="15842" w:code="1"/>
          <w:pgMar w:top="1440" w:right="1440" w:bottom="1440" w:left="1440" w:header="709" w:footer="709" w:gutter="0"/>
          <w:cols w:space="708"/>
          <w:docGrid w:linePitch="360"/>
        </w:sectPr>
      </w:pPr>
    </w:p>
    <w:p w14:paraId="11533EF8" w14:textId="0C84C233" w:rsidR="00944AB9" w:rsidRPr="002D2D8C" w:rsidRDefault="00944AB9" w:rsidP="00944AB9">
      <w:pPr>
        <w:pStyle w:val="Heading2"/>
        <w:jc w:val="center"/>
        <w:rPr>
          <w:rFonts w:eastAsia="Calibri"/>
          <w:lang w:val="en-US"/>
        </w:rPr>
      </w:pPr>
      <w:bookmarkStart w:id="7" w:name="_Toc185425561"/>
      <w:bookmarkEnd w:id="6"/>
      <w:r w:rsidRPr="00F50308">
        <w:rPr>
          <w:rFonts w:eastAsia="Calibri"/>
          <w:lang w:val="en-US"/>
        </w:rPr>
        <w:t xml:space="preserve">Web Appendix </w:t>
      </w:r>
      <w:r>
        <w:rPr>
          <w:rFonts w:eastAsia="Calibri"/>
          <w:lang w:val="en-US"/>
        </w:rPr>
        <w:t>A</w:t>
      </w:r>
      <w:r w:rsidR="00BE76EE">
        <w:rPr>
          <w:rFonts w:eastAsia="Calibri"/>
          <w:lang w:val="en-US"/>
        </w:rPr>
        <w:t>2</w:t>
      </w:r>
      <w:r w:rsidRPr="00F50308">
        <w:rPr>
          <w:rFonts w:eastAsia="Calibri"/>
          <w:lang w:val="en-US"/>
        </w:rPr>
        <w:t xml:space="preserve">. </w:t>
      </w:r>
      <w:r w:rsidR="00AC6BA4">
        <w:rPr>
          <w:rFonts w:eastAsia="Calibri"/>
          <w:lang w:val="en-US"/>
        </w:rPr>
        <w:t>D</w:t>
      </w:r>
      <w:r w:rsidR="00AC6BA4" w:rsidRPr="00AC6BA4">
        <w:rPr>
          <w:rFonts w:eastAsia="Calibri"/>
          <w:lang w:val="en-US"/>
        </w:rPr>
        <w:t>efinitions</w:t>
      </w:r>
      <w:r w:rsidR="00AC6BA4">
        <w:rPr>
          <w:rFonts w:eastAsia="Calibri"/>
          <w:lang w:val="en-US"/>
        </w:rPr>
        <w:t xml:space="preserve"> of</w:t>
      </w:r>
      <w:r w:rsidR="00AC6BA4" w:rsidRPr="00AC6BA4">
        <w:rPr>
          <w:rFonts w:eastAsia="Calibri"/>
          <w:lang w:val="en-US"/>
        </w:rPr>
        <w:t xml:space="preserve"> information process</w:t>
      </w:r>
      <w:r w:rsidR="00CD4BCF">
        <w:rPr>
          <w:rFonts w:eastAsia="Calibri"/>
          <w:lang w:val="en-US"/>
        </w:rPr>
        <w:t>es</w:t>
      </w:r>
      <w:r w:rsidR="00AC6BA4" w:rsidRPr="00AC6BA4">
        <w:rPr>
          <w:rFonts w:eastAsia="Calibri"/>
          <w:lang w:val="en-US"/>
        </w:rPr>
        <w:t xml:space="preserve"> and outcomes</w:t>
      </w:r>
      <w:bookmarkEnd w:id="7"/>
    </w:p>
    <w:tbl>
      <w:tblPr>
        <w:tblStyle w:val="PlainTable211"/>
        <w:tblW w:w="9639" w:type="dxa"/>
        <w:tblLayout w:type="fixed"/>
        <w:tblCellMar>
          <w:top w:w="28" w:type="dxa"/>
          <w:left w:w="28" w:type="dxa"/>
          <w:bottom w:w="28" w:type="dxa"/>
          <w:right w:w="28" w:type="dxa"/>
        </w:tblCellMar>
        <w:tblLook w:val="06A0" w:firstRow="1" w:lastRow="0" w:firstColumn="1" w:lastColumn="0" w:noHBand="1" w:noVBand="1"/>
      </w:tblPr>
      <w:tblGrid>
        <w:gridCol w:w="1710"/>
        <w:gridCol w:w="3110"/>
        <w:gridCol w:w="2638"/>
        <w:gridCol w:w="55"/>
        <w:gridCol w:w="2055"/>
        <w:gridCol w:w="71"/>
      </w:tblGrid>
      <w:tr w:rsidR="00CD4BCF" w:rsidRPr="00EB3C05" w14:paraId="17818B61" w14:textId="77777777" w:rsidTr="00CD4B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top w:val="single" w:sz="4" w:space="0" w:color="auto"/>
              <w:left w:val="nil"/>
              <w:bottom w:val="single" w:sz="4" w:space="0" w:color="auto"/>
              <w:right w:val="nil"/>
            </w:tcBorders>
            <w:hideMark/>
          </w:tcPr>
          <w:p w14:paraId="722C6A4A"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Constructs</w:t>
            </w:r>
          </w:p>
        </w:tc>
        <w:tc>
          <w:tcPr>
            <w:tcW w:w="3110" w:type="dxa"/>
            <w:tcBorders>
              <w:top w:val="single" w:sz="4" w:space="0" w:color="auto"/>
              <w:left w:val="nil"/>
              <w:bottom w:val="single" w:sz="4" w:space="0" w:color="auto"/>
              <w:right w:val="nil"/>
            </w:tcBorders>
            <w:hideMark/>
          </w:tcPr>
          <w:p w14:paraId="2CF6871B" w14:textId="77777777" w:rsidR="00CD4BCF" w:rsidRPr="00EB3C05" w:rsidRDefault="00CD4BCF" w:rsidP="000042B8">
            <w:pPr>
              <w:spacing w:line="240" w:lineRule="auto"/>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Definition</w:t>
            </w:r>
          </w:p>
        </w:tc>
        <w:tc>
          <w:tcPr>
            <w:tcW w:w="2693" w:type="dxa"/>
            <w:gridSpan w:val="2"/>
            <w:tcBorders>
              <w:top w:val="single" w:sz="4" w:space="0" w:color="auto"/>
              <w:left w:val="nil"/>
              <w:bottom w:val="single" w:sz="4" w:space="0" w:color="auto"/>
              <w:right w:val="nil"/>
            </w:tcBorders>
            <w:hideMark/>
          </w:tcPr>
          <w:p w14:paraId="08A9D1C8" w14:textId="40CF0CEB" w:rsidR="00CD4BCF" w:rsidRPr="00EB3C05" w:rsidRDefault="00491165" w:rsidP="000042B8">
            <w:pPr>
              <w:spacing w:line="240" w:lineRule="auto"/>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val="en-US"/>
              </w:rPr>
            </w:pPr>
            <w:r>
              <w:rPr>
                <w:rFonts w:eastAsia="Calibri" w:cs="Times New Roman"/>
                <w:sz w:val="20"/>
                <w:szCs w:val="20"/>
                <w:lang w:val="en-US"/>
              </w:rPr>
              <w:t>Synonyms</w:t>
            </w:r>
          </w:p>
        </w:tc>
        <w:tc>
          <w:tcPr>
            <w:tcW w:w="2126" w:type="dxa"/>
            <w:gridSpan w:val="2"/>
            <w:tcBorders>
              <w:top w:val="single" w:sz="4" w:space="0" w:color="auto"/>
              <w:left w:val="nil"/>
              <w:bottom w:val="single" w:sz="4" w:space="0" w:color="auto"/>
              <w:right w:val="nil"/>
            </w:tcBorders>
            <w:hideMark/>
          </w:tcPr>
          <w:p w14:paraId="75E19741" w14:textId="77777777" w:rsidR="00CD4BCF" w:rsidRPr="00EB3C05" w:rsidRDefault="00CD4BCF" w:rsidP="000042B8">
            <w:pPr>
              <w:spacing w:line="240" w:lineRule="auto"/>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Representative Articles</w:t>
            </w:r>
          </w:p>
        </w:tc>
      </w:tr>
      <w:tr w:rsidR="00CD4BCF" w:rsidRPr="00EB3C05" w14:paraId="54177906" w14:textId="77777777" w:rsidTr="00CD4BCF">
        <w:tc>
          <w:tcPr>
            <w:cnfStyle w:val="001000000000" w:firstRow="0" w:lastRow="0" w:firstColumn="1" w:lastColumn="0" w:oddVBand="0" w:evenVBand="0" w:oddHBand="0" w:evenHBand="0" w:firstRowFirstColumn="0" w:firstRowLastColumn="0" w:lastRowFirstColumn="0" w:lastRowLastColumn="0"/>
            <w:tcW w:w="9639" w:type="dxa"/>
            <w:gridSpan w:val="6"/>
            <w:tcBorders>
              <w:top w:val="single" w:sz="4" w:space="0" w:color="auto"/>
              <w:left w:val="nil"/>
              <w:bottom w:val="nil"/>
              <w:right w:val="nil"/>
            </w:tcBorders>
            <w:hideMark/>
          </w:tcPr>
          <w:p w14:paraId="5FCCD410" w14:textId="77777777" w:rsidR="00CD4BCF" w:rsidRPr="00EB3C05" w:rsidRDefault="00CD4BCF" w:rsidP="000042B8">
            <w:pPr>
              <w:spacing w:line="240" w:lineRule="auto"/>
              <w:rPr>
                <w:rFonts w:eastAsia="Calibri" w:cs="Times New Roman"/>
                <w:i/>
                <w:iCs/>
                <w:sz w:val="20"/>
                <w:szCs w:val="20"/>
                <w:lang w:val="en-US"/>
              </w:rPr>
            </w:pPr>
            <w:r w:rsidRPr="00EB3C05">
              <w:rPr>
                <w:rFonts w:eastAsia="Calibri" w:cs="Times New Roman"/>
                <w:i/>
                <w:iCs/>
                <w:sz w:val="20"/>
                <w:szCs w:val="20"/>
                <w:lang w:val="en-US"/>
              </w:rPr>
              <w:t>Information Processes</w:t>
            </w:r>
          </w:p>
        </w:tc>
      </w:tr>
      <w:tr w:rsidR="00CD4BCF" w:rsidRPr="00EB3C05" w14:paraId="45BDF6E2" w14:textId="77777777" w:rsidTr="00CD4BCF">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nil"/>
              <w:right w:val="nil"/>
            </w:tcBorders>
            <w:hideMark/>
          </w:tcPr>
          <w:p w14:paraId="238AB013"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Analytical processing</w:t>
            </w:r>
          </w:p>
        </w:tc>
        <w:tc>
          <w:tcPr>
            <w:tcW w:w="3110" w:type="dxa"/>
            <w:tcBorders>
              <w:top w:val="nil"/>
              <w:left w:val="nil"/>
              <w:bottom w:val="nil"/>
              <w:right w:val="nil"/>
            </w:tcBorders>
            <w:hideMark/>
          </w:tcPr>
          <w:p w14:paraId="1A919B07" w14:textId="0BE7267E" w:rsidR="00CD4BCF" w:rsidRPr="00CD4BCF" w:rsidRDefault="00A35ABE"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highlight w:val="cyan"/>
                <w:lang w:val="en-US"/>
              </w:rPr>
            </w:pPr>
            <w:r>
              <w:rPr>
                <w:rFonts w:eastAsia="Calibri" w:cs="Times New Roman"/>
                <w:sz w:val="20"/>
                <w:szCs w:val="20"/>
                <w:lang w:val="en-US"/>
              </w:rPr>
              <w:t>R</w:t>
            </w:r>
            <w:r w:rsidRPr="00A35ABE">
              <w:rPr>
                <w:rFonts w:eastAsia="Calibri" w:cs="Times New Roman"/>
                <w:sz w:val="20"/>
                <w:szCs w:val="20"/>
                <w:lang w:val="en-US"/>
              </w:rPr>
              <w:t>ational assessments and both heuristic and systematic message elaboration</w:t>
            </w:r>
          </w:p>
        </w:tc>
        <w:tc>
          <w:tcPr>
            <w:tcW w:w="2693" w:type="dxa"/>
            <w:gridSpan w:val="2"/>
            <w:tcBorders>
              <w:top w:val="nil"/>
              <w:left w:val="nil"/>
              <w:bottom w:val="nil"/>
              <w:right w:val="nil"/>
            </w:tcBorders>
            <w:hideMark/>
          </w:tcPr>
          <w:p w14:paraId="5EF51204"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Critical thoughts, cognitive elaboration, self-reported effort, support arguments, counterarguing</w:t>
            </w:r>
          </w:p>
        </w:tc>
        <w:tc>
          <w:tcPr>
            <w:tcW w:w="2126" w:type="dxa"/>
            <w:gridSpan w:val="2"/>
            <w:tcBorders>
              <w:top w:val="nil"/>
              <w:left w:val="nil"/>
              <w:bottom w:val="nil"/>
              <w:right w:val="nil"/>
            </w:tcBorders>
            <w:hideMark/>
          </w:tcPr>
          <w:p w14:paraId="7AC0FF50"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Putrevu, 2014; Sela, Wheeler &amp; Sarial-Abi, 2012; Sujan, 1985</w:t>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ExcludeAuth="1" ExcludeYear="1" Hidden="1"&gt;&lt;Author&gt;Sujan&lt;/Author&gt;&lt;Year&gt;1985&lt;/Year&gt;&lt;RecNum&gt;319&lt;/RecNum&gt;&lt;record&gt;&lt;rec-number&gt;319&lt;/rec-number&gt;&lt;foreign-keys&gt;&lt;key app="EN" db-id="0rzaat02o5w5f1ert22x2rwm5asesf9exzf5" timestamp="1614260688"&gt;319&lt;/key&gt;&lt;/foreign-keys&gt;&lt;ref-type name="Journal Article"&gt;17&lt;/ref-type&gt;&lt;contributors&gt;&lt;authors&gt;&lt;author&gt;Sujan, Mita&lt;/author&gt;&lt;/authors&gt;&lt;/contributors&gt;&lt;titles&gt;&lt;title&gt;Consumer knowledge: Effects on evaluation strategies mediating consumer judgments&lt;/title&gt;&lt;secondary-title&gt;Journal of Consumer Research&lt;/secondary-title&gt;&lt;/titles&gt;&lt;periodical&gt;&lt;full-title&gt;Journal of Consumer Research&lt;/full-title&gt;&lt;/periodical&gt;&lt;pages&gt;31-46&lt;/pages&gt;&lt;volume&gt;12&lt;/volume&gt;&lt;number&gt;1&lt;/number&gt;&lt;dates&gt;&lt;year&gt;1985&lt;/year&gt;&lt;/dates&gt;&lt;isbn&gt;1537-5277&lt;/isbn&gt;&lt;urls&gt;&lt;/urls&gt;&lt;/record&gt;&lt;/Cite&gt;&lt;/EndNote&gt;</w:instrText>
            </w:r>
            <w:r w:rsidRPr="00EB3C05">
              <w:rPr>
                <w:rFonts w:eastAsia="Calibri" w:cs="Times New Roman"/>
                <w:sz w:val="20"/>
                <w:szCs w:val="20"/>
                <w:lang w:val="en-US"/>
              </w:rPr>
              <w:fldChar w:fldCharType="end"/>
            </w:r>
          </w:p>
        </w:tc>
      </w:tr>
      <w:tr w:rsidR="00CD4BCF" w:rsidRPr="00EB3C05" w14:paraId="5C0E6876" w14:textId="77777777" w:rsidTr="00CD4BCF">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nil"/>
              <w:right w:val="nil"/>
            </w:tcBorders>
            <w:hideMark/>
          </w:tcPr>
          <w:p w14:paraId="23B51B6A"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 xml:space="preserve">Narrative </w:t>
            </w:r>
          </w:p>
          <w:p w14:paraId="75E966C7"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processing</w:t>
            </w:r>
          </w:p>
        </w:tc>
        <w:tc>
          <w:tcPr>
            <w:tcW w:w="3110" w:type="dxa"/>
            <w:tcBorders>
              <w:top w:val="nil"/>
              <w:left w:val="nil"/>
              <w:bottom w:val="nil"/>
              <w:right w:val="nil"/>
            </w:tcBorders>
            <w:hideMark/>
          </w:tcPr>
          <w:p w14:paraId="1618E61E" w14:textId="08C253A1" w:rsidR="00CD4BCF" w:rsidRPr="00CD4BCF" w:rsidRDefault="00A35ABE"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highlight w:val="cyan"/>
                <w:lang w:val="en-US"/>
              </w:rPr>
            </w:pPr>
            <w:r>
              <w:rPr>
                <w:rFonts w:eastAsia="Calibri" w:cs="Times New Roman"/>
                <w:sz w:val="20"/>
                <w:szCs w:val="20"/>
                <w:lang w:val="en-US"/>
              </w:rPr>
              <w:t>T</w:t>
            </w:r>
            <w:r w:rsidRPr="00A35ABE">
              <w:rPr>
                <w:rFonts w:eastAsia="Calibri" w:cs="Times New Roman"/>
                <w:sz w:val="20"/>
                <w:szCs w:val="20"/>
                <w:lang w:val="en-US"/>
              </w:rPr>
              <w:t>ransportation into stories to foster emotional connections and identification with the characters and plot</w:t>
            </w:r>
          </w:p>
        </w:tc>
        <w:tc>
          <w:tcPr>
            <w:tcW w:w="2693" w:type="dxa"/>
            <w:gridSpan w:val="2"/>
            <w:tcBorders>
              <w:top w:val="nil"/>
              <w:left w:val="nil"/>
              <w:bottom w:val="nil"/>
              <w:right w:val="nil"/>
            </w:tcBorders>
            <w:hideMark/>
          </w:tcPr>
          <w:p w14:paraId="5440D042"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Narrative transportation, narrative engagement, narrative thoughts, being hooked</w:t>
            </w:r>
          </w:p>
        </w:tc>
        <w:tc>
          <w:tcPr>
            <w:tcW w:w="2126" w:type="dxa"/>
            <w:gridSpan w:val="2"/>
            <w:tcBorders>
              <w:top w:val="nil"/>
              <w:left w:val="nil"/>
              <w:bottom w:val="nil"/>
              <w:right w:val="nil"/>
            </w:tcBorders>
            <w:hideMark/>
          </w:tcPr>
          <w:p w14:paraId="55825921"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Escalas, 2004</w:t>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ExcludeAuth="1" ExcludeYear="1" Hidden="1"&gt;&lt;Author&gt;Escalas&lt;/Author&gt;&lt;Year&gt;2004&lt;/Year&gt;&lt;RecNum&gt;218&lt;/RecNum&gt;&lt;record&gt;&lt;rec-number&gt;218&lt;/rec-number&gt;&lt;foreign-keys&gt;&lt;key app="EN" db-id="0rzaat02o5w5f1ert22x2rwm5asesf9exzf5" timestamp="1614255667"&gt;218&lt;/key&gt;&lt;/foreign-keys&gt;&lt;ref-type name="Journal Article"&gt;17&lt;/ref-type&gt;&lt;contributors&gt;&lt;authors&gt;&lt;author&gt;Escalas, Jennifer E.&lt;/author&gt;&lt;/authors&gt;&lt;/contributors&gt;&lt;titles&gt;&lt;title&gt;Imagine yourself in the product: Mental simulation, narrative transportation, and persuasion&lt;/title&gt;&lt;secondary-title&gt;Journal of Advertising&lt;/secondary-title&gt;&lt;/titles&gt;&lt;periodical&gt;&lt;full-title&gt;Journal of Advertising&lt;/full-title&gt;&lt;/periodical&gt;&lt;pages&gt;37-48&lt;/pages&gt;&lt;volume&gt;33&lt;/volume&gt;&lt;number&gt;2&lt;/number&gt;&lt;dates&gt;&lt;year&gt;2004&lt;/year&gt;&lt;/dates&gt;&lt;isbn&gt;0091-3367&lt;/isbn&gt;&lt;urls&gt;&lt;/urls&gt;&lt;/record&gt;&lt;/Cite&gt;&lt;/EndNote&gt;</w:instrText>
            </w:r>
            <w:r w:rsidRPr="00EB3C05">
              <w:rPr>
                <w:rFonts w:eastAsia="Calibri" w:cs="Times New Roman"/>
                <w:sz w:val="20"/>
                <w:szCs w:val="20"/>
                <w:lang w:val="en-US"/>
              </w:rPr>
              <w:fldChar w:fldCharType="end"/>
            </w:r>
          </w:p>
        </w:tc>
      </w:tr>
      <w:tr w:rsidR="00CD4BCF" w:rsidRPr="00EB3C05" w14:paraId="7E3FFDAD" w14:textId="77777777" w:rsidTr="00CD4BCF">
        <w:trPr>
          <w:gridAfter w:val="1"/>
          <w:wAfter w:w="71" w:type="dxa"/>
        </w:trPr>
        <w:tc>
          <w:tcPr>
            <w:cnfStyle w:val="001000000000" w:firstRow="0" w:lastRow="0" w:firstColumn="1" w:lastColumn="0" w:oddVBand="0" w:evenVBand="0" w:oddHBand="0" w:evenHBand="0" w:firstRowFirstColumn="0" w:firstRowLastColumn="0" w:lastRowFirstColumn="0" w:lastRowLastColumn="0"/>
            <w:tcW w:w="9568" w:type="dxa"/>
            <w:gridSpan w:val="5"/>
            <w:tcBorders>
              <w:top w:val="nil"/>
              <w:left w:val="nil"/>
              <w:bottom w:val="nil"/>
              <w:right w:val="nil"/>
            </w:tcBorders>
            <w:hideMark/>
          </w:tcPr>
          <w:p w14:paraId="14239608" w14:textId="77777777" w:rsidR="00CD4BCF" w:rsidRPr="00EB3C05" w:rsidRDefault="00CD4BCF" w:rsidP="000042B8">
            <w:pPr>
              <w:spacing w:line="240" w:lineRule="auto"/>
              <w:rPr>
                <w:rFonts w:eastAsia="Calibri" w:cs="Times New Roman"/>
                <w:i/>
                <w:iCs/>
                <w:sz w:val="20"/>
                <w:szCs w:val="20"/>
                <w:lang w:val="en-US"/>
              </w:rPr>
            </w:pPr>
            <w:r w:rsidRPr="00EB3C05">
              <w:rPr>
                <w:rFonts w:eastAsia="Calibri" w:cs="Times New Roman"/>
                <w:i/>
                <w:iCs/>
                <w:sz w:val="20"/>
                <w:szCs w:val="20"/>
                <w:lang w:val="en-US"/>
              </w:rPr>
              <w:t>Outcomes</w:t>
            </w:r>
          </w:p>
        </w:tc>
      </w:tr>
      <w:tr w:rsidR="00CD4BCF" w:rsidRPr="00EB3C05" w14:paraId="0A6F0FA6" w14:textId="77777777" w:rsidTr="00CD4BCF">
        <w:trPr>
          <w:gridAfter w:val="1"/>
          <w:wAfter w:w="71" w:type="dxa"/>
        </w:trPr>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nil"/>
              <w:right w:val="nil"/>
            </w:tcBorders>
            <w:hideMark/>
          </w:tcPr>
          <w:p w14:paraId="3BA760CF" w14:textId="77777777" w:rsidR="00CD4BCF" w:rsidRDefault="00CD4BCF" w:rsidP="000042B8">
            <w:pPr>
              <w:spacing w:line="240" w:lineRule="auto"/>
              <w:rPr>
                <w:rFonts w:eastAsia="Calibri" w:cs="Times New Roman"/>
                <w:b w:val="0"/>
                <w:bCs w:val="0"/>
                <w:sz w:val="20"/>
                <w:szCs w:val="20"/>
                <w:lang w:val="en-US"/>
              </w:rPr>
            </w:pPr>
            <w:r w:rsidRPr="00EB3C05">
              <w:rPr>
                <w:rFonts w:eastAsia="Calibri" w:cs="Times New Roman"/>
                <w:sz w:val="20"/>
                <w:szCs w:val="20"/>
                <w:lang w:val="en-US"/>
              </w:rPr>
              <w:t xml:space="preserve">Affective </w:t>
            </w:r>
          </w:p>
          <w:p w14:paraId="77F3D4EC" w14:textId="73E88E48"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response</w:t>
            </w:r>
          </w:p>
        </w:tc>
        <w:tc>
          <w:tcPr>
            <w:tcW w:w="3110" w:type="dxa"/>
            <w:tcBorders>
              <w:top w:val="nil"/>
              <w:left w:val="nil"/>
              <w:bottom w:val="nil"/>
              <w:right w:val="nil"/>
            </w:tcBorders>
            <w:hideMark/>
          </w:tcPr>
          <w:p w14:paraId="603C6455" w14:textId="77777777" w:rsidR="00CD4BCF" w:rsidRPr="00EB3C05" w:rsidRDefault="00CD4BCF" w:rsidP="000042B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Customer’s internal feeling state</w:t>
            </w:r>
          </w:p>
        </w:tc>
        <w:tc>
          <w:tcPr>
            <w:tcW w:w="2638" w:type="dxa"/>
            <w:tcBorders>
              <w:top w:val="nil"/>
              <w:left w:val="nil"/>
              <w:bottom w:val="nil"/>
              <w:right w:val="nil"/>
            </w:tcBorders>
            <w:hideMark/>
          </w:tcPr>
          <w:p w14:paraId="07E201CD"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Emotion-oriented reactions, upbeat feelings scale</w:t>
            </w:r>
          </w:p>
        </w:tc>
        <w:tc>
          <w:tcPr>
            <w:tcW w:w="2110" w:type="dxa"/>
            <w:gridSpan w:val="2"/>
            <w:tcBorders>
              <w:top w:val="nil"/>
              <w:left w:val="nil"/>
              <w:bottom w:val="nil"/>
              <w:right w:val="nil"/>
            </w:tcBorders>
            <w:hideMark/>
          </w:tcPr>
          <w:p w14:paraId="046BBEB0"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Escalas, 2004</w:t>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ExcludeAuth="1" ExcludeYear="1" Hidden="1"&gt;&lt;Author&gt;Escalas&lt;/Author&gt;&lt;Year&gt;2004&lt;/Year&gt;&lt;RecNum&gt;218&lt;/RecNum&gt;&lt;record&gt;&lt;rec-number&gt;218&lt;/rec-number&gt;&lt;foreign-keys&gt;&lt;key app="EN" db-id="0rzaat02o5w5f1ert22x2rwm5asesf9exzf5" timestamp="1614255667"&gt;218&lt;/key&gt;&lt;/foreign-keys&gt;&lt;ref-type name="Journal Article"&gt;17&lt;/ref-type&gt;&lt;contributors&gt;&lt;authors&gt;&lt;author&gt;Escalas, Jennifer E.&lt;/author&gt;&lt;/authors&gt;&lt;/contributors&gt;&lt;titles&gt;&lt;title&gt;Imagine yourself in the product: Mental simulation, narrative transportation, and persuasion&lt;/title&gt;&lt;secondary-title&gt;Journal of Advertising&lt;/secondary-title&gt;&lt;/titles&gt;&lt;periodical&gt;&lt;full-title&gt;Journal of Advertising&lt;/full-title&gt;&lt;/periodical&gt;&lt;pages&gt;37-48&lt;/pages&gt;&lt;volume&gt;33&lt;/volume&gt;&lt;number&gt;2&lt;/number&gt;&lt;dates&gt;&lt;year&gt;2004&lt;/year&gt;&lt;/dates&gt;&lt;isbn&gt;0091-3367&lt;/isbn&gt;&lt;urls&gt;&lt;/urls&gt;&lt;/record&gt;&lt;/Cite&gt;&lt;/EndNote&gt;</w:instrText>
            </w:r>
            <w:r w:rsidRPr="00EB3C05">
              <w:rPr>
                <w:rFonts w:eastAsia="Calibri" w:cs="Times New Roman"/>
                <w:sz w:val="20"/>
                <w:szCs w:val="20"/>
                <w:lang w:val="en-US"/>
              </w:rPr>
              <w:fldChar w:fldCharType="end"/>
            </w:r>
          </w:p>
        </w:tc>
      </w:tr>
      <w:tr w:rsidR="00CD4BCF" w:rsidRPr="00EB3C05" w14:paraId="556B9CD6" w14:textId="77777777" w:rsidTr="00CD4BCF">
        <w:trPr>
          <w:gridAfter w:val="1"/>
          <w:wAfter w:w="71" w:type="dxa"/>
        </w:trPr>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nil"/>
              <w:right w:val="nil"/>
            </w:tcBorders>
            <w:hideMark/>
          </w:tcPr>
          <w:p w14:paraId="04B07C54" w14:textId="77777777" w:rsidR="00CD4BCF" w:rsidRDefault="00CD4BCF" w:rsidP="000042B8">
            <w:pPr>
              <w:spacing w:line="240" w:lineRule="auto"/>
              <w:rPr>
                <w:rFonts w:eastAsia="Calibri" w:cs="Times New Roman"/>
                <w:b w:val="0"/>
                <w:bCs w:val="0"/>
                <w:sz w:val="20"/>
                <w:szCs w:val="20"/>
                <w:lang w:val="en-US"/>
              </w:rPr>
            </w:pPr>
            <w:r w:rsidRPr="00EB3C05">
              <w:rPr>
                <w:rFonts w:eastAsia="Calibri" w:cs="Times New Roman"/>
                <w:sz w:val="20"/>
                <w:szCs w:val="20"/>
                <w:lang w:val="en-US"/>
              </w:rPr>
              <w:t>Cognitive</w:t>
            </w:r>
          </w:p>
          <w:p w14:paraId="61B81491" w14:textId="1F39BA65"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 xml:space="preserve"> response</w:t>
            </w:r>
          </w:p>
        </w:tc>
        <w:tc>
          <w:tcPr>
            <w:tcW w:w="3110" w:type="dxa"/>
            <w:tcBorders>
              <w:top w:val="nil"/>
              <w:left w:val="nil"/>
              <w:bottom w:val="nil"/>
              <w:right w:val="nil"/>
            </w:tcBorders>
            <w:hideMark/>
          </w:tcPr>
          <w:p w14:paraId="6DF9E088"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Customer’s evaluative response to attitude-relevant information</w:t>
            </w:r>
          </w:p>
        </w:tc>
        <w:tc>
          <w:tcPr>
            <w:tcW w:w="2638" w:type="dxa"/>
            <w:tcBorders>
              <w:top w:val="nil"/>
              <w:left w:val="nil"/>
              <w:bottom w:val="nil"/>
              <w:right w:val="nil"/>
            </w:tcBorders>
            <w:hideMark/>
          </w:tcPr>
          <w:p w14:paraId="2627A3CA"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Cognitions, beliefs</w:t>
            </w:r>
          </w:p>
        </w:tc>
        <w:tc>
          <w:tcPr>
            <w:tcW w:w="2110" w:type="dxa"/>
            <w:gridSpan w:val="2"/>
            <w:tcBorders>
              <w:top w:val="nil"/>
              <w:left w:val="nil"/>
              <w:bottom w:val="nil"/>
              <w:right w:val="nil"/>
            </w:tcBorders>
            <w:hideMark/>
          </w:tcPr>
          <w:p w14:paraId="59C342E4"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Kim et al., 2012</w:t>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ExcludeAuth="1" ExcludeYear="1" Hidden="1"&gt;&lt;Author&gt;Kim&lt;/Author&gt;&lt;Year&gt;2012&lt;/Year&gt;&lt;RecNum&gt;251&lt;/RecNum&gt;&lt;record&gt;&lt;rec-number&gt;251&lt;/rec-number&gt;&lt;foreign-keys&gt;&lt;key app="EN" db-id="0rzaat02o5w5f1ert22x2rwm5asesf9exzf5" timestamp="1614257648"&gt;251&lt;/key&gt;&lt;/foreign-keys&gt;&lt;ref-type name="Journal Article"&gt;17&lt;/ref-type&gt;&lt;contributors&gt;&lt;authors&gt;&lt;author&gt;Kim, Jooyoung&lt;/author&gt;&lt;author&gt;Baek, Youngshim&lt;/author&gt;&lt;author&gt;Choi, Yang H.&lt;/author&gt;&lt;/authors&gt;&lt;/contributors&gt;&lt;titles&gt;&lt;title&gt;The structural effects of metaphor-elicited cognitive and affective elaboration levels on attitude toward the ad&lt;/title&gt;&lt;secondary-title&gt;Journal of Advertising&lt;/secondary-title&gt;&lt;/titles&gt;&lt;periodical&gt;&lt;full-title&gt;Journal of Advertising&lt;/full-title&gt;&lt;/periodical&gt;&lt;pages&gt;77-96&lt;/pages&gt;&lt;volume&gt;41&lt;/volume&gt;&lt;number&gt;2&lt;/number&gt;&lt;dates&gt;&lt;year&gt;2012&lt;/year&gt;&lt;/dates&gt;&lt;isbn&gt;0091-3367&lt;/isbn&gt;&lt;urls&gt;&lt;/urls&gt;&lt;/record&gt;&lt;/Cite&gt;&lt;/EndNote&gt;</w:instrText>
            </w:r>
            <w:r w:rsidRPr="00EB3C05">
              <w:rPr>
                <w:rFonts w:eastAsia="Calibri" w:cs="Times New Roman"/>
                <w:sz w:val="20"/>
                <w:szCs w:val="20"/>
                <w:lang w:val="en-US"/>
              </w:rPr>
              <w:fldChar w:fldCharType="end"/>
            </w:r>
          </w:p>
        </w:tc>
      </w:tr>
      <w:tr w:rsidR="00CD4BCF" w:rsidRPr="00EB3C05" w14:paraId="05D57E70" w14:textId="77777777" w:rsidTr="00CD4BCF">
        <w:trPr>
          <w:gridAfter w:val="1"/>
          <w:wAfter w:w="71" w:type="dxa"/>
        </w:trPr>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nil"/>
              <w:right w:val="nil"/>
            </w:tcBorders>
            <w:hideMark/>
          </w:tcPr>
          <w:p w14:paraId="1C6C9E67"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Recall</w:t>
            </w:r>
          </w:p>
        </w:tc>
        <w:tc>
          <w:tcPr>
            <w:tcW w:w="3110" w:type="dxa"/>
            <w:tcBorders>
              <w:top w:val="nil"/>
              <w:left w:val="nil"/>
              <w:bottom w:val="nil"/>
              <w:right w:val="nil"/>
            </w:tcBorders>
            <w:hideMark/>
          </w:tcPr>
          <w:p w14:paraId="0E059509"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Customer’s mental reproduction of a target item experienced or learned earlier</w:t>
            </w:r>
          </w:p>
        </w:tc>
        <w:tc>
          <w:tcPr>
            <w:tcW w:w="2638" w:type="dxa"/>
            <w:tcBorders>
              <w:top w:val="nil"/>
              <w:left w:val="nil"/>
              <w:bottom w:val="nil"/>
              <w:right w:val="nil"/>
            </w:tcBorders>
            <w:hideMark/>
          </w:tcPr>
          <w:p w14:paraId="073335EB"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(Un)aided recall</w:t>
            </w:r>
          </w:p>
        </w:tc>
        <w:tc>
          <w:tcPr>
            <w:tcW w:w="2110" w:type="dxa"/>
            <w:gridSpan w:val="2"/>
            <w:tcBorders>
              <w:top w:val="nil"/>
              <w:left w:val="nil"/>
              <w:bottom w:val="nil"/>
              <w:right w:val="nil"/>
            </w:tcBorders>
          </w:tcPr>
          <w:p w14:paraId="52A81BF6"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Maheswaran &amp; Meyers-Levy 1990</w:t>
            </w:r>
          </w:p>
        </w:tc>
      </w:tr>
      <w:tr w:rsidR="00CD4BCF" w:rsidRPr="00EB3C05" w14:paraId="485240D8" w14:textId="77777777" w:rsidTr="00CD4BCF">
        <w:trPr>
          <w:gridAfter w:val="1"/>
          <w:wAfter w:w="71" w:type="dxa"/>
        </w:trPr>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nil"/>
              <w:right w:val="nil"/>
            </w:tcBorders>
            <w:hideMark/>
          </w:tcPr>
          <w:p w14:paraId="6A6033DA"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Attitude</w:t>
            </w:r>
          </w:p>
        </w:tc>
        <w:tc>
          <w:tcPr>
            <w:tcW w:w="3110" w:type="dxa"/>
            <w:tcBorders>
              <w:top w:val="nil"/>
              <w:left w:val="nil"/>
              <w:bottom w:val="nil"/>
              <w:right w:val="nil"/>
            </w:tcBorders>
            <w:hideMark/>
          </w:tcPr>
          <w:p w14:paraId="07B20FA2" w14:textId="0543C47E"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Customer’s emotions or beliefs toward a particular object, person, or event</w:t>
            </w:r>
          </w:p>
        </w:tc>
        <w:tc>
          <w:tcPr>
            <w:tcW w:w="2638" w:type="dxa"/>
            <w:tcBorders>
              <w:top w:val="nil"/>
              <w:left w:val="nil"/>
              <w:bottom w:val="nil"/>
              <w:right w:val="nil"/>
            </w:tcBorders>
            <w:hideMark/>
          </w:tcPr>
          <w:p w14:paraId="550E80BC"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Evaluations, opinions</w:t>
            </w:r>
          </w:p>
        </w:tc>
        <w:tc>
          <w:tcPr>
            <w:tcW w:w="2110" w:type="dxa"/>
            <w:gridSpan w:val="2"/>
            <w:tcBorders>
              <w:top w:val="nil"/>
              <w:left w:val="nil"/>
              <w:bottom w:val="nil"/>
              <w:right w:val="nil"/>
            </w:tcBorders>
            <w:hideMark/>
          </w:tcPr>
          <w:p w14:paraId="286D7FB2"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Chen, Kim, &amp; Lin, 2015</w:t>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Hidden="1"&gt;&lt;Author&gt;Chen&lt;/Author&gt;&lt;Year&gt;2015&lt;/Year&gt;&lt;RecNum&gt;345&lt;/RecNum&gt;&lt;record&gt;&lt;rec-number&gt;345&lt;/rec-number&gt;&lt;foreign-keys&gt;&lt;key app="EN" db-id="0rzaat02o5w5f1ert22x2rwm5asesf9exzf5" timestamp="1614263617"&gt;345&lt;/key&gt;&lt;/foreign-keys&gt;&lt;ref-type name="Journal Article"&gt;17&lt;/ref-type&gt;&lt;contributors&gt;&lt;authors&gt;&lt;author&gt;Chen, Kuan‐Ju&lt;/author&gt;&lt;author&gt;Kim, Jooyoung&lt;/author&gt;&lt;author&gt;Lin, Jhih‐Syuan&lt;/author&gt;&lt;/authors&gt;&lt;/contributors&gt;&lt;titles&gt;&lt;title&gt;The effects of affective and cognitive elaborations from Facebook posts on consumer attitude formation&lt;/title&gt;&lt;secondary-title&gt;Journal of Consumer Behaviour&lt;/secondary-title&gt;&lt;/titles&gt;&lt;periodical&gt;&lt;full-title&gt;Journal of Consumer Behaviour&lt;/full-title&gt;&lt;/periodical&gt;&lt;pages&gt;208-218&lt;/pages&gt;&lt;volume&gt;14&lt;/volume&gt;&lt;number&gt;3&lt;/number&gt;&lt;dates&gt;&lt;year&gt;2015&lt;/year&gt;&lt;/dates&gt;&lt;isbn&gt;1472-0817&lt;/isbn&gt;&lt;urls&gt;&lt;/urls&gt;&lt;/record&gt;&lt;/Cite&gt;&lt;/EndNote&gt;</w:instrText>
            </w:r>
            <w:r w:rsidRPr="00EB3C05">
              <w:rPr>
                <w:rFonts w:eastAsia="Calibri" w:cs="Times New Roman"/>
                <w:sz w:val="20"/>
                <w:szCs w:val="20"/>
                <w:lang w:val="en-US"/>
              </w:rPr>
              <w:fldChar w:fldCharType="end"/>
            </w:r>
          </w:p>
          <w:p w14:paraId="0BC88983"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tc>
      </w:tr>
      <w:tr w:rsidR="00CD4BCF" w:rsidRPr="00EB3C05" w14:paraId="7E6E54EB" w14:textId="77777777" w:rsidTr="00CD4BCF">
        <w:trPr>
          <w:gridAfter w:val="1"/>
          <w:wAfter w:w="71" w:type="dxa"/>
        </w:trPr>
        <w:tc>
          <w:tcPr>
            <w:cnfStyle w:val="001000000000" w:firstRow="0" w:lastRow="0" w:firstColumn="1" w:lastColumn="0" w:oddVBand="0" w:evenVBand="0" w:oddHBand="0" w:evenHBand="0" w:firstRowFirstColumn="0" w:firstRowLastColumn="0" w:lastRowFirstColumn="0" w:lastRowLastColumn="0"/>
            <w:tcW w:w="1710" w:type="dxa"/>
            <w:tcBorders>
              <w:top w:val="nil"/>
              <w:left w:val="nil"/>
              <w:bottom w:val="single" w:sz="4" w:space="0" w:color="auto"/>
              <w:right w:val="nil"/>
            </w:tcBorders>
            <w:hideMark/>
          </w:tcPr>
          <w:p w14:paraId="168E8C8B" w14:textId="77777777" w:rsidR="00CD4BCF" w:rsidRPr="00EB3C05" w:rsidRDefault="00CD4BCF" w:rsidP="000042B8">
            <w:pPr>
              <w:spacing w:line="240" w:lineRule="auto"/>
              <w:rPr>
                <w:rFonts w:eastAsia="Calibri" w:cs="Times New Roman"/>
                <w:sz w:val="20"/>
                <w:szCs w:val="20"/>
                <w:lang w:val="en-US"/>
              </w:rPr>
            </w:pPr>
            <w:r w:rsidRPr="00EB3C05">
              <w:rPr>
                <w:rFonts w:eastAsia="Calibri" w:cs="Times New Roman"/>
                <w:sz w:val="20"/>
                <w:szCs w:val="20"/>
                <w:lang w:val="en-US"/>
              </w:rPr>
              <w:t>Intentions and Behavior</w:t>
            </w:r>
          </w:p>
        </w:tc>
        <w:tc>
          <w:tcPr>
            <w:tcW w:w="3110" w:type="dxa"/>
            <w:tcBorders>
              <w:top w:val="nil"/>
              <w:left w:val="nil"/>
              <w:bottom w:val="single" w:sz="4" w:space="0" w:color="auto"/>
              <w:right w:val="nil"/>
            </w:tcBorders>
            <w:hideMark/>
          </w:tcPr>
          <w:p w14:paraId="75B25D73"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eastAsia="en-GB"/>
              </w:rPr>
              <w:t>Customers’ willingness, likelihood, readiness, or actual performance of an action</w:t>
            </w:r>
          </w:p>
        </w:tc>
        <w:tc>
          <w:tcPr>
            <w:tcW w:w="2638" w:type="dxa"/>
            <w:tcBorders>
              <w:top w:val="nil"/>
              <w:left w:val="nil"/>
              <w:bottom w:val="single" w:sz="4" w:space="0" w:color="auto"/>
              <w:right w:val="nil"/>
            </w:tcBorders>
            <w:hideMark/>
          </w:tcPr>
          <w:p w14:paraId="56B80461"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Purchase intention, sharing intention, willingness to respond, purchase, choice</w:t>
            </w:r>
          </w:p>
        </w:tc>
        <w:tc>
          <w:tcPr>
            <w:tcW w:w="2110" w:type="dxa"/>
            <w:gridSpan w:val="2"/>
            <w:tcBorders>
              <w:top w:val="nil"/>
              <w:left w:val="nil"/>
              <w:bottom w:val="single" w:sz="4" w:space="0" w:color="auto"/>
              <w:right w:val="nil"/>
            </w:tcBorders>
            <w:hideMark/>
          </w:tcPr>
          <w:p w14:paraId="6C8CE3F6" w14:textId="77777777" w:rsidR="00CD4BCF" w:rsidRPr="00EB3C05" w:rsidRDefault="00CD4BCF" w:rsidP="000042B8">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Antonetti et al., 2018; Maheswaran &amp; Meyers-Levy, 1990</w:t>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ExcludeAuth="1" ExcludeYear="1" Hidden="1"&gt;&lt;Author&gt;Schlosser&lt;/Author&gt;&lt;Year&gt;2003&lt;/Year&gt;&lt;RecNum&gt;304&lt;/RecNum&gt;&lt;record&gt;&lt;rec-number&gt;304&lt;/rec-number&gt;&lt;foreign-keys&gt;&lt;key app="EN" db-id="0rzaat02o5w5f1ert22x2rwm5asesf9exzf5" timestamp="1614260187"&gt;304&lt;/key&gt;&lt;/foreign-keys&gt;&lt;ref-type name="Journal Article"&gt;17&lt;/ref-type&gt;&lt;contributors&gt;&lt;authors&gt;&lt;author&gt;Schlosser, Ann E.&lt;/author&gt;&lt;/authors&gt;&lt;/contributors&gt;&lt;titles&gt;&lt;title&gt;Experiencing products in the virtual world: The role of goal and imagery in influencing attitudes versus purchase intentions&lt;/title&gt;&lt;secondary-title&gt;Journal of Consumer Research&lt;/secondary-title&gt;&lt;/titles&gt;&lt;periodical&gt;&lt;full-title&gt;Journal of Consumer Research&lt;/full-title&gt;&lt;/periodical&gt;&lt;pages&gt;184-198&lt;/pages&gt;&lt;volume&gt;30&lt;/volume&gt;&lt;number&gt;2&lt;/number&gt;&lt;dates&gt;&lt;year&gt;2003&lt;/year&gt;&lt;/dates&gt;&lt;isbn&gt;1537-5277&lt;/isbn&gt;&lt;urls&gt;&lt;/urls&gt;&lt;/record&gt;&lt;/Cite&gt;&lt;/EndNote&gt;</w:instrText>
            </w:r>
            <w:r w:rsidRPr="00EB3C05">
              <w:rPr>
                <w:rFonts w:eastAsia="Calibri" w:cs="Times New Roman"/>
                <w:sz w:val="20"/>
                <w:szCs w:val="20"/>
                <w:lang w:val="en-US"/>
              </w:rPr>
              <w:fldChar w:fldCharType="end"/>
            </w:r>
            <w:r w:rsidRPr="00EB3C05">
              <w:rPr>
                <w:rFonts w:eastAsia="Calibri" w:cs="Times New Roman"/>
                <w:sz w:val="20"/>
                <w:szCs w:val="20"/>
                <w:lang w:val="en-US"/>
              </w:rPr>
              <w:fldChar w:fldCharType="begin"/>
            </w:r>
            <w:r w:rsidRPr="00EB3C05">
              <w:rPr>
                <w:rFonts w:eastAsia="Calibri" w:cs="Times New Roman"/>
                <w:sz w:val="20"/>
                <w:szCs w:val="20"/>
                <w:lang w:val="en-US"/>
              </w:rPr>
              <w:instrText xml:space="preserve"> ADDIN EN.CITE &lt;EndNote&gt;&lt;Cite ExcludeAuth="1" ExcludeYear="1" Hidden="1"&gt;&lt;Author&gt;van Laer&lt;/Author&gt;&lt;Year&gt;2013&lt;/Year&gt;&lt;RecNum&gt;328&lt;/RecNum&gt;&lt;record&gt;&lt;rec-number&gt;328&lt;/rec-number&gt;&lt;foreign-keys&gt;&lt;key app="EN" db-id="0rzaat02o5w5f1ert22x2rwm5asesf9exzf5" timestamp="1614261076"&gt;328&lt;/key&gt;&lt;/foreign-keys&gt;&lt;ref-type name="Journal Article"&gt;17&lt;/ref-type&gt;&lt;contributors&gt;&lt;authors&gt;&lt;author&gt;van Laer, Tom&lt;/author&gt;&lt;author&gt;de Ruyter, Ko&lt;/author&gt;&lt;author&gt;Cox, David&lt;/author&gt;&lt;/authors&gt;&lt;/contributors&gt;&lt;titles&gt;&lt;title&gt;A walk in customers&amp;apos; shoes: How attentional bias modification affects ownership of integrity-violating social media posts&lt;/title&gt;&lt;secondary-title&gt;Journal of Interactive Marketing&lt;/secondary-title&gt;&lt;/titles&gt;&lt;periodical&gt;&lt;full-title&gt;Journal of Interactive Marketing&lt;/full-title&gt;&lt;/periodical&gt;&lt;pages&gt;14-27&lt;/pages&gt;&lt;volume&gt;27&lt;/volume&gt;&lt;number&gt;1&lt;/number&gt;&lt;dates&gt;&lt;year&gt;2013&lt;/year&gt;&lt;/dates&gt;&lt;isbn&gt;1094-9968&lt;/isbn&gt;&lt;urls&gt;&lt;/urls&gt;&lt;/record&gt;&lt;/Cite&gt;&lt;/EndNote&gt;</w:instrText>
            </w:r>
            <w:r w:rsidRPr="00EB3C05">
              <w:rPr>
                <w:rFonts w:eastAsia="Calibri" w:cs="Times New Roman"/>
                <w:sz w:val="20"/>
                <w:szCs w:val="20"/>
                <w:lang w:val="en-US"/>
              </w:rPr>
              <w:fldChar w:fldCharType="end"/>
            </w:r>
          </w:p>
        </w:tc>
      </w:tr>
    </w:tbl>
    <w:p w14:paraId="5CA42F68" w14:textId="77777777" w:rsidR="00CD4BCF" w:rsidRDefault="00CD4BCF" w:rsidP="006C0B27">
      <w:pPr>
        <w:spacing w:after="60" w:line="240" w:lineRule="auto"/>
        <w:sectPr w:rsidR="00CD4BCF" w:rsidSect="00CB4C52">
          <w:headerReference w:type="default" r:id="rId11"/>
          <w:pgSz w:w="12242" w:h="15842" w:code="1"/>
          <w:pgMar w:top="1440" w:right="1440" w:bottom="1440" w:left="1440" w:header="709" w:footer="709" w:gutter="0"/>
          <w:cols w:space="708"/>
          <w:docGrid w:linePitch="360"/>
        </w:sectPr>
      </w:pPr>
    </w:p>
    <w:p w14:paraId="21BB9E45" w14:textId="20E85731" w:rsidR="00CD4BCF" w:rsidRPr="001B4CB9" w:rsidRDefault="00CD4BCF" w:rsidP="00CD4BCF">
      <w:pPr>
        <w:pStyle w:val="Heading2"/>
        <w:jc w:val="center"/>
        <w:rPr>
          <w:rFonts w:eastAsia="Calibri"/>
          <w:lang w:val="en-US"/>
        </w:rPr>
      </w:pPr>
      <w:bookmarkStart w:id="8" w:name="_Toc185425562"/>
      <w:bookmarkStart w:id="9" w:name="_Hlk185424490"/>
      <w:r w:rsidRPr="001B4CB9">
        <w:rPr>
          <w:rFonts w:eastAsia="Calibri"/>
          <w:lang w:val="en-US"/>
        </w:rPr>
        <w:t xml:space="preserve">Web Appendix A3. </w:t>
      </w:r>
      <w:r w:rsidR="00FB4546" w:rsidRPr="001B4CB9">
        <w:rPr>
          <w:rFonts w:eastAsia="Calibri"/>
          <w:lang w:val="en-US"/>
        </w:rPr>
        <w:t>Measurement and c</w:t>
      </w:r>
      <w:r w:rsidR="00BE76EE" w:rsidRPr="001B4CB9">
        <w:rPr>
          <w:rFonts w:eastAsia="Calibri"/>
          <w:lang w:val="en-US"/>
        </w:rPr>
        <w:t>oding protocol</w:t>
      </w:r>
      <w:bookmarkEnd w:id="8"/>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400"/>
        <w:gridCol w:w="4820"/>
        <w:gridCol w:w="2127"/>
      </w:tblGrid>
      <w:tr w:rsidR="00BE76EE" w:rsidRPr="001B4CB9" w14:paraId="6AE7153A" w14:textId="77777777" w:rsidTr="000042B8">
        <w:tc>
          <w:tcPr>
            <w:tcW w:w="2400" w:type="dxa"/>
            <w:tcBorders>
              <w:top w:val="single" w:sz="4" w:space="0" w:color="auto"/>
              <w:left w:val="nil"/>
              <w:bottom w:val="single" w:sz="4" w:space="0" w:color="auto"/>
              <w:right w:val="nil"/>
            </w:tcBorders>
            <w:hideMark/>
          </w:tcPr>
          <w:bookmarkEnd w:id="9"/>
          <w:p w14:paraId="520C876F" w14:textId="77777777" w:rsidR="00BE76EE" w:rsidRPr="001B4CB9" w:rsidRDefault="00BE76EE" w:rsidP="000042B8">
            <w:pPr>
              <w:spacing w:line="240" w:lineRule="auto"/>
              <w:rPr>
                <w:rFonts w:cs="Times New Roman"/>
                <w:sz w:val="20"/>
                <w:szCs w:val="20"/>
                <w:lang w:val="en-US"/>
              </w:rPr>
            </w:pPr>
            <w:r w:rsidRPr="001B4CB9">
              <w:rPr>
                <w:rFonts w:eastAsia="Arial" w:cs="Times New Roman"/>
                <w:b/>
                <w:sz w:val="20"/>
                <w:szCs w:val="20"/>
                <w:lang w:val="en-US"/>
              </w:rPr>
              <w:t>Variable</w:t>
            </w:r>
          </w:p>
        </w:tc>
        <w:tc>
          <w:tcPr>
            <w:tcW w:w="4820" w:type="dxa"/>
            <w:tcBorders>
              <w:top w:val="single" w:sz="4" w:space="0" w:color="auto"/>
              <w:left w:val="nil"/>
              <w:bottom w:val="single" w:sz="4" w:space="0" w:color="auto"/>
              <w:right w:val="nil"/>
            </w:tcBorders>
            <w:hideMark/>
          </w:tcPr>
          <w:p w14:paraId="45B48DC2" w14:textId="7554E1DE" w:rsidR="00BE76EE" w:rsidRPr="001B4CB9" w:rsidRDefault="00FB4546" w:rsidP="000042B8">
            <w:pPr>
              <w:spacing w:line="240" w:lineRule="auto"/>
              <w:rPr>
                <w:rFonts w:cs="Times New Roman"/>
                <w:sz w:val="20"/>
                <w:szCs w:val="20"/>
                <w:lang w:val="en-US"/>
              </w:rPr>
            </w:pPr>
            <w:r w:rsidRPr="001B4CB9">
              <w:rPr>
                <w:rFonts w:eastAsia="Arial" w:cs="Times New Roman"/>
                <w:b/>
                <w:sz w:val="20"/>
                <w:szCs w:val="20"/>
                <w:lang w:val="en-US"/>
              </w:rPr>
              <w:t>Measurement</w:t>
            </w:r>
            <w:r w:rsidR="00BE76EE" w:rsidRPr="001B4CB9">
              <w:rPr>
                <w:rFonts w:eastAsia="Arial" w:cs="Times New Roman"/>
                <w:b/>
                <w:sz w:val="20"/>
                <w:szCs w:val="20"/>
                <w:lang w:val="en-US"/>
              </w:rPr>
              <w:t xml:space="preserve"> Description</w:t>
            </w:r>
          </w:p>
        </w:tc>
        <w:tc>
          <w:tcPr>
            <w:tcW w:w="2127" w:type="dxa"/>
            <w:tcBorders>
              <w:top w:val="single" w:sz="4" w:space="0" w:color="auto"/>
              <w:left w:val="nil"/>
              <w:bottom w:val="single" w:sz="4" w:space="0" w:color="auto"/>
              <w:right w:val="nil"/>
            </w:tcBorders>
            <w:hideMark/>
          </w:tcPr>
          <w:p w14:paraId="3AAF1C8D" w14:textId="77777777" w:rsidR="00BE76EE" w:rsidRPr="001B4CB9" w:rsidRDefault="00BE76EE" w:rsidP="000042B8">
            <w:pPr>
              <w:spacing w:line="240" w:lineRule="auto"/>
              <w:rPr>
                <w:rFonts w:cs="Times New Roman"/>
                <w:sz w:val="20"/>
                <w:szCs w:val="20"/>
                <w:lang w:val="en-US"/>
              </w:rPr>
            </w:pPr>
            <w:r w:rsidRPr="001B4CB9">
              <w:rPr>
                <w:rFonts w:cs="Times New Roman"/>
                <w:b/>
                <w:bCs/>
                <w:kern w:val="32"/>
                <w:sz w:val="20"/>
                <w:szCs w:val="20"/>
                <w:lang w:val="en-US" w:eastAsia="x-none"/>
              </w:rPr>
              <w:t>Coding Scheme</w:t>
            </w:r>
          </w:p>
        </w:tc>
      </w:tr>
      <w:tr w:rsidR="00BE76EE" w:rsidRPr="001B4CB9" w14:paraId="5CA29675" w14:textId="77777777" w:rsidTr="000042B8">
        <w:tc>
          <w:tcPr>
            <w:tcW w:w="9347" w:type="dxa"/>
            <w:gridSpan w:val="3"/>
            <w:tcBorders>
              <w:top w:val="single" w:sz="4" w:space="0" w:color="auto"/>
              <w:left w:val="nil"/>
              <w:bottom w:val="nil"/>
              <w:right w:val="nil"/>
            </w:tcBorders>
            <w:hideMark/>
          </w:tcPr>
          <w:p w14:paraId="3E264144" w14:textId="77777777" w:rsidR="00BE76EE" w:rsidRPr="001B4CB9" w:rsidRDefault="00BE76EE" w:rsidP="000042B8">
            <w:pPr>
              <w:spacing w:line="240" w:lineRule="auto"/>
              <w:rPr>
                <w:rFonts w:cs="Times New Roman"/>
                <w:sz w:val="20"/>
                <w:szCs w:val="20"/>
                <w:lang w:val="en-US"/>
              </w:rPr>
            </w:pPr>
            <w:r w:rsidRPr="001B4CB9">
              <w:rPr>
                <w:rFonts w:eastAsia="Arial" w:cs="Times New Roman"/>
                <w:b/>
                <w:i/>
                <w:sz w:val="20"/>
                <w:szCs w:val="20"/>
                <w:lang w:val="en-US"/>
              </w:rPr>
              <w:t>Information Processing</w:t>
            </w:r>
          </w:p>
        </w:tc>
      </w:tr>
      <w:tr w:rsidR="001B4CB9" w:rsidRPr="001B4CB9" w14:paraId="55940E00" w14:textId="77777777" w:rsidTr="000042B8">
        <w:tc>
          <w:tcPr>
            <w:tcW w:w="2400" w:type="dxa"/>
          </w:tcPr>
          <w:p w14:paraId="748C292B" w14:textId="57D4AC99" w:rsidR="001B4CB9" w:rsidRPr="001B4CB9" w:rsidRDefault="001B4CB9" w:rsidP="001B4CB9">
            <w:pPr>
              <w:spacing w:line="240" w:lineRule="auto"/>
              <w:rPr>
                <w:rFonts w:cs="Times New Roman"/>
                <w:color w:val="000000"/>
                <w:sz w:val="20"/>
                <w:szCs w:val="20"/>
                <w:lang w:val="en-US"/>
              </w:rPr>
            </w:pPr>
            <w:r w:rsidRPr="001B4CB9">
              <w:rPr>
                <w:rFonts w:cs="Times New Roman"/>
                <w:color w:val="000000"/>
                <w:sz w:val="20"/>
                <w:szCs w:val="20"/>
                <w:lang w:val="en-US"/>
              </w:rPr>
              <w:t>Analytical (vs. narrative) processing</w:t>
            </w:r>
          </w:p>
        </w:tc>
        <w:tc>
          <w:tcPr>
            <w:tcW w:w="4820" w:type="dxa"/>
          </w:tcPr>
          <w:p w14:paraId="40144A16" w14:textId="14EE50D6" w:rsidR="001B4CB9" w:rsidRPr="001B4CB9" w:rsidRDefault="001B4CB9" w:rsidP="001B4CB9">
            <w:pPr>
              <w:spacing w:line="240" w:lineRule="auto"/>
              <w:rPr>
                <w:rFonts w:eastAsia="Arial" w:cs="Times New Roman"/>
                <w:sz w:val="20"/>
                <w:szCs w:val="20"/>
                <w:lang w:val="en-US"/>
              </w:rPr>
            </w:pPr>
            <w:r w:rsidRPr="001B4CB9">
              <w:rPr>
                <w:rFonts w:eastAsia="Arial" w:cs="Times New Roman"/>
                <w:sz w:val="20"/>
                <w:szCs w:val="20"/>
                <w:lang w:val="en-US"/>
              </w:rPr>
              <w:t>Whether the study measured critical thoughts, cognitive elaboration, self-reported effort, support arguments, or counterarguing (i.e., analytical; e.g., Dunlop, Wakefield, &amp; Kashima, 2010; Petty &amp; Wegener, 1998; Slater &amp; Rouner, 2002), or narrative transportation, narrative engagement, narrative thoughts, or being hooked scales (i.e., narrative processing; e.g., Escalas et al., 2004; Green &amp; Brock, 2000)</w:t>
            </w:r>
          </w:p>
        </w:tc>
        <w:tc>
          <w:tcPr>
            <w:tcW w:w="2127" w:type="dxa"/>
          </w:tcPr>
          <w:p w14:paraId="159FE0C3" w14:textId="77777777" w:rsidR="001B4CB9" w:rsidRPr="001B4CB9" w:rsidRDefault="001B4CB9" w:rsidP="001B4CB9">
            <w:pPr>
              <w:spacing w:line="240" w:lineRule="auto"/>
              <w:rPr>
                <w:rFonts w:cs="Times New Roman"/>
                <w:sz w:val="20"/>
                <w:szCs w:val="20"/>
                <w:lang w:val="en-US"/>
              </w:rPr>
            </w:pPr>
            <w:r w:rsidRPr="001B4CB9">
              <w:rPr>
                <w:rFonts w:cs="Times New Roman"/>
                <w:sz w:val="20"/>
                <w:szCs w:val="20"/>
                <w:lang w:val="en-US"/>
              </w:rPr>
              <w:t>0 = Analytical</w:t>
            </w:r>
          </w:p>
          <w:p w14:paraId="656B0462" w14:textId="317E431A" w:rsidR="001B4CB9" w:rsidRPr="001B4CB9" w:rsidRDefault="001B4CB9" w:rsidP="001B4CB9">
            <w:pPr>
              <w:spacing w:line="240" w:lineRule="auto"/>
              <w:rPr>
                <w:rFonts w:cs="Times New Roman"/>
                <w:sz w:val="20"/>
                <w:szCs w:val="20"/>
                <w:lang w:val="en-US"/>
              </w:rPr>
            </w:pPr>
            <w:r w:rsidRPr="001B4CB9">
              <w:rPr>
                <w:rFonts w:cs="Times New Roman"/>
                <w:sz w:val="20"/>
                <w:szCs w:val="20"/>
                <w:lang w:val="en-US"/>
              </w:rPr>
              <w:t>1 = Narrative</w:t>
            </w:r>
          </w:p>
        </w:tc>
      </w:tr>
      <w:tr w:rsidR="00BE76EE" w:rsidRPr="001B4CB9" w14:paraId="43618E05" w14:textId="77777777" w:rsidTr="000042B8">
        <w:tc>
          <w:tcPr>
            <w:tcW w:w="2400" w:type="dxa"/>
            <w:hideMark/>
          </w:tcPr>
          <w:p w14:paraId="6472EEA7" w14:textId="77777777" w:rsidR="00BE76EE" w:rsidRPr="001B4CB9" w:rsidRDefault="00BE76EE" w:rsidP="000042B8">
            <w:pPr>
              <w:spacing w:line="240" w:lineRule="auto"/>
              <w:rPr>
                <w:rFonts w:cs="Times New Roman"/>
                <w:sz w:val="20"/>
                <w:szCs w:val="20"/>
                <w:lang w:val="en-US"/>
              </w:rPr>
            </w:pPr>
            <w:r w:rsidRPr="001B4CB9">
              <w:rPr>
                <w:rFonts w:cs="Times New Roman"/>
                <w:color w:val="000000"/>
                <w:sz w:val="20"/>
                <w:szCs w:val="20"/>
                <w:lang w:val="en-US"/>
              </w:rPr>
              <w:t>Measurement with scale</w:t>
            </w:r>
          </w:p>
        </w:tc>
        <w:tc>
          <w:tcPr>
            <w:tcW w:w="4820" w:type="dxa"/>
            <w:hideMark/>
          </w:tcPr>
          <w:p w14:paraId="283A68F1" w14:textId="77777777" w:rsidR="00BE76EE" w:rsidRPr="001B4CB9" w:rsidRDefault="00BE76EE" w:rsidP="000042B8">
            <w:pPr>
              <w:spacing w:line="240" w:lineRule="auto"/>
              <w:rPr>
                <w:rFonts w:cs="Times New Roman"/>
                <w:sz w:val="20"/>
                <w:szCs w:val="20"/>
                <w:lang w:val="en-US"/>
              </w:rPr>
            </w:pPr>
            <w:r w:rsidRPr="001B4CB9">
              <w:rPr>
                <w:rFonts w:eastAsia="Arial" w:cs="Times New Roman"/>
                <w:sz w:val="20"/>
                <w:szCs w:val="20"/>
                <w:lang w:val="en-US"/>
              </w:rPr>
              <w:t xml:space="preserve">The measurement of an information process using one of the various analytic processing or narrative transportation scales </w:t>
            </w:r>
          </w:p>
        </w:tc>
        <w:tc>
          <w:tcPr>
            <w:tcW w:w="2127" w:type="dxa"/>
            <w:hideMark/>
          </w:tcPr>
          <w:p w14:paraId="63D8AB15" w14:textId="77777777" w:rsidR="00BE76EE" w:rsidRPr="001B4CB9" w:rsidRDefault="00BE76EE" w:rsidP="000042B8">
            <w:pPr>
              <w:spacing w:line="240" w:lineRule="auto"/>
              <w:rPr>
                <w:rFonts w:cs="Times New Roman"/>
                <w:sz w:val="20"/>
                <w:szCs w:val="20"/>
                <w:lang w:val="en-US"/>
              </w:rPr>
            </w:pPr>
            <w:r w:rsidRPr="001B4CB9">
              <w:rPr>
                <w:rFonts w:cs="Times New Roman"/>
                <w:sz w:val="20"/>
                <w:szCs w:val="20"/>
                <w:lang w:val="en-US"/>
              </w:rPr>
              <w:t>0 = Scale</w:t>
            </w:r>
          </w:p>
          <w:p w14:paraId="0A28340D" w14:textId="77777777" w:rsidR="00BE76EE" w:rsidRPr="001B4CB9" w:rsidRDefault="00BE76EE" w:rsidP="000042B8">
            <w:pPr>
              <w:spacing w:line="240" w:lineRule="auto"/>
              <w:rPr>
                <w:rFonts w:cs="Times New Roman"/>
                <w:sz w:val="20"/>
                <w:szCs w:val="20"/>
                <w:lang w:val="en-US"/>
              </w:rPr>
            </w:pPr>
            <w:r w:rsidRPr="001B4CB9">
              <w:rPr>
                <w:rFonts w:cs="Times New Roman"/>
                <w:sz w:val="20"/>
                <w:szCs w:val="20"/>
                <w:lang w:val="en-US"/>
              </w:rPr>
              <w:t>1 = Nominal/ordinal</w:t>
            </w:r>
          </w:p>
        </w:tc>
      </w:tr>
      <w:tr w:rsidR="00BE76EE" w:rsidRPr="001B4CB9" w14:paraId="5B7B8F27" w14:textId="77777777" w:rsidTr="000042B8">
        <w:tc>
          <w:tcPr>
            <w:tcW w:w="2400" w:type="dxa"/>
          </w:tcPr>
          <w:p w14:paraId="1092319B" w14:textId="77777777" w:rsidR="00BE76EE" w:rsidRPr="001B4CB9" w:rsidRDefault="00BE76EE" w:rsidP="000042B8">
            <w:pPr>
              <w:spacing w:line="240" w:lineRule="auto"/>
              <w:rPr>
                <w:rFonts w:cs="Times New Roman"/>
                <w:color w:val="000000"/>
                <w:sz w:val="20"/>
                <w:szCs w:val="20"/>
                <w:lang w:val="en-US"/>
              </w:rPr>
            </w:pPr>
            <w:r w:rsidRPr="001B4CB9">
              <w:rPr>
                <w:rFonts w:cs="Times New Roman"/>
                <w:b/>
                <w:i/>
                <w:color w:val="000000"/>
                <w:sz w:val="20"/>
                <w:szCs w:val="20"/>
                <w:lang w:val="en-US"/>
              </w:rPr>
              <w:t>Moderators</w:t>
            </w:r>
          </w:p>
        </w:tc>
        <w:tc>
          <w:tcPr>
            <w:tcW w:w="4820" w:type="dxa"/>
          </w:tcPr>
          <w:p w14:paraId="5385CE57" w14:textId="77777777" w:rsidR="00BE76EE" w:rsidRPr="001B4CB9" w:rsidRDefault="00BE76EE" w:rsidP="000042B8">
            <w:pPr>
              <w:spacing w:line="240" w:lineRule="auto"/>
              <w:rPr>
                <w:rFonts w:eastAsia="Arial" w:cs="Times New Roman"/>
                <w:sz w:val="20"/>
                <w:szCs w:val="20"/>
                <w:lang w:val="en-US"/>
              </w:rPr>
            </w:pPr>
          </w:p>
        </w:tc>
        <w:tc>
          <w:tcPr>
            <w:tcW w:w="2127" w:type="dxa"/>
          </w:tcPr>
          <w:p w14:paraId="4F49C0F0" w14:textId="77777777" w:rsidR="00BE76EE" w:rsidRPr="001B4CB9" w:rsidRDefault="00BE76EE" w:rsidP="000042B8">
            <w:pPr>
              <w:spacing w:line="240" w:lineRule="auto"/>
              <w:rPr>
                <w:rFonts w:cs="Times New Roman"/>
                <w:sz w:val="20"/>
                <w:szCs w:val="20"/>
                <w:lang w:val="en-US"/>
              </w:rPr>
            </w:pPr>
          </w:p>
        </w:tc>
      </w:tr>
      <w:tr w:rsidR="00BE76EE" w:rsidRPr="001F5142" w14:paraId="150AB3B3" w14:textId="77777777" w:rsidTr="000042B8">
        <w:tc>
          <w:tcPr>
            <w:tcW w:w="2400" w:type="dxa"/>
          </w:tcPr>
          <w:p w14:paraId="2E2FAE73" w14:textId="77777777" w:rsidR="00BE76EE" w:rsidRPr="001B4CB9" w:rsidRDefault="00BE76EE" w:rsidP="000042B8">
            <w:pPr>
              <w:spacing w:line="240" w:lineRule="auto"/>
              <w:rPr>
                <w:rFonts w:cs="Times New Roman"/>
                <w:color w:val="000000"/>
                <w:sz w:val="20"/>
                <w:szCs w:val="20"/>
                <w:lang w:val="en-US"/>
              </w:rPr>
            </w:pPr>
            <w:r w:rsidRPr="001B4CB9">
              <w:rPr>
                <w:rFonts w:cs="Times New Roman"/>
                <w:color w:val="000000"/>
                <w:sz w:val="20"/>
                <w:szCs w:val="20"/>
                <w:lang w:val="en-US"/>
              </w:rPr>
              <w:t>Utilitarian (vs. hedonic) product type</w:t>
            </w:r>
          </w:p>
        </w:tc>
        <w:tc>
          <w:tcPr>
            <w:tcW w:w="4820" w:type="dxa"/>
          </w:tcPr>
          <w:p w14:paraId="76443F1A" w14:textId="1642D260" w:rsidR="00BE76EE" w:rsidRPr="001B4CB9" w:rsidRDefault="00BE76EE" w:rsidP="000042B8">
            <w:pPr>
              <w:spacing w:line="240" w:lineRule="auto"/>
              <w:rPr>
                <w:rFonts w:eastAsia="Arial" w:cs="Times New Roman"/>
                <w:sz w:val="20"/>
                <w:szCs w:val="20"/>
                <w:lang w:val="en-US"/>
              </w:rPr>
            </w:pPr>
            <w:r w:rsidRPr="001B4CB9">
              <w:rPr>
                <w:rFonts w:cs="Times New Roman"/>
                <w:sz w:val="20"/>
                <w:szCs w:val="20"/>
                <w:lang w:val="en-US"/>
              </w:rPr>
              <w:t>Products and services that offer cognitively oriented and functional benefits (i.e., utilitarian) versus products and services consumed primarily for affective and sensory gratification (Klein &amp; Melnyk</w:t>
            </w:r>
            <w:r w:rsidR="001B4CB9">
              <w:rPr>
                <w:rFonts w:cs="Times New Roman"/>
                <w:sz w:val="20"/>
                <w:szCs w:val="20"/>
                <w:lang w:val="en-US"/>
              </w:rPr>
              <w:t>,</w:t>
            </w:r>
            <w:r w:rsidRPr="001B4CB9">
              <w:rPr>
                <w:rFonts w:cs="Times New Roman"/>
                <w:sz w:val="20"/>
                <w:szCs w:val="20"/>
                <w:lang w:val="en-US"/>
              </w:rPr>
              <w:t xml:space="preserve"> 2016)</w:t>
            </w:r>
          </w:p>
        </w:tc>
        <w:tc>
          <w:tcPr>
            <w:tcW w:w="2127" w:type="dxa"/>
          </w:tcPr>
          <w:p w14:paraId="3335B3AB" w14:textId="77777777" w:rsidR="00BE76EE" w:rsidRPr="001B4CB9" w:rsidRDefault="00BE76EE" w:rsidP="000042B8">
            <w:pPr>
              <w:spacing w:line="240" w:lineRule="auto"/>
              <w:rPr>
                <w:rFonts w:cs="Times New Roman"/>
                <w:color w:val="000000"/>
                <w:sz w:val="20"/>
                <w:szCs w:val="20"/>
                <w:lang w:val="en-US"/>
              </w:rPr>
            </w:pPr>
            <w:r w:rsidRPr="001B4CB9">
              <w:rPr>
                <w:rFonts w:cs="Times New Roman"/>
                <w:color w:val="000000"/>
                <w:sz w:val="20"/>
                <w:szCs w:val="20"/>
                <w:lang w:val="en-US"/>
              </w:rPr>
              <w:t>0 = Utilitarian</w:t>
            </w:r>
          </w:p>
          <w:p w14:paraId="2E3A7E44" w14:textId="77777777" w:rsidR="00BE76EE" w:rsidRPr="001B4CB9" w:rsidRDefault="00BE76EE" w:rsidP="000042B8">
            <w:pPr>
              <w:spacing w:line="240" w:lineRule="auto"/>
              <w:rPr>
                <w:rFonts w:cs="Times New Roman"/>
                <w:sz w:val="20"/>
                <w:szCs w:val="20"/>
                <w:lang w:val="en-US"/>
              </w:rPr>
            </w:pPr>
            <w:r w:rsidRPr="001B4CB9">
              <w:rPr>
                <w:rFonts w:cs="Times New Roman"/>
                <w:color w:val="000000"/>
                <w:sz w:val="20"/>
                <w:szCs w:val="20"/>
                <w:lang w:val="en-US"/>
              </w:rPr>
              <w:t>1= Hedonic</w:t>
            </w:r>
          </w:p>
        </w:tc>
      </w:tr>
      <w:tr w:rsidR="00BE76EE" w:rsidRPr="001F5142" w14:paraId="71347AB5" w14:textId="77777777" w:rsidTr="000042B8">
        <w:tc>
          <w:tcPr>
            <w:tcW w:w="2400" w:type="dxa"/>
          </w:tcPr>
          <w:p w14:paraId="569C87F5"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Written (vs. audio) modality</w:t>
            </w:r>
          </w:p>
        </w:tc>
        <w:tc>
          <w:tcPr>
            <w:tcW w:w="4820" w:type="dxa"/>
          </w:tcPr>
          <w:p w14:paraId="4E18A91B" w14:textId="77777777" w:rsidR="00BE76EE" w:rsidRPr="001F5142" w:rsidRDefault="00BE76EE" w:rsidP="000042B8">
            <w:pPr>
              <w:spacing w:line="240" w:lineRule="auto"/>
              <w:rPr>
                <w:rFonts w:eastAsia="Arial" w:cs="Times New Roman"/>
                <w:sz w:val="20"/>
                <w:szCs w:val="20"/>
                <w:lang w:val="en-US"/>
              </w:rPr>
            </w:pPr>
            <w:r w:rsidRPr="001F5142">
              <w:rPr>
                <w:rFonts w:cs="Times New Roman"/>
                <w:sz w:val="20"/>
                <w:szCs w:val="20"/>
                <w:lang w:val="en-US"/>
              </w:rPr>
              <w:t xml:space="preserve">Messages communicated through text versus </w:t>
            </w:r>
            <w:r>
              <w:rPr>
                <w:rFonts w:cs="Times New Roman"/>
                <w:sz w:val="20"/>
                <w:szCs w:val="20"/>
                <w:lang w:val="en-US"/>
              </w:rPr>
              <w:t xml:space="preserve">through </w:t>
            </w:r>
            <w:r w:rsidRPr="001F5142">
              <w:rPr>
                <w:rFonts w:cs="Times New Roman"/>
                <w:sz w:val="20"/>
                <w:szCs w:val="20"/>
                <w:lang w:val="en-US"/>
              </w:rPr>
              <w:t>audio</w:t>
            </w:r>
            <w:r w:rsidRPr="001F5142" w:rsidDel="00697ECB">
              <w:rPr>
                <w:rFonts w:eastAsia="Arial" w:cs="Times New Roman"/>
                <w:sz w:val="20"/>
                <w:szCs w:val="20"/>
                <w:lang w:val="en-US"/>
              </w:rPr>
              <w:t xml:space="preserve"> </w:t>
            </w:r>
          </w:p>
        </w:tc>
        <w:tc>
          <w:tcPr>
            <w:tcW w:w="2127" w:type="dxa"/>
          </w:tcPr>
          <w:p w14:paraId="231C4841"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0 = Written</w:t>
            </w:r>
          </w:p>
          <w:p w14:paraId="0F0C981E"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1 = Audio</w:t>
            </w:r>
          </w:p>
        </w:tc>
      </w:tr>
      <w:tr w:rsidR="00BE76EE" w:rsidRPr="001F5142" w14:paraId="101B1E6B" w14:textId="77777777" w:rsidTr="000042B8">
        <w:tc>
          <w:tcPr>
            <w:tcW w:w="9347" w:type="dxa"/>
            <w:gridSpan w:val="3"/>
            <w:hideMark/>
          </w:tcPr>
          <w:p w14:paraId="05545A5C" w14:textId="77777777" w:rsidR="00BE76EE" w:rsidRPr="001F5142" w:rsidRDefault="00BE76EE" w:rsidP="000042B8">
            <w:pPr>
              <w:spacing w:line="240" w:lineRule="auto"/>
              <w:rPr>
                <w:rFonts w:cs="Times New Roman"/>
                <w:sz w:val="20"/>
                <w:szCs w:val="20"/>
                <w:lang w:val="en-US"/>
              </w:rPr>
            </w:pPr>
            <w:r w:rsidRPr="001F5142">
              <w:rPr>
                <w:rFonts w:cs="Times New Roman"/>
                <w:b/>
                <w:i/>
                <w:color w:val="000000"/>
                <w:sz w:val="20"/>
                <w:szCs w:val="20"/>
                <w:lang w:val="en-US"/>
              </w:rPr>
              <w:t>Study Characteristics</w:t>
            </w:r>
          </w:p>
        </w:tc>
      </w:tr>
      <w:tr w:rsidR="00BE76EE" w:rsidRPr="001F5142" w14:paraId="39B03269" w14:textId="77777777" w:rsidTr="000042B8">
        <w:tc>
          <w:tcPr>
            <w:tcW w:w="2400" w:type="dxa"/>
            <w:hideMark/>
          </w:tcPr>
          <w:p w14:paraId="7B6A9BAD"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Lab study (vs. online study)</w:t>
            </w:r>
          </w:p>
        </w:tc>
        <w:tc>
          <w:tcPr>
            <w:tcW w:w="4820" w:type="dxa"/>
            <w:hideMark/>
          </w:tcPr>
          <w:p w14:paraId="43E32D84"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The study was conducted in the lab or with an online panel</w:t>
            </w:r>
          </w:p>
        </w:tc>
        <w:tc>
          <w:tcPr>
            <w:tcW w:w="2127" w:type="dxa"/>
            <w:hideMark/>
          </w:tcPr>
          <w:p w14:paraId="7D55E98E"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0 = Online panel</w:t>
            </w:r>
          </w:p>
          <w:p w14:paraId="63EDED29"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1 = Lab study</w:t>
            </w:r>
          </w:p>
        </w:tc>
      </w:tr>
      <w:tr w:rsidR="00BE76EE" w:rsidRPr="001F5142" w14:paraId="2ED83077" w14:textId="77777777" w:rsidTr="000042B8">
        <w:tc>
          <w:tcPr>
            <w:tcW w:w="2400" w:type="dxa"/>
            <w:hideMark/>
          </w:tcPr>
          <w:p w14:paraId="378AAAEE"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Incentive (vs. no incentive)</w:t>
            </w:r>
          </w:p>
        </w:tc>
        <w:tc>
          <w:tcPr>
            <w:tcW w:w="4820" w:type="dxa"/>
            <w:hideMark/>
          </w:tcPr>
          <w:p w14:paraId="5DCC3C8F"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Whether participants received a reward for participation</w:t>
            </w:r>
          </w:p>
        </w:tc>
        <w:tc>
          <w:tcPr>
            <w:tcW w:w="2127" w:type="dxa"/>
            <w:hideMark/>
          </w:tcPr>
          <w:p w14:paraId="7F3C1A74" w14:textId="77777777" w:rsidR="00BE76EE" w:rsidRPr="001F5142" w:rsidRDefault="00BE76EE" w:rsidP="000042B8">
            <w:pPr>
              <w:spacing w:line="240" w:lineRule="auto"/>
              <w:rPr>
                <w:rFonts w:eastAsia="Arial" w:cs="Times New Roman"/>
                <w:sz w:val="20"/>
                <w:szCs w:val="20"/>
                <w:lang w:val="en-US"/>
              </w:rPr>
            </w:pPr>
            <w:r w:rsidRPr="001F5142">
              <w:rPr>
                <w:rFonts w:eastAsia="Arial" w:cs="Times New Roman"/>
                <w:sz w:val="20"/>
                <w:szCs w:val="20"/>
                <w:lang w:val="en-US"/>
              </w:rPr>
              <w:t>0 = Course credit</w:t>
            </w:r>
          </w:p>
          <w:p w14:paraId="3FCFD28C" w14:textId="77777777" w:rsidR="00BE76EE" w:rsidRPr="001F5142" w:rsidRDefault="00BE76EE" w:rsidP="000042B8">
            <w:pPr>
              <w:spacing w:line="240" w:lineRule="auto"/>
              <w:rPr>
                <w:rFonts w:eastAsia="Arial" w:cs="Times New Roman"/>
                <w:sz w:val="20"/>
                <w:szCs w:val="20"/>
                <w:lang w:val="en-US"/>
              </w:rPr>
            </w:pPr>
            <w:r w:rsidRPr="001F5142">
              <w:rPr>
                <w:rFonts w:eastAsia="Arial" w:cs="Times New Roman"/>
                <w:sz w:val="20"/>
                <w:szCs w:val="20"/>
                <w:lang w:val="en-US"/>
              </w:rPr>
              <w:t>1 = Payment</w:t>
            </w:r>
          </w:p>
          <w:p w14:paraId="22CD08D2"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2 = Prize draw</w:t>
            </w:r>
          </w:p>
        </w:tc>
      </w:tr>
      <w:tr w:rsidR="00BE76EE" w:rsidRPr="001F5142" w14:paraId="6E204AC6" w14:textId="77777777" w:rsidTr="000042B8">
        <w:tc>
          <w:tcPr>
            <w:tcW w:w="2400" w:type="dxa"/>
            <w:hideMark/>
          </w:tcPr>
          <w:p w14:paraId="36C80658"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Real world (vs. artificial) stimuli</w:t>
            </w:r>
          </w:p>
        </w:tc>
        <w:tc>
          <w:tcPr>
            <w:tcW w:w="4820" w:type="dxa"/>
            <w:hideMark/>
          </w:tcPr>
          <w:p w14:paraId="32A831E4"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Whether a stimulus reflects a real scenario or is artificially developed for the purpose of experimentation</w:t>
            </w:r>
          </w:p>
        </w:tc>
        <w:tc>
          <w:tcPr>
            <w:tcW w:w="2127" w:type="dxa"/>
            <w:hideMark/>
          </w:tcPr>
          <w:p w14:paraId="798EBC16"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0 = Real world</w:t>
            </w:r>
          </w:p>
          <w:p w14:paraId="73D28409"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1 = Artificial</w:t>
            </w:r>
          </w:p>
        </w:tc>
      </w:tr>
      <w:tr w:rsidR="00BE76EE" w:rsidRPr="001F5142" w14:paraId="46F248F7" w14:textId="77777777" w:rsidTr="000042B8">
        <w:tc>
          <w:tcPr>
            <w:tcW w:w="2400" w:type="dxa"/>
            <w:hideMark/>
          </w:tcPr>
          <w:p w14:paraId="67E1715C"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Experiential (vs. materialistic) stimuli</w:t>
            </w:r>
          </w:p>
        </w:tc>
        <w:tc>
          <w:tcPr>
            <w:tcW w:w="4820" w:type="dxa"/>
            <w:hideMark/>
          </w:tcPr>
          <w:p w14:paraId="4EC6B1C2" w14:textId="4804899A"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Experiential purchases are made with the primary intention of acquiring a life experience</w:t>
            </w:r>
            <w:r>
              <w:rPr>
                <w:rFonts w:eastAsia="Arial" w:cs="Times New Roman"/>
                <w:sz w:val="20"/>
                <w:szCs w:val="20"/>
                <w:lang w:val="en-US"/>
              </w:rPr>
              <w:t xml:space="preserve"> (</w:t>
            </w:r>
            <w:r w:rsidRPr="001F5142">
              <w:rPr>
                <w:rFonts w:eastAsia="Arial" w:cs="Times New Roman"/>
                <w:sz w:val="20"/>
                <w:szCs w:val="20"/>
                <w:lang w:val="en-US"/>
              </w:rPr>
              <w:t>event or series of events that one lives through</w:t>
            </w:r>
            <w:r>
              <w:rPr>
                <w:rFonts w:eastAsia="Arial" w:cs="Times New Roman"/>
                <w:sz w:val="20"/>
                <w:szCs w:val="20"/>
                <w:lang w:val="en-US"/>
              </w:rPr>
              <w:t>)</w:t>
            </w:r>
            <w:r w:rsidRPr="001F5142">
              <w:rPr>
                <w:rFonts w:eastAsia="Arial" w:cs="Times New Roman"/>
                <w:sz w:val="20"/>
                <w:szCs w:val="20"/>
                <w:lang w:val="en-US"/>
              </w:rPr>
              <w:t>. Material purchases are made with the primary intention of acquiring a material good</w:t>
            </w:r>
            <w:r>
              <w:rPr>
                <w:rFonts w:eastAsia="Arial" w:cs="Times New Roman"/>
                <w:sz w:val="20"/>
                <w:szCs w:val="20"/>
                <w:lang w:val="en-US"/>
              </w:rPr>
              <w:t xml:space="preserve"> (</w:t>
            </w:r>
            <w:r w:rsidRPr="001F5142">
              <w:rPr>
                <w:rFonts w:eastAsia="Arial" w:cs="Times New Roman"/>
                <w:sz w:val="20"/>
                <w:szCs w:val="20"/>
                <w:lang w:val="en-US"/>
              </w:rPr>
              <w:t>tangible object kept in one’s possession</w:t>
            </w:r>
            <w:r>
              <w:rPr>
                <w:rFonts w:eastAsia="Arial" w:cs="Times New Roman"/>
                <w:sz w:val="20"/>
                <w:szCs w:val="20"/>
                <w:lang w:val="en-US"/>
              </w:rPr>
              <w:t>)</w:t>
            </w:r>
            <w:r w:rsidRPr="001F5142">
              <w:rPr>
                <w:rFonts w:eastAsia="Arial" w:cs="Times New Roman"/>
                <w:sz w:val="20"/>
                <w:szCs w:val="20"/>
                <w:lang w:val="en-US"/>
              </w:rPr>
              <w:t xml:space="preserve"> (van Boven &amp; Gilovich</w:t>
            </w:r>
            <w:r w:rsidR="001B4CB9">
              <w:rPr>
                <w:rFonts w:eastAsia="Arial" w:cs="Times New Roman"/>
                <w:sz w:val="20"/>
                <w:szCs w:val="20"/>
                <w:lang w:val="en-US"/>
              </w:rPr>
              <w:t>,</w:t>
            </w:r>
            <w:r w:rsidRPr="001F5142">
              <w:rPr>
                <w:rFonts w:eastAsia="Arial" w:cs="Times New Roman"/>
                <w:sz w:val="20"/>
                <w:szCs w:val="20"/>
                <w:lang w:val="en-US"/>
              </w:rPr>
              <w:t xml:space="preserve"> 2003)</w:t>
            </w:r>
          </w:p>
        </w:tc>
        <w:tc>
          <w:tcPr>
            <w:tcW w:w="2127" w:type="dxa"/>
            <w:hideMark/>
          </w:tcPr>
          <w:p w14:paraId="379E496D"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0 = Experiential</w:t>
            </w:r>
          </w:p>
          <w:p w14:paraId="4E73AE4B"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1= Materialistic</w:t>
            </w:r>
          </w:p>
        </w:tc>
      </w:tr>
      <w:tr w:rsidR="00BE76EE" w:rsidRPr="001F5142" w14:paraId="69451A84" w14:textId="77777777" w:rsidTr="000042B8">
        <w:tc>
          <w:tcPr>
            <w:tcW w:w="2400" w:type="dxa"/>
            <w:hideMark/>
          </w:tcPr>
          <w:p w14:paraId="57E5FDC7"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Text and image (vs. text only)</w:t>
            </w:r>
          </w:p>
        </w:tc>
        <w:tc>
          <w:tcPr>
            <w:tcW w:w="4820" w:type="dxa"/>
            <w:hideMark/>
          </w:tcPr>
          <w:p w14:paraId="2D45912A"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 xml:space="preserve">Whether the stimulus contains text and an image </w:t>
            </w:r>
            <w:r>
              <w:rPr>
                <w:rFonts w:eastAsia="Arial" w:cs="Times New Roman"/>
                <w:sz w:val="20"/>
                <w:szCs w:val="20"/>
                <w:lang w:val="en-US"/>
              </w:rPr>
              <w:t xml:space="preserve">or </w:t>
            </w:r>
            <w:r w:rsidRPr="001F5142">
              <w:rPr>
                <w:rFonts w:eastAsia="Arial" w:cs="Times New Roman"/>
                <w:sz w:val="20"/>
                <w:szCs w:val="20"/>
                <w:lang w:val="en-US"/>
              </w:rPr>
              <w:t>text only</w:t>
            </w:r>
          </w:p>
        </w:tc>
        <w:tc>
          <w:tcPr>
            <w:tcW w:w="2127" w:type="dxa"/>
            <w:hideMark/>
          </w:tcPr>
          <w:p w14:paraId="60DEB1E0" w14:textId="77777777" w:rsidR="00BE76EE" w:rsidRPr="001F5142" w:rsidRDefault="00BE76EE" w:rsidP="000042B8">
            <w:pPr>
              <w:spacing w:line="240" w:lineRule="auto"/>
              <w:rPr>
                <w:rFonts w:eastAsia="Arial" w:cs="Times New Roman"/>
                <w:sz w:val="20"/>
                <w:szCs w:val="20"/>
                <w:lang w:val="en-US"/>
              </w:rPr>
            </w:pPr>
            <w:r w:rsidRPr="001F5142">
              <w:rPr>
                <w:rFonts w:eastAsia="Arial" w:cs="Times New Roman"/>
                <w:sz w:val="20"/>
                <w:szCs w:val="20"/>
                <w:lang w:val="en-US"/>
              </w:rPr>
              <w:t>0 = Text</w:t>
            </w:r>
          </w:p>
          <w:p w14:paraId="5A5AD25D"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1 = Text/image</w:t>
            </w:r>
          </w:p>
        </w:tc>
      </w:tr>
      <w:tr w:rsidR="00BE76EE" w:rsidRPr="001F5142" w14:paraId="01190116" w14:textId="77777777" w:rsidTr="000042B8">
        <w:tc>
          <w:tcPr>
            <w:tcW w:w="2400" w:type="dxa"/>
            <w:hideMark/>
          </w:tcPr>
          <w:p w14:paraId="1B1726E7"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Text type</w:t>
            </w:r>
          </w:p>
        </w:tc>
        <w:tc>
          <w:tcPr>
            <w:tcW w:w="4820" w:type="dxa"/>
            <w:hideMark/>
          </w:tcPr>
          <w:p w14:paraId="623C2370"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Whether the stimulus is an ad, story, or other type of text</w:t>
            </w:r>
          </w:p>
        </w:tc>
        <w:tc>
          <w:tcPr>
            <w:tcW w:w="2127" w:type="dxa"/>
            <w:hideMark/>
          </w:tcPr>
          <w:p w14:paraId="38287061"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0 = Ad</w:t>
            </w:r>
          </w:p>
          <w:p w14:paraId="026C1A46"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1 = Story</w:t>
            </w:r>
          </w:p>
          <w:p w14:paraId="0838AB87"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2 = Other</w:t>
            </w:r>
          </w:p>
        </w:tc>
      </w:tr>
      <w:tr w:rsidR="00BE76EE" w:rsidRPr="001F5142" w14:paraId="5EE00072" w14:textId="77777777" w:rsidTr="000042B8">
        <w:tc>
          <w:tcPr>
            <w:tcW w:w="2400" w:type="dxa"/>
            <w:hideMark/>
          </w:tcPr>
          <w:p w14:paraId="374B6573" w14:textId="77777777" w:rsidR="00BE76EE" w:rsidRPr="001F5142" w:rsidRDefault="00BE76EE" w:rsidP="000042B8">
            <w:pPr>
              <w:spacing w:line="240" w:lineRule="auto"/>
              <w:rPr>
                <w:rFonts w:cs="Times New Roman"/>
                <w:sz w:val="20"/>
                <w:szCs w:val="20"/>
                <w:lang w:val="en-US"/>
              </w:rPr>
            </w:pPr>
            <w:r w:rsidRPr="001F5142">
              <w:rPr>
                <w:rFonts w:eastAsia="Arial" w:cs="Times New Roman"/>
                <w:b/>
                <w:i/>
                <w:sz w:val="20"/>
                <w:szCs w:val="20"/>
                <w:lang w:val="en-US"/>
              </w:rPr>
              <w:t>Sample Characteristics</w:t>
            </w:r>
          </w:p>
        </w:tc>
        <w:tc>
          <w:tcPr>
            <w:tcW w:w="4820" w:type="dxa"/>
          </w:tcPr>
          <w:p w14:paraId="627FCDC3" w14:textId="77777777" w:rsidR="00BE76EE" w:rsidRPr="001F5142" w:rsidRDefault="00BE76EE" w:rsidP="000042B8">
            <w:pPr>
              <w:spacing w:line="240" w:lineRule="auto"/>
              <w:rPr>
                <w:rFonts w:cs="Times New Roman"/>
                <w:sz w:val="20"/>
                <w:szCs w:val="20"/>
                <w:lang w:val="en-US"/>
              </w:rPr>
            </w:pPr>
          </w:p>
        </w:tc>
        <w:tc>
          <w:tcPr>
            <w:tcW w:w="2127" w:type="dxa"/>
          </w:tcPr>
          <w:p w14:paraId="5C05A035" w14:textId="77777777" w:rsidR="00BE76EE" w:rsidRPr="001F5142" w:rsidRDefault="00BE76EE" w:rsidP="000042B8">
            <w:pPr>
              <w:spacing w:line="240" w:lineRule="auto"/>
              <w:rPr>
                <w:rFonts w:cs="Times New Roman"/>
                <w:sz w:val="20"/>
                <w:szCs w:val="20"/>
                <w:lang w:val="en-US"/>
              </w:rPr>
            </w:pPr>
          </w:p>
        </w:tc>
      </w:tr>
      <w:tr w:rsidR="00BE76EE" w:rsidRPr="001F5142" w14:paraId="3CC9A975" w14:textId="77777777" w:rsidTr="000042B8">
        <w:tc>
          <w:tcPr>
            <w:tcW w:w="2400" w:type="dxa"/>
            <w:hideMark/>
          </w:tcPr>
          <w:p w14:paraId="527E0488"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 xml:space="preserve">Students (vs. non-student) sample </w:t>
            </w:r>
          </w:p>
        </w:tc>
        <w:tc>
          <w:tcPr>
            <w:tcW w:w="4820" w:type="dxa"/>
          </w:tcPr>
          <w:p w14:paraId="4780BD8E"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Proportion of university</w:t>
            </w:r>
            <w:r>
              <w:rPr>
                <w:rFonts w:eastAsia="Arial" w:cs="Times New Roman"/>
                <w:sz w:val="20"/>
                <w:szCs w:val="20"/>
                <w:lang w:val="en-US"/>
              </w:rPr>
              <w:t>-</w:t>
            </w:r>
            <w:r w:rsidRPr="001F5142">
              <w:rPr>
                <w:rFonts w:eastAsia="Arial" w:cs="Times New Roman"/>
                <w:sz w:val="20"/>
                <w:szCs w:val="20"/>
                <w:lang w:val="en-US"/>
              </w:rPr>
              <w:t>educated participants in the sample</w:t>
            </w:r>
          </w:p>
        </w:tc>
        <w:tc>
          <w:tcPr>
            <w:tcW w:w="2127" w:type="dxa"/>
            <w:hideMark/>
          </w:tcPr>
          <w:p w14:paraId="30F4DCDC"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Percent</w:t>
            </w:r>
          </w:p>
        </w:tc>
      </w:tr>
      <w:tr w:rsidR="00BE76EE" w:rsidRPr="001F5142" w14:paraId="49FDB2E6" w14:textId="77777777" w:rsidTr="000042B8">
        <w:tc>
          <w:tcPr>
            <w:tcW w:w="2400" w:type="dxa"/>
            <w:hideMark/>
          </w:tcPr>
          <w:p w14:paraId="1F76B690"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Age</w:t>
            </w:r>
          </w:p>
        </w:tc>
        <w:tc>
          <w:tcPr>
            <w:tcW w:w="4820" w:type="dxa"/>
            <w:hideMark/>
          </w:tcPr>
          <w:p w14:paraId="2846699D"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Mean age in years</w:t>
            </w:r>
          </w:p>
        </w:tc>
        <w:tc>
          <w:tcPr>
            <w:tcW w:w="2127" w:type="dxa"/>
          </w:tcPr>
          <w:p w14:paraId="304E6176" w14:textId="77777777" w:rsidR="00BE76EE" w:rsidRPr="001F5142" w:rsidRDefault="00BE76EE" w:rsidP="000042B8">
            <w:pPr>
              <w:spacing w:line="240" w:lineRule="auto"/>
              <w:rPr>
                <w:rFonts w:cs="Times New Roman"/>
                <w:sz w:val="20"/>
                <w:szCs w:val="20"/>
                <w:lang w:val="en-US"/>
              </w:rPr>
            </w:pPr>
          </w:p>
        </w:tc>
      </w:tr>
      <w:tr w:rsidR="00BE76EE" w:rsidRPr="001F5142" w14:paraId="2C7B60DA" w14:textId="77777777" w:rsidTr="000042B8">
        <w:tc>
          <w:tcPr>
            <w:tcW w:w="2400" w:type="dxa"/>
            <w:hideMark/>
          </w:tcPr>
          <w:p w14:paraId="24C502E3"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Female</w:t>
            </w:r>
          </w:p>
        </w:tc>
        <w:tc>
          <w:tcPr>
            <w:tcW w:w="4820" w:type="dxa"/>
            <w:hideMark/>
          </w:tcPr>
          <w:p w14:paraId="350C966F" w14:textId="77777777" w:rsidR="00BE76EE" w:rsidRPr="001F5142" w:rsidRDefault="00BE76EE" w:rsidP="000042B8">
            <w:pPr>
              <w:spacing w:line="240" w:lineRule="auto"/>
              <w:rPr>
                <w:rFonts w:cs="Times New Roman"/>
                <w:sz w:val="20"/>
                <w:szCs w:val="20"/>
                <w:lang w:val="en-US"/>
              </w:rPr>
            </w:pPr>
            <w:r w:rsidRPr="001F5142">
              <w:rPr>
                <w:rFonts w:eastAsia="Arial" w:cs="Times New Roman"/>
                <w:sz w:val="20"/>
                <w:szCs w:val="20"/>
                <w:lang w:val="en-US"/>
              </w:rPr>
              <w:t>Proportion of female participants</w:t>
            </w:r>
          </w:p>
        </w:tc>
        <w:tc>
          <w:tcPr>
            <w:tcW w:w="2127" w:type="dxa"/>
            <w:hideMark/>
          </w:tcPr>
          <w:p w14:paraId="3EF3DD3E" w14:textId="77777777" w:rsidR="00BE76EE" w:rsidRPr="001F5142" w:rsidRDefault="00BE76EE" w:rsidP="000042B8">
            <w:pPr>
              <w:spacing w:line="240" w:lineRule="auto"/>
              <w:rPr>
                <w:rFonts w:cs="Times New Roman"/>
                <w:sz w:val="20"/>
                <w:szCs w:val="20"/>
                <w:lang w:val="en-US"/>
              </w:rPr>
            </w:pPr>
            <w:r w:rsidRPr="001F5142">
              <w:rPr>
                <w:rFonts w:cs="Times New Roman"/>
                <w:sz w:val="20"/>
                <w:szCs w:val="20"/>
                <w:lang w:val="en-US"/>
              </w:rPr>
              <w:t>Percent</w:t>
            </w:r>
          </w:p>
        </w:tc>
      </w:tr>
      <w:tr w:rsidR="00BE76EE" w:rsidRPr="001F5142" w14:paraId="594C8400" w14:textId="77777777" w:rsidTr="000042B8">
        <w:tc>
          <w:tcPr>
            <w:tcW w:w="2400" w:type="dxa"/>
            <w:hideMark/>
          </w:tcPr>
          <w:p w14:paraId="143F500F"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Sample size</w:t>
            </w:r>
          </w:p>
        </w:tc>
        <w:tc>
          <w:tcPr>
            <w:tcW w:w="4820" w:type="dxa"/>
            <w:hideMark/>
          </w:tcPr>
          <w:p w14:paraId="5BEF0027" w14:textId="77777777" w:rsidR="00BE76EE" w:rsidRPr="001F5142" w:rsidRDefault="00BE76EE" w:rsidP="000042B8">
            <w:pPr>
              <w:spacing w:line="240" w:lineRule="auto"/>
              <w:rPr>
                <w:rFonts w:eastAsia="Arial" w:cs="Times New Roman"/>
                <w:sz w:val="20"/>
                <w:szCs w:val="20"/>
                <w:lang w:val="en-US"/>
              </w:rPr>
            </w:pPr>
            <w:r w:rsidRPr="001F5142">
              <w:rPr>
                <w:rFonts w:eastAsia="Arial" w:cs="Times New Roman"/>
                <w:sz w:val="20"/>
                <w:szCs w:val="20"/>
                <w:lang w:val="en-US"/>
              </w:rPr>
              <w:t>Number of valid responses in the sample</w:t>
            </w:r>
          </w:p>
        </w:tc>
        <w:tc>
          <w:tcPr>
            <w:tcW w:w="2127" w:type="dxa"/>
          </w:tcPr>
          <w:p w14:paraId="7AE5B48D" w14:textId="77777777" w:rsidR="00BE76EE" w:rsidRPr="001F5142" w:rsidRDefault="00BE76EE" w:rsidP="000042B8">
            <w:pPr>
              <w:spacing w:line="240" w:lineRule="auto"/>
              <w:rPr>
                <w:rFonts w:cs="Times New Roman"/>
                <w:sz w:val="20"/>
                <w:szCs w:val="20"/>
                <w:lang w:val="en-US"/>
              </w:rPr>
            </w:pPr>
          </w:p>
        </w:tc>
      </w:tr>
      <w:tr w:rsidR="00BE76EE" w:rsidRPr="001F5142" w14:paraId="6F83EC88" w14:textId="77777777" w:rsidTr="000042B8">
        <w:tc>
          <w:tcPr>
            <w:tcW w:w="9347" w:type="dxa"/>
            <w:gridSpan w:val="3"/>
            <w:hideMark/>
          </w:tcPr>
          <w:p w14:paraId="6770DAB9" w14:textId="77777777" w:rsidR="00BE76EE" w:rsidRPr="001F5142" w:rsidRDefault="00BE76EE" w:rsidP="000042B8">
            <w:pPr>
              <w:spacing w:line="240" w:lineRule="auto"/>
              <w:rPr>
                <w:rFonts w:cs="Times New Roman"/>
                <w:sz w:val="20"/>
                <w:szCs w:val="20"/>
                <w:lang w:val="en-US"/>
              </w:rPr>
            </w:pPr>
            <w:r w:rsidRPr="001F5142">
              <w:rPr>
                <w:rFonts w:eastAsia="Arial" w:cs="Times New Roman"/>
                <w:b/>
                <w:i/>
                <w:sz w:val="20"/>
                <w:szCs w:val="20"/>
                <w:lang w:val="en-US"/>
              </w:rPr>
              <w:t>Publication Characteristics</w:t>
            </w:r>
          </w:p>
        </w:tc>
      </w:tr>
      <w:tr w:rsidR="00BE76EE" w:rsidRPr="001F5142" w14:paraId="755F6F2F" w14:textId="77777777" w:rsidTr="000042B8">
        <w:tc>
          <w:tcPr>
            <w:tcW w:w="2400" w:type="dxa"/>
            <w:hideMark/>
          </w:tcPr>
          <w:p w14:paraId="33160AE1"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Publication type</w:t>
            </w:r>
          </w:p>
        </w:tc>
        <w:tc>
          <w:tcPr>
            <w:tcW w:w="4820" w:type="dxa"/>
            <w:hideMark/>
          </w:tcPr>
          <w:p w14:paraId="6FAC1BBF" w14:textId="77777777" w:rsidR="00BE76EE" w:rsidRPr="001F5142" w:rsidRDefault="00BE76EE" w:rsidP="000042B8">
            <w:pPr>
              <w:spacing w:line="240" w:lineRule="auto"/>
              <w:rPr>
                <w:rFonts w:eastAsia="Arial" w:cs="Times New Roman"/>
                <w:sz w:val="20"/>
                <w:szCs w:val="20"/>
                <w:lang w:val="en-US"/>
              </w:rPr>
            </w:pPr>
            <w:r w:rsidRPr="001F5142">
              <w:rPr>
                <w:rFonts w:cs="Times New Roman"/>
                <w:color w:val="000000"/>
                <w:sz w:val="20"/>
                <w:szCs w:val="20"/>
                <w:lang w:val="en-US"/>
              </w:rPr>
              <w:t>Published academic articles in journals, unpublished theses, or working papers</w:t>
            </w:r>
          </w:p>
        </w:tc>
        <w:tc>
          <w:tcPr>
            <w:tcW w:w="2127" w:type="dxa"/>
            <w:hideMark/>
          </w:tcPr>
          <w:p w14:paraId="38B16F90"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0 = published</w:t>
            </w:r>
          </w:p>
          <w:p w14:paraId="0A11C6DA"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1 = unpublished</w:t>
            </w:r>
          </w:p>
          <w:p w14:paraId="67063D02" w14:textId="77777777" w:rsidR="00BE76EE" w:rsidRPr="001F5142" w:rsidRDefault="00BE76EE" w:rsidP="000042B8">
            <w:pPr>
              <w:spacing w:line="240" w:lineRule="auto"/>
              <w:rPr>
                <w:rFonts w:cs="Times New Roman"/>
                <w:sz w:val="20"/>
                <w:szCs w:val="20"/>
                <w:lang w:val="en-US"/>
              </w:rPr>
            </w:pPr>
            <w:r w:rsidRPr="001F5142">
              <w:rPr>
                <w:rFonts w:cs="Times New Roman"/>
                <w:color w:val="000000"/>
                <w:sz w:val="20"/>
                <w:szCs w:val="20"/>
                <w:lang w:val="en-US"/>
              </w:rPr>
              <w:t>2 = working papers</w:t>
            </w:r>
          </w:p>
        </w:tc>
      </w:tr>
      <w:tr w:rsidR="00BE76EE" w:rsidRPr="001F5142" w14:paraId="0BEAA0CC" w14:textId="77777777" w:rsidTr="000042B8">
        <w:tc>
          <w:tcPr>
            <w:tcW w:w="2400" w:type="dxa"/>
            <w:hideMark/>
          </w:tcPr>
          <w:p w14:paraId="693948C5"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Journal impact factor</w:t>
            </w:r>
          </w:p>
        </w:tc>
        <w:tc>
          <w:tcPr>
            <w:tcW w:w="4820" w:type="dxa"/>
            <w:hideMark/>
          </w:tcPr>
          <w:p w14:paraId="55A9A095" w14:textId="77777777" w:rsidR="00BE76EE" w:rsidRPr="001F5142" w:rsidRDefault="00BE76EE" w:rsidP="000042B8">
            <w:pPr>
              <w:spacing w:line="240" w:lineRule="auto"/>
              <w:rPr>
                <w:rFonts w:eastAsia="Arial" w:cs="Times New Roman"/>
                <w:sz w:val="20"/>
                <w:szCs w:val="20"/>
                <w:lang w:val="en-US"/>
              </w:rPr>
            </w:pPr>
            <w:r>
              <w:rPr>
                <w:rFonts w:eastAsia="Arial" w:cs="Times New Roman"/>
                <w:sz w:val="20"/>
                <w:szCs w:val="20"/>
                <w:lang w:val="en-US"/>
              </w:rPr>
              <w:t>J</w:t>
            </w:r>
            <w:r w:rsidRPr="001F5142">
              <w:rPr>
                <w:rFonts w:eastAsia="Arial" w:cs="Times New Roman"/>
                <w:sz w:val="20"/>
                <w:szCs w:val="20"/>
                <w:lang w:val="en-US"/>
              </w:rPr>
              <w:t>ournal impact factor as listed on Webofknowledge.com</w:t>
            </w:r>
          </w:p>
        </w:tc>
        <w:tc>
          <w:tcPr>
            <w:tcW w:w="2127" w:type="dxa"/>
          </w:tcPr>
          <w:p w14:paraId="678246FF" w14:textId="77777777" w:rsidR="00BE76EE" w:rsidRPr="001F5142" w:rsidRDefault="00BE76EE" w:rsidP="000042B8">
            <w:pPr>
              <w:spacing w:line="240" w:lineRule="auto"/>
              <w:rPr>
                <w:rFonts w:cs="Times New Roman"/>
                <w:sz w:val="20"/>
                <w:szCs w:val="20"/>
                <w:lang w:val="en-US"/>
              </w:rPr>
            </w:pPr>
          </w:p>
        </w:tc>
      </w:tr>
      <w:tr w:rsidR="00BE76EE" w:rsidRPr="001F5142" w14:paraId="0BA9F54E" w14:textId="77777777" w:rsidTr="000042B8">
        <w:tc>
          <w:tcPr>
            <w:tcW w:w="2400" w:type="dxa"/>
            <w:tcBorders>
              <w:top w:val="nil"/>
              <w:left w:val="nil"/>
              <w:bottom w:val="single" w:sz="4" w:space="0" w:color="auto"/>
              <w:right w:val="nil"/>
            </w:tcBorders>
            <w:hideMark/>
          </w:tcPr>
          <w:p w14:paraId="432764C3" w14:textId="77777777" w:rsidR="00BE76EE" w:rsidRPr="001F5142" w:rsidRDefault="00BE76EE" w:rsidP="000042B8">
            <w:pPr>
              <w:spacing w:line="240" w:lineRule="auto"/>
              <w:rPr>
                <w:rFonts w:cs="Times New Roman"/>
                <w:color w:val="000000"/>
                <w:sz w:val="20"/>
                <w:szCs w:val="20"/>
                <w:lang w:val="en-US"/>
              </w:rPr>
            </w:pPr>
            <w:r w:rsidRPr="001F5142">
              <w:rPr>
                <w:rFonts w:cs="Times New Roman"/>
                <w:color w:val="000000"/>
                <w:sz w:val="20"/>
                <w:szCs w:val="20"/>
                <w:lang w:val="en-US"/>
              </w:rPr>
              <w:t>Year</w:t>
            </w:r>
          </w:p>
        </w:tc>
        <w:tc>
          <w:tcPr>
            <w:tcW w:w="4820" w:type="dxa"/>
            <w:tcBorders>
              <w:top w:val="nil"/>
              <w:left w:val="nil"/>
              <w:bottom w:val="single" w:sz="4" w:space="0" w:color="auto"/>
              <w:right w:val="nil"/>
            </w:tcBorders>
            <w:hideMark/>
          </w:tcPr>
          <w:p w14:paraId="59515E96" w14:textId="77777777" w:rsidR="00BE76EE" w:rsidRPr="001F5142" w:rsidRDefault="00BE76EE" w:rsidP="000042B8">
            <w:pPr>
              <w:spacing w:line="240" w:lineRule="auto"/>
              <w:rPr>
                <w:rFonts w:eastAsia="Arial" w:cs="Times New Roman"/>
                <w:sz w:val="20"/>
                <w:szCs w:val="20"/>
                <w:lang w:val="en-US"/>
              </w:rPr>
            </w:pPr>
            <w:r>
              <w:rPr>
                <w:rFonts w:eastAsia="Arial" w:cs="Times New Roman"/>
                <w:sz w:val="20"/>
                <w:szCs w:val="20"/>
                <w:lang w:val="en-US"/>
              </w:rPr>
              <w:t>P</w:t>
            </w:r>
            <w:r w:rsidRPr="001F5142">
              <w:rPr>
                <w:rFonts w:eastAsia="Arial" w:cs="Times New Roman"/>
                <w:sz w:val="20"/>
                <w:szCs w:val="20"/>
                <w:lang w:val="en-US"/>
              </w:rPr>
              <w:t>ublication year of the article</w:t>
            </w:r>
          </w:p>
        </w:tc>
        <w:tc>
          <w:tcPr>
            <w:tcW w:w="2127" w:type="dxa"/>
            <w:tcBorders>
              <w:top w:val="nil"/>
              <w:left w:val="nil"/>
              <w:bottom w:val="single" w:sz="4" w:space="0" w:color="auto"/>
              <w:right w:val="nil"/>
            </w:tcBorders>
          </w:tcPr>
          <w:p w14:paraId="21A680DA" w14:textId="77777777" w:rsidR="00BE76EE" w:rsidRPr="001F5142" w:rsidRDefault="00BE76EE" w:rsidP="000042B8">
            <w:pPr>
              <w:spacing w:line="240" w:lineRule="auto"/>
              <w:rPr>
                <w:rFonts w:cs="Times New Roman"/>
                <w:sz w:val="20"/>
                <w:szCs w:val="20"/>
                <w:lang w:val="en-US"/>
              </w:rPr>
            </w:pPr>
          </w:p>
        </w:tc>
      </w:tr>
    </w:tbl>
    <w:p w14:paraId="4A73EEFD" w14:textId="77777777" w:rsidR="00CD4BCF" w:rsidRDefault="00CD4BCF" w:rsidP="006C0B27">
      <w:pPr>
        <w:spacing w:after="60" w:line="240" w:lineRule="auto"/>
      </w:pPr>
    </w:p>
    <w:p w14:paraId="2BAC852E" w14:textId="77777777" w:rsidR="000A378D" w:rsidRDefault="000A378D" w:rsidP="006C0B27">
      <w:pPr>
        <w:spacing w:after="60" w:line="240" w:lineRule="auto"/>
        <w:sectPr w:rsidR="000A378D" w:rsidSect="00CB4C52">
          <w:pgSz w:w="12242" w:h="15842" w:code="1"/>
          <w:pgMar w:top="1440" w:right="1440" w:bottom="1440" w:left="1440" w:header="709" w:footer="709" w:gutter="0"/>
          <w:cols w:space="708"/>
          <w:docGrid w:linePitch="360"/>
        </w:sectPr>
      </w:pPr>
    </w:p>
    <w:p w14:paraId="337F5ED0" w14:textId="34D0E887" w:rsidR="00C66E5F" w:rsidRPr="002D2D8C" w:rsidRDefault="00C66E5F" w:rsidP="00CA2C63">
      <w:pPr>
        <w:pStyle w:val="Heading2"/>
        <w:jc w:val="center"/>
        <w:rPr>
          <w:rFonts w:eastAsia="Calibri"/>
          <w:lang w:val="en-US"/>
        </w:rPr>
      </w:pPr>
      <w:bookmarkStart w:id="10" w:name="_Toc185425563"/>
      <w:r w:rsidRPr="00F50308">
        <w:rPr>
          <w:rFonts w:eastAsia="Calibri"/>
          <w:lang w:val="en-US"/>
        </w:rPr>
        <w:t xml:space="preserve">Web Appendix </w:t>
      </w:r>
      <w:r w:rsidR="00CA2C63">
        <w:rPr>
          <w:rFonts w:eastAsia="Calibri"/>
          <w:lang w:val="en-US"/>
        </w:rPr>
        <w:t>A</w:t>
      </w:r>
      <w:r w:rsidR="00BE76EE">
        <w:rPr>
          <w:rFonts w:eastAsia="Calibri"/>
          <w:lang w:val="en-US"/>
        </w:rPr>
        <w:t>4</w:t>
      </w:r>
      <w:r w:rsidRPr="00F50308">
        <w:rPr>
          <w:rFonts w:eastAsia="Calibri"/>
          <w:lang w:val="en-US"/>
        </w:rPr>
        <w:t xml:space="preserve">. </w:t>
      </w:r>
      <w:r w:rsidR="00185C60" w:rsidRPr="00185C60">
        <w:rPr>
          <w:rFonts w:eastAsia="Calibri"/>
          <w:lang w:val="en-US"/>
        </w:rPr>
        <w:t xml:space="preserve">Funnel </w:t>
      </w:r>
      <w:r w:rsidR="00CA2C63" w:rsidRPr="00185C60">
        <w:rPr>
          <w:rFonts w:eastAsia="Calibri"/>
          <w:lang w:val="en-US"/>
        </w:rPr>
        <w:t xml:space="preserve">plot for the </w:t>
      </w:r>
      <w:r w:rsidR="00CA2C63">
        <w:rPr>
          <w:rFonts w:eastAsia="Calibri"/>
          <w:lang w:val="en-US"/>
        </w:rPr>
        <w:t>outcomes</w:t>
      </w:r>
      <w:bookmarkEnd w:id="10"/>
    </w:p>
    <w:p w14:paraId="0BEB7D4B" w14:textId="775881AB" w:rsidR="00433911" w:rsidRDefault="004B5D85" w:rsidP="004B5D85">
      <w:pPr>
        <w:spacing w:after="60" w:line="240" w:lineRule="auto"/>
        <w:jc w:val="center"/>
        <w:rPr>
          <w:rFonts w:cs="Times New Roman"/>
          <w:bCs/>
          <w:sz w:val="20"/>
          <w:szCs w:val="20"/>
        </w:rPr>
      </w:pPr>
      <w:r>
        <w:rPr>
          <w:rFonts w:cs="Times New Roman"/>
          <w:bCs/>
          <w:noProof/>
          <w:sz w:val="20"/>
          <w:szCs w:val="20"/>
          <w:lang w:val="en-AU" w:eastAsia="en-AU"/>
        </w:rPr>
        <w:drawing>
          <wp:inline distT="0" distB="0" distL="0" distR="0" wp14:anchorId="25F035C2" wp14:editId="2EA126C1">
            <wp:extent cx="7608570" cy="5084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08570" cy="5084445"/>
                    </a:xfrm>
                    <a:prstGeom prst="rect">
                      <a:avLst/>
                    </a:prstGeom>
                    <a:noFill/>
                  </pic:spPr>
                </pic:pic>
              </a:graphicData>
            </a:graphic>
          </wp:inline>
        </w:drawing>
      </w:r>
    </w:p>
    <w:p w14:paraId="3A626319" w14:textId="77777777" w:rsidR="006758D5" w:rsidRDefault="006758D5" w:rsidP="00241FDB">
      <w:pPr>
        <w:spacing w:after="60" w:line="240" w:lineRule="auto"/>
        <w:rPr>
          <w:rFonts w:cs="Times New Roman"/>
          <w:bCs/>
          <w:sz w:val="20"/>
          <w:szCs w:val="20"/>
        </w:rPr>
      </w:pPr>
    </w:p>
    <w:p w14:paraId="58410001" w14:textId="77777777" w:rsidR="00C66E5F" w:rsidRDefault="00C66E5F" w:rsidP="00241FDB">
      <w:pPr>
        <w:spacing w:after="60" w:line="240" w:lineRule="auto"/>
        <w:rPr>
          <w:rFonts w:cs="Times New Roman"/>
          <w:bCs/>
          <w:sz w:val="20"/>
          <w:szCs w:val="20"/>
        </w:rPr>
        <w:sectPr w:rsidR="00C66E5F" w:rsidSect="00CB4C52">
          <w:pgSz w:w="15842" w:h="12242" w:orient="landscape" w:code="1"/>
          <w:pgMar w:top="1440" w:right="1440" w:bottom="1440" w:left="1440" w:header="709" w:footer="709" w:gutter="0"/>
          <w:cols w:space="708"/>
          <w:docGrid w:linePitch="360"/>
        </w:sectPr>
      </w:pPr>
    </w:p>
    <w:p w14:paraId="456DCA5F" w14:textId="2A9F4826" w:rsidR="00A24E2C" w:rsidRPr="003A746D" w:rsidRDefault="00A24E2C" w:rsidP="00CA2C63">
      <w:pPr>
        <w:pStyle w:val="Heading2"/>
        <w:jc w:val="center"/>
        <w:rPr>
          <w:rFonts w:cs="Times New Roman"/>
        </w:rPr>
      </w:pPr>
      <w:bookmarkStart w:id="11" w:name="_Toc185425564"/>
      <w:r w:rsidRPr="00F50308">
        <w:rPr>
          <w:rFonts w:eastAsia="Calibri" w:cs="Times New Roman"/>
          <w:lang w:val="en-US"/>
        </w:rPr>
        <w:t xml:space="preserve">Web Appendix </w:t>
      </w:r>
      <w:r w:rsidR="00BE76EE">
        <w:rPr>
          <w:rFonts w:eastAsia="Calibri" w:cs="Times New Roman"/>
          <w:lang w:val="en-US"/>
        </w:rPr>
        <w:t>A5</w:t>
      </w:r>
      <w:r w:rsidRPr="00F50308">
        <w:rPr>
          <w:rFonts w:eastAsia="Calibri" w:cs="Times New Roman"/>
          <w:lang w:val="en-US"/>
        </w:rPr>
        <w:t xml:space="preserve">. </w:t>
      </w:r>
      <w:r w:rsidRPr="003A746D">
        <w:t xml:space="preserve">Average </w:t>
      </w:r>
      <w:r w:rsidR="00CA2C63" w:rsidRPr="003A746D">
        <w:t>effects of analytical vs. narrative information processing</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352"/>
      </w:tblGrid>
      <w:tr w:rsidR="00A24E2C" w:rsidRPr="006A755F" w14:paraId="3E771E4B" w14:textId="77777777" w:rsidTr="000042B8">
        <w:tc>
          <w:tcPr>
            <w:tcW w:w="9352" w:type="dxa"/>
            <w:tcBorders>
              <w:top w:val="single" w:sz="4" w:space="0" w:color="auto"/>
            </w:tcBorders>
          </w:tcPr>
          <w:p w14:paraId="1FF96A7E" w14:textId="77777777" w:rsidR="00A24E2C" w:rsidRPr="006A755F" w:rsidRDefault="00A24E2C" w:rsidP="000042B8">
            <w:pPr>
              <w:spacing w:line="240" w:lineRule="auto"/>
              <w:rPr>
                <w:rFonts w:cs="Times New Roman"/>
                <w:b/>
                <w:bCs/>
                <w:sz w:val="22"/>
                <w:lang w:val="en-US"/>
              </w:rPr>
            </w:pPr>
            <w:r>
              <w:rPr>
                <w:rFonts w:cs="Times New Roman"/>
                <w:b/>
                <w:bCs/>
                <w:sz w:val="22"/>
                <w:lang w:val="en-US"/>
              </w:rPr>
              <w:t xml:space="preserve">A: </w:t>
            </w:r>
            <w:r w:rsidRPr="00B0669D">
              <w:rPr>
                <w:rFonts w:cs="Times New Roman"/>
                <w:b/>
                <w:bCs/>
                <w:sz w:val="22"/>
                <w:lang w:val="en-US"/>
              </w:rPr>
              <w:t xml:space="preserve">Average </w:t>
            </w:r>
            <w:r w:rsidRPr="00B0669D">
              <w:rPr>
                <w:rFonts w:cs="Times New Roman"/>
                <w:b/>
                <w:bCs/>
                <w:i/>
                <w:iCs/>
                <w:sz w:val="22"/>
                <w:lang w:val="en-US"/>
              </w:rPr>
              <w:t>r</w:t>
            </w:r>
            <w:r w:rsidRPr="00B0669D">
              <w:rPr>
                <w:rFonts w:cs="Times New Roman"/>
                <w:b/>
                <w:bCs/>
                <w:sz w:val="22"/>
                <w:lang w:val="en-US"/>
              </w:rPr>
              <w:t xml:space="preserve"> (simple comparison)</w:t>
            </w:r>
          </w:p>
        </w:tc>
      </w:tr>
      <w:tr w:rsidR="00A24E2C" w:rsidRPr="006A755F" w14:paraId="641AEFD8" w14:textId="77777777" w:rsidTr="000042B8">
        <w:tc>
          <w:tcPr>
            <w:tcW w:w="9352" w:type="dxa"/>
            <w:tcBorders>
              <w:bottom w:val="single" w:sz="4" w:space="0" w:color="auto"/>
            </w:tcBorders>
          </w:tcPr>
          <w:p w14:paraId="7AD1F7C3" w14:textId="77777777" w:rsidR="00A24E2C" w:rsidRPr="006A755F" w:rsidRDefault="00A24E2C" w:rsidP="000042B8">
            <w:pPr>
              <w:spacing w:line="240" w:lineRule="auto"/>
              <w:jc w:val="center"/>
              <w:rPr>
                <w:rFonts w:cs="Times New Roman"/>
                <w:b/>
                <w:bCs/>
                <w:sz w:val="22"/>
                <w:lang w:val="en-US"/>
              </w:rPr>
            </w:pPr>
            <w:r>
              <w:rPr>
                <w:rFonts w:cs="Times New Roman"/>
                <w:b/>
                <w:bCs/>
                <w:noProof/>
                <w:sz w:val="22"/>
                <w:lang w:val="en-AU" w:eastAsia="en-AU"/>
              </w:rPr>
              <w:drawing>
                <wp:inline distT="0" distB="0" distL="0" distR="0" wp14:anchorId="2EF37BC8" wp14:editId="4DE0646C">
                  <wp:extent cx="4572635" cy="2743200"/>
                  <wp:effectExtent l="0" t="0" r="0" b="0"/>
                  <wp:docPr id="613515698" name="Picture 4"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515698" name="Picture 4" descr="A graph of a bar graph&#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tc>
      </w:tr>
      <w:tr w:rsidR="00A24E2C" w:rsidRPr="006A755F" w14:paraId="00FAFE82" w14:textId="77777777" w:rsidTr="000042B8">
        <w:tc>
          <w:tcPr>
            <w:tcW w:w="9352" w:type="dxa"/>
            <w:tcBorders>
              <w:top w:val="single" w:sz="4" w:space="0" w:color="auto"/>
            </w:tcBorders>
          </w:tcPr>
          <w:p w14:paraId="787022FB" w14:textId="77777777" w:rsidR="00A24E2C" w:rsidRPr="006A755F" w:rsidRDefault="00A24E2C" w:rsidP="000042B8">
            <w:pPr>
              <w:spacing w:line="240" w:lineRule="auto"/>
              <w:rPr>
                <w:rFonts w:cs="Times New Roman"/>
                <w:b/>
                <w:bCs/>
                <w:sz w:val="22"/>
                <w:lang w:val="en-US"/>
              </w:rPr>
            </w:pPr>
            <w:r>
              <w:rPr>
                <w:rFonts w:cs="Times New Roman"/>
                <w:b/>
                <w:bCs/>
                <w:sz w:val="22"/>
                <w:lang w:val="en-US"/>
              </w:rPr>
              <w:t xml:space="preserve">B: </w:t>
            </w:r>
            <w:r w:rsidRPr="00B0669D">
              <w:rPr>
                <w:rFonts w:cs="Times New Roman"/>
                <w:b/>
                <w:bCs/>
                <w:sz w:val="22"/>
                <w:lang w:val="en-US"/>
              </w:rPr>
              <w:t xml:space="preserve">Predicted </w:t>
            </w:r>
            <w:r w:rsidRPr="00B0669D">
              <w:rPr>
                <w:rFonts w:cs="Times New Roman"/>
                <w:b/>
                <w:bCs/>
                <w:i/>
                <w:iCs/>
                <w:sz w:val="22"/>
                <w:lang w:val="en-US"/>
              </w:rPr>
              <w:t>r</w:t>
            </w:r>
            <w:r w:rsidRPr="00B0669D">
              <w:rPr>
                <w:rFonts w:cs="Times New Roman"/>
                <w:b/>
                <w:bCs/>
                <w:sz w:val="22"/>
                <w:lang w:val="en-US"/>
              </w:rPr>
              <w:t xml:space="preserve"> (including controls)</w:t>
            </w:r>
          </w:p>
        </w:tc>
      </w:tr>
      <w:tr w:rsidR="00A24E2C" w:rsidRPr="006A755F" w14:paraId="5188EBF6" w14:textId="77777777" w:rsidTr="000042B8">
        <w:tc>
          <w:tcPr>
            <w:tcW w:w="9352" w:type="dxa"/>
            <w:tcBorders>
              <w:bottom w:val="single" w:sz="4" w:space="0" w:color="auto"/>
            </w:tcBorders>
          </w:tcPr>
          <w:p w14:paraId="38027680" w14:textId="77777777" w:rsidR="00A24E2C" w:rsidRPr="006A755F" w:rsidRDefault="00A24E2C" w:rsidP="000042B8">
            <w:pPr>
              <w:spacing w:line="240" w:lineRule="auto"/>
              <w:jc w:val="center"/>
              <w:rPr>
                <w:rFonts w:cs="Times New Roman"/>
                <w:b/>
                <w:bCs/>
                <w:sz w:val="22"/>
                <w:lang w:val="en-US"/>
              </w:rPr>
            </w:pPr>
            <w:r>
              <w:rPr>
                <w:rFonts w:cs="Times New Roman"/>
                <w:b/>
                <w:bCs/>
                <w:noProof/>
                <w:sz w:val="22"/>
                <w:lang w:val="en-AU" w:eastAsia="en-AU"/>
              </w:rPr>
              <w:drawing>
                <wp:inline distT="0" distB="0" distL="0" distR="0" wp14:anchorId="347968FD" wp14:editId="30BD7F03">
                  <wp:extent cx="4572635" cy="2743200"/>
                  <wp:effectExtent l="0" t="0" r="0" b="0"/>
                  <wp:docPr id="877203865" name="Picture 5"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03865" name="Picture 5" descr="A graph of a bar graph&#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tc>
      </w:tr>
    </w:tbl>
    <w:p w14:paraId="4D801336" w14:textId="4AA17432" w:rsidR="00A24E2C" w:rsidRDefault="00A24E2C">
      <w:pPr>
        <w:spacing w:after="160" w:line="259" w:lineRule="auto"/>
        <w:rPr>
          <w:rFonts w:eastAsia="Calibri" w:cs="Times New Roman"/>
          <w:b/>
          <w:szCs w:val="32"/>
          <w:lang w:val="en-US"/>
        </w:rPr>
      </w:pPr>
    </w:p>
    <w:p w14:paraId="50AA14F5" w14:textId="42E242DC" w:rsidR="00C66E5F" w:rsidRPr="002D2D8C" w:rsidRDefault="00C66E5F" w:rsidP="00CA2C63">
      <w:pPr>
        <w:pStyle w:val="Heading2"/>
        <w:jc w:val="center"/>
        <w:rPr>
          <w:rFonts w:eastAsia="Calibri"/>
          <w:lang w:val="en-US"/>
        </w:rPr>
      </w:pPr>
      <w:bookmarkStart w:id="12" w:name="_Toc185425565"/>
      <w:r w:rsidRPr="00F50308">
        <w:rPr>
          <w:rFonts w:eastAsia="Calibri"/>
          <w:lang w:val="en-US"/>
        </w:rPr>
        <w:t xml:space="preserve">Web Appendix </w:t>
      </w:r>
      <w:r w:rsidR="00BE76EE">
        <w:rPr>
          <w:rFonts w:eastAsia="Calibri"/>
          <w:lang w:val="en-US"/>
        </w:rPr>
        <w:t>A6</w:t>
      </w:r>
      <w:r w:rsidRPr="00F50308">
        <w:rPr>
          <w:rFonts w:eastAsia="Calibri"/>
          <w:lang w:val="en-US"/>
        </w:rPr>
        <w:t xml:space="preserve">. </w:t>
      </w:r>
      <w:r>
        <w:rPr>
          <w:rFonts w:eastAsia="Calibri"/>
          <w:lang w:val="en-US"/>
        </w:rPr>
        <w:t xml:space="preserve">Norm and </w:t>
      </w:r>
      <w:r w:rsidR="00CA2C63">
        <w:rPr>
          <w:rFonts w:eastAsia="Calibri"/>
          <w:lang w:val="en-US"/>
        </w:rPr>
        <w:t>deviation studies for the antecedents</w:t>
      </w:r>
      <w:bookmarkEnd w:id="12"/>
    </w:p>
    <w:p w14:paraId="1D128DD1" w14:textId="77777777" w:rsidR="009667CD" w:rsidRDefault="009667CD" w:rsidP="009667CD">
      <w:pPr>
        <w:spacing w:after="60" w:line="240" w:lineRule="auto"/>
        <w:jc w:val="center"/>
        <w:rPr>
          <w:rFonts w:cs="Times New Roman"/>
          <w:bCs/>
          <w:sz w:val="20"/>
          <w:szCs w:val="20"/>
        </w:rPr>
      </w:pPr>
      <w:r>
        <w:rPr>
          <w:rFonts w:cs="Times New Roman"/>
          <w:bCs/>
          <w:noProof/>
          <w:sz w:val="20"/>
          <w:szCs w:val="20"/>
          <w:lang w:val="en-AU" w:eastAsia="en-AU"/>
        </w:rPr>
        <w:drawing>
          <wp:inline distT="0" distB="0" distL="0" distR="0" wp14:anchorId="318F01E7" wp14:editId="5648D249">
            <wp:extent cx="5939155" cy="425005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155" cy="4250055"/>
                    </a:xfrm>
                    <a:prstGeom prst="rect">
                      <a:avLst/>
                    </a:prstGeom>
                    <a:noFill/>
                    <a:ln>
                      <a:noFill/>
                    </a:ln>
                  </pic:spPr>
                </pic:pic>
              </a:graphicData>
            </a:graphic>
          </wp:inline>
        </w:drawing>
      </w:r>
    </w:p>
    <w:p w14:paraId="6BD74CC9" w14:textId="77777777" w:rsidR="009667CD" w:rsidRDefault="009667CD" w:rsidP="009667CD">
      <w:pPr>
        <w:spacing w:after="60" w:line="240" w:lineRule="auto"/>
        <w:rPr>
          <w:rFonts w:cs="Times New Roman"/>
          <w:bCs/>
          <w:sz w:val="20"/>
          <w:szCs w:val="20"/>
        </w:rPr>
      </w:pPr>
    </w:p>
    <w:p w14:paraId="3DA9AE42" w14:textId="03D58E7D" w:rsidR="009667CD" w:rsidRPr="009667CD" w:rsidRDefault="009667CD" w:rsidP="009667CD">
      <w:pPr>
        <w:spacing w:after="60" w:line="240" w:lineRule="auto"/>
        <w:rPr>
          <w:rFonts w:cs="Times New Roman"/>
          <w:bCs/>
          <w:sz w:val="18"/>
          <w:szCs w:val="18"/>
          <w:lang w:val="en-AU"/>
        </w:rPr>
      </w:pPr>
      <w:r w:rsidRPr="009667CD">
        <w:rPr>
          <w:rFonts w:cs="Times New Roman"/>
          <w:bCs/>
          <w:i/>
          <w:sz w:val="18"/>
          <w:szCs w:val="18"/>
        </w:rPr>
        <w:t>Numbers next to triangles indicate the reference:</w:t>
      </w:r>
      <w:r w:rsidRPr="009667CD">
        <w:rPr>
          <w:rFonts w:cs="Times New Roman"/>
          <w:bCs/>
          <w:sz w:val="18"/>
          <w:szCs w:val="18"/>
        </w:rPr>
        <w:t xml:space="preserve"> 1. Kirmani &amp; Shiv (1998); 2.Miniard, Bhatla &amp; Rose (1990); 3. </w:t>
      </w:r>
      <w:r w:rsidRPr="009667CD">
        <w:rPr>
          <w:rFonts w:cs="Times New Roman"/>
          <w:bCs/>
          <w:sz w:val="18"/>
          <w:szCs w:val="18"/>
          <w:lang w:val="en-AU"/>
        </w:rPr>
        <w:t xml:space="preserve">Meyers-Levy &amp; Maheswaran (1992) [Study 1]; </w:t>
      </w:r>
      <w:r w:rsidRPr="009667CD">
        <w:rPr>
          <w:rFonts w:cs="Times New Roman"/>
          <w:bCs/>
          <w:sz w:val="18"/>
          <w:szCs w:val="18"/>
        </w:rPr>
        <w:t>4. Haugtvedt &amp; Wegener (1994) [Study 1]; 5. Gürhan-Canli &amp; Maheswaran (1998); 6.</w:t>
      </w:r>
      <w:r w:rsidR="001B4CB9">
        <w:rPr>
          <w:rFonts w:cs="Times New Roman"/>
          <w:bCs/>
          <w:sz w:val="18"/>
          <w:szCs w:val="18"/>
        </w:rPr>
        <w:t xml:space="preserve"> </w:t>
      </w:r>
      <w:r w:rsidRPr="009667CD">
        <w:rPr>
          <w:rFonts w:cs="Times New Roman"/>
          <w:bCs/>
          <w:sz w:val="18"/>
          <w:szCs w:val="18"/>
        </w:rPr>
        <w:t xml:space="preserve">Zhang &amp; Zinkhan (2006) [271]; 7.Green &amp; Brock (2000) [Study 2]; 8. Huhmann &amp; Albinsson (2012); </w:t>
      </w:r>
      <w:r w:rsidRPr="009667CD">
        <w:rPr>
          <w:rFonts w:cs="Times New Roman"/>
          <w:bCs/>
          <w:sz w:val="18"/>
          <w:szCs w:val="18"/>
          <w:lang w:val="en-AU"/>
        </w:rPr>
        <w:t xml:space="preserve">9. Lowrey (1998) [Study 3]; </w:t>
      </w:r>
      <w:r w:rsidRPr="009667CD">
        <w:rPr>
          <w:rFonts w:cs="Times New Roman"/>
          <w:bCs/>
          <w:sz w:val="18"/>
          <w:szCs w:val="18"/>
        </w:rPr>
        <w:t xml:space="preserve">10. Agrawal &amp; Maheswaran (2005) [Study 1]; 11. Van Laer et al. (2019) [Study 3]; 12. Muehling </w:t>
      </w:r>
      <w:r w:rsidR="001B4CB9">
        <w:rPr>
          <w:rFonts w:cs="Times New Roman"/>
          <w:bCs/>
          <w:sz w:val="18"/>
          <w:szCs w:val="18"/>
        </w:rPr>
        <w:t xml:space="preserve">&amp; </w:t>
      </w:r>
      <w:r w:rsidRPr="009667CD">
        <w:rPr>
          <w:rFonts w:cs="Times New Roman"/>
          <w:bCs/>
          <w:sz w:val="18"/>
          <w:szCs w:val="18"/>
        </w:rPr>
        <w:t>Laczniak (1988);</w:t>
      </w:r>
      <w:r w:rsidRPr="009667CD">
        <w:rPr>
          <w:rFonts w:cs="Times New Roman"/>
          <w:bCs/>
          <w:sz w:val="18"/>
          <w:szCs w:val="18"/>
          <w:lang w:val="en-AU"/>
        </w:rPr>
        <w:t xml:space="preserve"> 13. Liberman &amp; Chaiken (1992); 14. Chebat, Charlebois, &amp; Gélinas-Chebat (2001); </w:t>
      </w:r>
      <w:r w:rsidRPr="009667CD">
        <w:rPr>
          <w:rFonts w:cs="Times New Roman"/>
          <w:bCs/>
          <w:sz w:val="18"/>
          <w:szCs w:val="18"/>
        </w:rPr>
        <w:t>15.Laczniak &amp; Muehling (1993); 16.</w:t>
      </w:r>
      <w:r w:rsidRPr="009667CD">
        <w:rPr>
          <w:rFonts w:cs="Times New Roman"/>
          <w:bCs/>
          <w:sz w:val="18"/>
          <w:szCs w:val="18"/>
          <w:lang w:val="en-AU"/>
        </w:rPr>
        <w:t xml:space="preserve"> Fernando, Sivakumaran &amp; Suganthi (2016); </w:t>
      </w:r>
      <w:r w:rsidRPr="009667CD">
        <w:rPr>
          <w:rFonts w:cs="Times New Roman"/>
          <w:bCs/>
          <w:sz w:val="18"/>
          <w:szCs w:val="18"/>
        </w:rPr>
        <w:t>17.Sarnoff (2009); 18. Jae (2006) [Study 3]; 19. Appel &amp; Mengelkamp (2022) [Study 3]; 20. Sela Wheeler &amp; Sarial-Abi (2012) [Study 1]; 21. Rozier (2008); 22. Chebat, Charlebois, &amp; Gélinas-Chebat (2001); 23. Wu &amp; Shaffer (1987) [Study 1]; 24. Lee, Jeong &amp; Oh (2018) [Study 1]; 25. Williams (2011); 26. Sujan, Bettman &amp; Sujan (1986); 27. Van Laer &amp; De Ruyter (2010) [Study 3]; 28. Howard &amp; Barry (1994) [Study 1]; 29. Batra &amp; Stayman (1990); 30. Bless, Mackie &amp; Schwarz (1992); 31. Chang &amp; Yen (2013) [Study 1]; 32. Sengupta &amp; Johar (2002) [Study 3]; 33. Luna &amp; Peracchio (2002) [Study 2]; 34. Van Stee (2012); 35. Haugtvedt &amp; Petty (1992) [Study 2]; 36. Tezer, Bodur &amp; Grohmann (2019) [Study 2]; 37. Lin &amp; Chen (2015) [Study 2]; 38. Becker-Olsen, Cudmore &amp; Hill (2006) [Study 1]; 39. Wang (2006); 40. Lawrence, Fournier &amp; Brunel (2013); 41. Rozier (2008); 42. Green &amp; Brock (2000) [Study 1]; 43.Chu &amp; Kamal (2008); 44.Jain &amp; Posavac (2001) [Study 2]; 45. Howard &amp; Kerin (2011) [Study 3]; 46. Kane (2017); 47. Andrews &amp; Shimp (1990); 48. Brannon &amp; Brock (2001) [Study 2]; 49. Kwan, Dai &amp; Wyer (2017); 50. Shiv, Edell Britton &amp; Payne (2004) [Study 1]; 51. Wan, Rucker, Tormala &amp; Clarkson (2010) [Study 2]; 52. Barden (2005) [Pilot study]; 53.Liu &amp; Shrum (2009); 54.Roggeveen et al., (2015) [Study 2]; 55. Sicilia, Ruiz &amp; Munuera (2005); 56. Rockwell &amp; Singleton (2007); 57. Rodero &amp; Romero (2022); 58. Krishnamurthy &amp; Sivaraman (2002) [Study 2]; 59. Rausch (2010); 60. Escalas (2007) [Study 2]; 61.Hallahan (1995); 62.Lowrey (1998) [Study 2]; 63.Wheeler (2001) [Study 1]; 64.Brennan (1992); 65. Nielsen &amp; Escalas (2010) [Study 2]; 66.Delbaere (2008) [Study 2]; 67. DeRosia (2003) [Pretest 5]; 68.Escalas (2004); 69.Polyorat, Alden &amp; Kim (2007); 70.</w:t>
      </w:r>
      <w:r w:rsidR="001B4CB9">
        <w:rPr>
          <w:rFonts w:cs="Times New Roman"/>
          <w:bCs/>
          <w:sz w:val="18"/>
          <w:szCs w:val="18"/>
        </w:rPr>
        <w:t xml:space="preserve"> </w:t>
      </w:r>
      <w:r w:rsidRPr="009667CD">
        <w:rPr>
          <w:rFonts w:cs="Times New Roman"/>
          <w:bCs/>
          <w:sz w:val="18"/>
          <w:szCs w:val="18"/>
        </w:rPr>
        <w:t>Hamby, Daniloski &amp; Brinberg (2015) [Study 1]; 71. Lu (2009); 72. Sarnoff (2008); 73. He (2008) [Study 1]; 74. Kim, Baek &amp; Choi (2012) [Study 1]; 75. Aaker &amp; Maheswaran (1997) [Study 2]; 76.Mantel &amp; Kardes (1999) [Study 2]; 77. Ahluwalia, Burnkrant &amp; Unnava (2000) [Study 1]; 78. Fernando, Sivakumaran &amp; Suganthi (2016); 79. Brannon &amp; Brock (2001) [Study 2].</w:t>
      </w:r>
    </w:p>
    <w:p w14:paraId="46021088" w14:textId="77777777" w:rsidR="00C66E5F" w:rsidRDefault="00C66E5F" w:rsidP="00241FDB">
      <w:pPr>
        <w:spacing w:after="60" w:line="240" w:lineRule="auto"/>
        <w:rPr>
          <w:rFonts w:cs="Times New Roman"/>
          <w:bCs/>
          <w:sz w:val="20"/>
          <w:szCs w:val="20"/>
        </w:rPr>
      </w:pPr>
    </w:p>
    <w:p w14:paraId="02D98B9C" w14:textId="77777777" w:rsidR="00C66E5F" w:rsidRDefault="00C66E5F" w:rsidP="00241FDB">
      <w:pPr>
        <w:spacing w:after="60" w:line="240" w:lineRule="auto"/>
        <w:rPr>
          <w:rFonts w:cs="Times New Roman"/>
          <w:bCs/>
          <w:sz w:val="20"/>
          <w:szCs w:val="20"/>
        </w:rPr>
        <w:sectPr w:rsidR="00C66E5F" w:rsidSect="00CB4C52">
          <w:pgSz w:w="12242" w:h="15842" w:code="1"/>
          <w:pgMar w:top="1440" w:right="1440" w:bottom="1440" w:left="1440" w:header="709" w:footer="709" w:gutter="0"/>
          <w:cols w:space="708"/>
          <w:docGrid w:linePitch="360"/>
        </w:sectPr>
      </w:pPr>
    </w:p>
    <w:p w14:paraId="1BED9A0C" w14:textId="52078C1F" w:rsidR="00157C8A" w:rsidRPr="002D2D8C" w:rsidRDefault="004340ED" w:rsidP="00CA2C63">
      <w:pPr>
        <w:pStyle w:val="Heading2"/>
        <w:jc w:val="center"/>
        <w:rPr>
          <w:rFonts w:eastAsia="Calibri"/>
          <w:lang w:val="en-US"/>
        </w:rPr>
      </w:pPr>
      <w:bookmarkStart w:id="13" w:name="_Toc108596132"/>
      <w:bookmarkStart w:id="14" w:name="_Toc185425566"/>
      <w:r w:rsidRPr="004A66FA">
        <w:rPr>
          <w:rFonts w:eastAsia="Calibri"/>
          <w:lang w:val="en-US"/>
        </w:rPr>
        <w:t xml:space="preserve">Web Appendix </w:t>
      </w:r>
      <w:r w:rsidR="000603F4">
        <w:rPr>
          <w:rFonts w:eastAsia="Calibri"/>
          <w:lang w:val="en-US"/>
        </w:rPr>
        <w:t>A7</w:t>
      </w:r>
      <w:r w:rsidRPr="004A66FA">
        <w:rPr>
          <w:rFonts w:eastAsia="Calibri"/>
          <w:lang w:val="en-US"/>
        </w:rPr>
        <w:t>.</w:t>
      </w:r>
      <w:r w:rsidR="00157C8A" w:rsidRPr="004A66FA">
        <w:rPr>
          <w:rFonts w:eastAsia="Calibri"/>
          <w:lang w:val="en-US"/>
        </w:rPr>
        <w:t xml:space="preserve"> </w:t>
      </w:r>
      <w:bookmarkStart w:id="15" w:name="_Hlk103682205"/>
      <w:r w:rsidR="00157C8A" w:rsidRPr="004A66FA">
        <w:rPr>
          <w:rFonts w:eastAsia="Calibri"/>
          <w:lang w:val="en-US"/>
        </w:rPr>
        <w:t>Meta-</w:t>
      </w:r>
      <w:r w:rsidR="00CA2C63" w:rsidRPr="004A66FA">
        <w:rPr>
          <w:rFonts w:eastAsia="Calibri"/>
          <w:lang w:val="en-US"/>
        </w:rPr>
        <w:t>analytic correlation matrix</w:t>
      </w:r>
      <w:bookmarkEnd w:id="13"/>
      <w:bookmarkEnd w:id="14"/>
      <w:bookmarkEnd w:id="15"/>
    </w:p>
    <w:tbl>
      <w:tblPr>
        <w:tblStyle w:val="TableGrid"/>
        <w:tblW w:w="13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84"/>
        <w:gridCol w:w="2835"/>
        <w:gridCol w:w="396"/>
        <w:gridCol w:w="397"/>
        <w:gridCol w:w="397"/>
        <w:gridCol w:w="397"/>
        <w:gridCol w:w="397"/>
        <w:gridCol w:w="397"/>
        <w:gridCol w:w="397"/>
        <w:gridCol w:w="397"/>
        <w:gridCol w:w="396"/>
        <w:gridCol w:w="397"/>
        <w:gridCol w:w="397"/>
        <w:gridCol w:w="397"/>
        <w:gridCol w:w="397"/>
        <w:gridCol w:w="397"/>
        <w:gridCol w:w="397"/>
        <w:gridCol w:w="397"/>
        <w:gridCol w:w="396"/>
        <w:gridCol w:w="397"/>
        <w:gridCol w:w="397"/>
        <w:gridCol w:w="397"/>
        <w:gridCol w:w="397"/>
        <w:gridCol w:w="397"/>
        <w:gridCol w:w="397"/>
        <w:gridCol w:w="397"/>
        <w:gridCol w:w="397"/>
      </w:tblGrid>
      <w:tr w:rsidR="005D767C" w:rsidRPr="002D2D8C" w14:paraId="7CC2C9AD" w14:textId="68305DD5" w:rsidTr="005D767C">
        <w:tc>
          <w:tcPr>
            <w:tcW w:w="284" w:type="dxa"/>
            <w:tcBorders>
              <w:top w:val="single" w:sz="4" w:space="0" w:color="auto"/>
            </w:tcBorders>
          </w:tcPr>
          <w:p w14:paraId="57396F80" w14:textId="77777777" w:rsidR="005D767C" w:rsidRPr="002D2D8C" w:rsidRDefault="005D767C" w:rsidP="00157C8A">
            <w:pPr>
              <w:spacing w:line="240" w:lineRule="auto"/>
              <w:rPr>
                <w:rFonts w:eastAsia="Arial" w:cs="Times New Roman"/>
                <w:sz w:val="18"/>
                <w:szCs w:val="18"/>
                <w:lang w:val="en-US"/>
              </w:rPr>
            </w:pPr>
          </w:p>
        </w:tc>
        <w:tc>
          <w:tcPr>
            <w:tcW w:w="2835" w:type="dxa"/>
            <w:tcBorders>
              <w:top w:val="single" w:sz="4" w:space="0" w:color="auto"/>
            </w:tcBorders>
          </w:tcPr>
          <w:p w14:paraId="51775B43" w14:textId="77777777" w:rsidR="005D767C" w:rsidRPr="002D2D8C" w:rsidRDefault="005D767C" w:rsidP="00157C8A">
            <w:pPr>
              <w:spacing w:line="240" w:lineRule="auto"/>
              <w:rPr>
                <w:rFonts w:eastAsia="Arial" w:cs="Times New Roman"/>
                <w:b/>
                <w:bCs/>
                <w:sz w:val="18"/>
                <w:szCs w:val="18"/>
                <w:lang w:val="en-US"/>
              </w:rPr>
            </w:pPr>
          </w:p>
        </w:tc>
        <w:tc>
          <w:tcPr>
            <w:tcW w:w="396" w:type="dxa"/>
            <w:tcBorders>
              <w:top w:val="single" w:sz="4" w:space="0" w:color="auto"/>
              <w:bottom w:val="single" w:sz="4" w:space="0" w:color="auto"/>
            </w:tcBorders>
          </w:tcPr>
          <w:p w14:paraId="6AF50A68" w14:textId="43188068"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w:t>
            </w:r>
          </w:p>
        </w:tc>
        <w:tc>
          <w:tcPr>
            <w:tcW w:w="397" w:type="dxa"/>
            <w:tcBorders>
              <w:top w:val="single" w:sz="4" w:space="0" w:color="auto"/>
              <w:bottom w:val="single" w:sz="4" w:space="0" w:color="auto"/>
            </w:tcBorders>
          </w:tcPr>
          <w:p w14:paraId="559D154A" w14:textId="1E02DBC4"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w:t>
            </w:r>
          </w:p>
        </w:tc>
        <w:tc>
          <w:tcPr>
            <w:tcW w:w="397" w:type="dxa"/>
            <w:tcBorders>
              <w:top w:val="single" w:sz="4" w:space="0" w:color="auto"/>
              <w:bottom w:val="single" w:sz="4" w:space="0" w:color="auto"/>
            </w:tcBorders>
          </w:tcPr>
          <w:p w14:paraId="0646AC1A" w14:textId="6EB5BAB4"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3</w:t>
            </w:r>
          </w:p>
        </w:tc>
        <w:tc>
          <w:tcPr>
            <w:tcW w:w="397" w:type="dxa"/>
            <w:tcBorders>
              <w:top w:val="single" w:sz="4" w:space="0" w:color="auto"/>
              <w:bottom w:val="single" w:sz="4" w:space="0" w:color="auto"/>
            </w:tcBorders>
          </w:tcPr>
          <w:p w14:paraId="60450A5B" w14:textId="4CC876B0"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4</w:t>
            </w:r>
          </w:p>
        </w:tc>
        <w:tc>
          <w:tcPr>
            <w:tcW w:w="397" w:type="dxa"/>
            <w:tcBorders>
              <w:top w:val="single" w:sz="4" w:space="0" w:color="auto"/>
              <w:bottom w:val="single" w:sz="4" w:space="0" w:color="auto"/>
            </w:tcBorders>
          </w:tcPr>
          <w:p w14:paraId="53AB25A4" w14:textId="417E1BF9"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5</w:t>
            </w:r>
          </w:p>
        </w:tc>
        <w:tc>
          <w:tcPr>
            <w:tcW w:w="397" w:type="dxa"/>
            <w:tcBorders>
              <w:top w:val="single" w:sz="4" w:space="0" w:color="auto"/>
              <w:bottom w:val="single" w:sz="4" w:space="0" w:color="auto"/>
            </w:tcBorders>
          </w:tcPr>
          <w:p w14:paraId="67CFE396" w14:textId="1E03F7BA"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6</w:t>
            </w:r>
          </w:p>
        </w:tc>
        <w:tc>
          <w:tcPr>
            <w:tcW w:w="397" w:type="dxa"/>
            <w:tcBorders>
              <w:top w:val="single" w:sz="4" w:space="0" w:color="auto"/>
              <w:bottom w:val="single" w:sz="4" w:space="0" w:color="auto"/>
            </w:tcBorders>
          </w:tcPr>
          <w:p w14:paraId="2D5AD79F" w14:textId="19434D00"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7</w:t>
            </w:r>
          </w:p>
        </w:tc>
        <w:tc>
          <w:tcPr>
            <w:tcW w:w="397" w:type="dxa"/>
            <w:tcBorders>
              <w:top w:val="single" w:sz="4" w:space="0" w:color="auto"/>
              <w:bottom w:val="single" w:sz="4" w:space="0" w:color="auto"/>
            </w:tcBorders>
          </w:tcPr>
          <w:p w14:paraId="110EB858" w14:textId="45EDB5D7"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8</w:t>
            </w:r>
          </w:p>
        </w:tc>
        <w:tc>
          <w:tcPr>
            <w:tcW w:w="396" w:type="dxa"/>
            <w:tcBorders>
              <w:top w:val="single" w:sz="4" w:space="0" w:color="auto"/>
              <w:bottom w:val="single" w:sz="4" w:space="0" w:color="auto"/>
            </w:tcBorders>
          </w:tcPr>
          <w:p w14:paraId="43F5B2F6" w14:textId="4B65E5D3"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9</w:t>
            </w:r>
          </w:p>
        </w:tc>
        <w:tc>
          <w:tcPr>
            <w:tcW w:w="397" w:type="dxa"/>
            <w:tcBorders>
              <w:top w:val="single" w:sz="4" w:space="0" w:color="auto"/>
              <w:bottom w:val="single" w:sz="4" w:space="0" w:color="auto"/>
            </w:tcBorders>
          </w:tcPr>
          <w:p w14:paraId="43DF5A76" w14:textId="5F621354"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10</w:t>
            </w:r>
          </w:p>
        </w:tc>
        <w:tc>
          <w:tcPr>
            <w:tcW w:w="397" w:type="dxa"/>
            <w:tcBorders>
              <w:top w:val="single" w:sz="4" w:space="0" w:color="auto"/>
              <w:bottom w:val="single" w:sz="4" w:space="0" w:color="auto"/>
            </w:tcBorders>
          </w:tcPr>
          <w:p w14:paraId="6A9E4B90" w14:textId="33E8E542"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11</w:t>
            </w:r>
          </w:p>
        </w:tc>
        <w:tc>
          <w:tcPr>
            <w:tcW w:w="397" w:type="dxa"/>
            <w:tcBorders>
              <w:top w:val="single" w:sz="4" w:space="0" w:color="auto"/>
              <w:bottom w:val="single" w:sz="4" w:space="0" w:color="auto"/>
            </w:tcBorders>
          </w:tcPr>
          <w:p w14:paraId="55C5C654" w14:textId="5C5068CD"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12</w:t>
            </w:r>
          </w:p>
        </w:tc>
        <w:tc>
          <w:tcPr>
            <w:tcW w:w="397" w:type="dxa"/>
            <w:tcBorders>
              <w:top w:val="single" w:sz="4" w:space="0" w:color="auto"/>
              <w:bottom w:val="single" w:sz="4" w:space="0" w:color="auto"/>
            </w:tcBorders>
          </w:tcPr>
          <w:p w14:paraId="1F565763" w14:textId="44DE23A4"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13</w:t>
            </w:r>
          </w:p>
        </w:tc>
        <w:tc>
          <w:tcPr>
            <w:tcW w:w="397" w:type="dxa"/>
            <w:tcBorders>
              <w:top w:val="single" w:sz="4" w:space="0" w:color="auto"/>
              <w:bottom w:val="single" w:sz="4" w:space="0" w:color="auto"/>
            </w:tcBorders>
          </w:tcPr>
          <w:p w14:paraId="4E6346C2" w14:textId="3737B69E"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14</w:t>
            </w:r>
          </w:p>
        </w:tc>
        <w:tc>
          <w:tcPr>
            <w:tcW w:w="397" w:type="dxa"/>
            <w:tcBorders>
              <w:top w:val="single" w:sz="4" w:space="0" w:color="auto"/>
              <w:bottom w:val="single" w:sz="4" w:space="0" w:color="auto"/>
            </w:tcBorders>
          </w:tcPr>
          <w:p w14:paraId="519E597E" w14:textId="2A2A7F34"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15</w:t>
            </w:r>
          </w:p>
        </w:tc>
        <w:tc>
          <w:tcPr>
            <w:tcW w:w="397" w:type="dxa"/>
            <w:tcBorders>
              <w:top w:val="single" w:sz="4" w:space="0" w:color="auto"/>
              <w:bottom w:val="single" w:sz="4" w:space="0" w:color="auto"/>
            </w:tcBorders>
          </w:tcPr>
          <w:p w14:paraId="42DC0885" w14:textId="3C2179A0"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16</w:t>
            </w:r>
          </w:p>
        </w:tc>
        <w:tc>
          <w:tcPr>
            <w:tcW w:w="396" w:type="dxa"/>
            <w:tcBorders>
              <w:top w:val="single" w:sz="4" w:space="0" w:color="auto"/>
              <w:bottom w:val="single" w:sz="4" w:space="0" w:color="auto"/>
            </w:tcBorders>
          </w:tcPr>
          <w:p w14:paraId="6634E3A7" w14:textId="2322762A"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17</w:t>
            </w:r>
          </w:p>
        </w:tc>
        <w:tc>
          <w:tcPr>
            <w:tcW w:w="397" w:type="dxa"/>
            <w:tcBorders>
              <w:top w:val="single" w:sz="4" w:space="0" w:color="auto"/>
              <w:bottom w:val="single" w:sz="4" w:space="0" w:color="auto"/>
            </w:tcBorders>
          </w:tcPr>
          <w:p w14:paraId="160E6453" w14:textId="53CD6B85"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18</w:t>
            </w:r>
          </w:p>
        </w:tc>
        <w:tc>
          <w:tcPr>
            <w:tcW w:w="397" w:type="dxa"/>
            <w:tcBorders>
              <w:top w:val="single" w:sz="4" w:space="0" w:color="auto"/>
              <w:bottom w:val="single" w:sz="4" w:space="0" w:color="auto"/>
            </w:tcBorders>
          </w:tcPr>
          <w:p w14:paraId="412B71C9" w14:textId="1E916895"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19</w:t>
            </w:r>
          </w:p>
        </w:tc>
        <w:tc>
          <w:tcPr>
            <w:tcW w:w="397" w:type="dxa"/>
            <w:tcBorders>
              <w:top w:val="single" w:sz="4" w:space="0" w:color="auto"/>
              <w:bottom w:val="single" w:sz="4" w:space="0" w:color="auto"/>
            </w:tcBorders>
          </w:tcPr>
          <w:p w14:paraId="3AB8F740" w14:textId="1ED6DC95"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20</w:t>
            </w:r>
          </w:p>
        </w:tc>
        <w:tc>
          <w:tcPr>
            <w:tcW w:w="397" w:type="dxa"/>
            <w:tcBorders>
              <w:top w:val="single" w:sz="4" w:space="0" w:color="auto"/>
              <w:bottom w:val="single" w:sz="4" w:space="0" w:color="auto"/>
            </w:tcBorders>
          </w:tcPr>
          <w:p w14:paraId="64F213CF" w14:textId="2767B791"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21</w:t>
            </w:r>
          </w:p>
        </w:tc>
        <w:tc>
          <w:tcPr>
            <w:tcW w:w="397" w:type="dxa"/>
            <w:tcBorders>
              <w:top w:val="single" w:sz="4" w:space="0" w:color="auto"/>
              <w:bottom w:val="single" w:sz="4" w:space="0" w:color="auto"/>
            </w:tcBorders>
          </w:tcPr>
          <w:p w14:paraId="35EEE9EE" w14:textId="1FAE809E"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22</w:t>
            </w:r>
          </w:p>
        </w:tc>
        <w:tc>
          <w:tcPr>
            <w:tcW w:w="397" w:type="dxa"/>
            <w:tcBorders>
              <w:top w:val="single" w:sz="4" w:space="0" w:color="auto"/>
              <w:bottom w:val="single" w:sz="4" w:space="0" w:color="auto"/>
            </w:tcBorders>
          </w:tcPr>
          <w:p w14:paraId="2991215C" w14:textId="1324B7AB"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23</w:t>
            </w:r>
          </w:p>
        </w:tc>
        <w:tc>
          <w:tcPr>
            <w:tcW w:w="397" w:type="dxa"/>
            <w:tcBorders>
              <w:top w:val="single" w:sz="4" w:space="0" w:color="auto"/>
              <w:bottom w:val="single" w:sz="4" w:space="0" w:color="auto"/>
            </w:tcBorders>
          </w:tcPr>
          <w:p w14:paraId="3FB98E5A" w14:textId="576431D1"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24</w:t>
            </w:r>
          </w:p>
        </w:tc>
        <w:tc>
          <w:tcPr>
            <w:tcW w:w="397" w:type="dxa"/>
            <w:tcBorders>
              <w:top w:val="single" w:sz="4" w:space="0" w:color="auto"/>
              <w:bottom w:val="single" w:sz="4" w:space="0" w:color="auto"/>
            </w:tcBorders>
          </w:tcPr>
          <w:p w14:paraId="228C920B" w14:textId="43DFB2CC" w:rsidR="005D767C" w:rsidRPr="002D2D8C" w:rsidRDefault="005D767C" w:rsidP="00EF0356">
            <w:pPr>
              <w:spacing w:line="240" w:lineRule="auto"/>
              <w:jc w:val="center"/>
              <w:rPr>
                <w:rFonts w:eastAsia="Arial" w:cs="Times New Roman"/>
                <w:b/>
                <w:bCs/>
                <w:sz w:val="18"/>
                <w:szCs w:val="18"/>
                <w:lang w:val="en-US"/>
              </w:rPr>
            </w:pPr>
            <w:r w:rsidRPr="002D2D8C">
              <w:rPr>
                <w:rFonts w:eastAsia="Arial" w:cs="Times New Roman"/>
                <w:b/>
                <w:bCs/>
                <w:sz w:val="18"/>
                <w:szCs w:val="18"/>
                <w:lang w:val="en-US"/>
              </w:rPr>
              <w:t>25</w:t>
            </w:r>
          </w:p>
        </w:tc>
      </w:tr>
      <w:tr w:rsidR="005D767C" w:rsidRPr="002D2D8C" w14:paraId="58B948C1" w14:textId="66FEA744" w:rsidTr="005D767C">
        <w:tc>
          <w:tcPr>
            <w:tcW w:w="284" w:type="dxa"/>
          </w:tcPr>
          <w:p w14:paraId="57BFFD83" w14:textId="1C467E77" w:rsidR="005D767C" w:rsidRPr="002D2D8C" w:rsidRDefault="005D767C" w:rsidP="00157C8A">
            <w:pPr>
              <w:spacing w:line="240" w:lineRule="auto"/>
              <w:rPr>
                <w:rFonts w:eastAsia="Arial" w:cs="Times New Roman"/>
                <w:sz w:val="18"/>
                <w:szCs w:val="18"/>
                <w:lang w:val="en-US"/>
              </w:rPr>
            </w:pPr>
            <w:r w:rsidRPr="002D2D8C">
              <w:rPr>
                <w:rFonts w:eastAsia="Arial" w:cs="Times New Roman"/>
                <w:sz w:val="18"/>
                <w:szCs w:val="18"/>
                <w:lang w:val="en-US"/>
              </w:rPr>
              <w:t>1.</w:t>
            </w:r>
          </w:p>
        </w:tc>
        <w:tc>
          <w:tcPr>
            <w:tcW w:w="2835" w:type="dxa"/>
            <w:vAlign w:val="center"/>
          </w:tcPr>
          <w:p w14:paraId="7B6D7A9B" w14:textId="146D31FD" w:rsidR="005D767C" w:rsidRPr="002D2D8C" w:rsidRDefault="005D767C" w:rsidP="00157C8A">
            <w:pPr>
              <w:spacing w:line="240" w:lineRule="auto"/>
              <w:rPr>
                <w:rFonts w:eastAsia="Arial" w:cs="Times New Roman"/>
                <w:sz w:val="18"/>
                <w:szCs w:val="18"/>
                <w:lang w:val="en-US"/>
              </w:rPr>
            </w:pPr>
            <w:r w:rsidRPr="002D2D8C">
              <w:rPr>
                <w:rFonts w:eastAsia="Arial" w:cs="Times New Roman"/>
                <w:sz w:val="18"/>
                <w:szCs w:val="18"/>
                <w:lang w:val="en-US"/>
              </w:rPr>
              <w:t>Reliability corrected correlation</w:t>
            </w:r>
          </w:p>
        </w:tc>
        <w:tc>
          <w:tcPr>
            <w:tcW w:w="396" w:type="dxa"/>
            <w:tcBorders>
              <w:top w:val="single" w:sz="4" w:space="0" w:color="auto"/>
            </w:tcBorders>
          </w:tcPr>
          <w:p w14:paraId="32057B5A"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175A0D08"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74B29D82"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03516783"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64FCB3A0"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4D83F351"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5A1A5460"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3F23BA92" w14:textId="77777777" w:rsidR="005D767C" w:rsidRPr="002D2D8C" w:rsidRDefault="005D767C" w:rsidP="00EF0356">
            <w:pPr>
              <w:spacing w:line="240" w:lineRule="auto"/>
              <w:jc w:val="center"/>
              <w:rPr>
                <w:rFonts w:eastAsia="Arial" w:cs="Times New Roman"/>
                <w:sz w:val="18"/>
                <w:szCs w:val="18"/>
                <w:lang w:val="en-US"/>
              </w:rPr>
            </w:pPr>
          </w:p>
        </w:tc>
        <w:tc>
          <w:tcPr>
            <w:tcW w:w="396" w:type="dxa"/>
            <w:tcBorders>
              <w:top w:val="single" w:sz="4" w:space="0" w:color="auto"/>
            </w:tcBorders>
          </w:tcPr>
          <w:p w14:paraId="3D4FD4F4"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3AA960C5"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0EF22E06"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7BDC6874"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51A026E5"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080109AB"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2ADC9CDF"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6C7ACFE1" w14:textId="77777777" w:rsidR="005D767C" w:rsidRPr="002D2D8C" w:rsidRDefault="005D767C" w:rsidP="00EF0356">
            <w:pPr>
              <w:spacing w:line="240" w:lineRule="auto"/>
              <w:jc w:val="center"/>
              <w:rPr>
                <w:rFonts w:eastAsia="Arial" w:cs="Times New Roman"/>
                <w:sz w:val="18"/>
                <w:szCs w:val="18"/>
                <w:lang w:val="en-US"/>
              </w:rPr>
            </w:pPr>
          </w:p>
        </w:tc>
        <w:tc>
          <w:tcPr>
            <w:tcW w:w="396" w:type="dxa"/>
            <w:tcBorders>
              <w:top w:val="single" w:sz="4" w:space="0" w:color="auto"/>
            </w:tcBorders>
          </w:tcPr>
          <w:p w14:paraId="5724FC9C"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40FBD473"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18120936"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06F81065"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7599B9DF"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257C8F48"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36918CF5"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08D957A4" w14:textId="77777777" w:rsidR="005D767C" w:rsidRPr="002D2D8C" w:rsidRDefault="005D767C" w:rsidP="00EF0356">
            <w:pPr>
              <w:spacing w:line="240" w:lineRule="auto"/>
              <w:jc w:val="center"/>
              <w:rPr>
                <w:rFonts w:eastAsia="Arial" w:cs="Times New Roman"/>
                <w:sz w:val="18"/>
                <w:szCs w:val="18"/>
                <w:lang w:val="en-US"/>
              </w:rPr>
            </w:pPr>
          </w:p>
        </w:tc>
        <w:tc>
          <w:tcPr>
            <w:tcW w:w="397" w:type="dxa"/>
            <w:tcBorders>
              <w:top w:val="single" w:sz="4" w:space="0" w:color="auto"/>
            </w:tcBorders>
          </w:tcPr>
          <w:p w14:paraId="5263BD09" w14:textId="77777777" w:rsidR="005D767C" w:rsidRPr="002D2D8C" w:rsidRDefault="005D767C" w:rsidP="00EF0356">
            <w:pPr>
              <w:spacing w:line="240" w:lineRule="auto"/>
              <w:jc w:val="center"/>
              <w:rPr>
                <w:rFonts w:eastAsia="Arial" w:cs="Times New Roman"/>
                <w:sz w:val="18"/>
                <w:szCs w:val="18"/>
                <w:lang w:val="en-US"/>
              </w:rPr>
            </w:pPr>
          </w:p>
        </w:tc>
      </w:tr>
      <w:tr w:rsidR="005D767C" w:rsidRPr="002D2D8C" w14:paraId="25015A6C" w14:textId="605C1313" w:rsidTr="00892A05">
        <w:tc>
          <w:tcPr>
            <w:tcW w:w="284" w:type="dxa"/>
          </w:tcPr>
          <w:p w14:paraId="57290C86" w14:textId="576E6256"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w:t>
            </w:r>
          </w:p>
        </w:tc>
        <w:tc>
          <w:tcPr>
            <w:tcW w:w="2835" w:type="dxa"/>
            <w:vAlign w:val="center"/>
          </w:tcPr>
          <w:p w14:paraId="5CD2468C" w14:textId="0D6CAEAD" w:rsidR="005D767C" w:rsidRPr="002D2D8C" w:rsidRDefault="005D767C" w:rsidP="005D767C">
            <w:pPr>
              <w:spacing w:line="240" w:lineRule="auto"/>
              <w:rPr>
                <w:rFonts w:eastAsia="Arial" w:cs="Times New Roman"/>
                <w:sz w:val="18"/>
                <w:szCs w:val="18"/>
                <w:lang w:val="en-US"/>
              </w:rPr>
            </w:pPr>
            <w:r w:rsidRPr="00B705D3">
              <w:rPr>
                <w:rFonts w:cs="Times New Roman"/>
                <w:color w:val="000000"/>
                <w:sz w:val="18"/>
                <w:szCs w:val="18"/>
                <w:lang w:val="en-US"/>
              </w:rPr>
              <w:t xml:space="preserve">Analytical </w:t>
            </w:r>
            <w:r w:rsidRPr="005D767C">
              <w:rPr>
                <w:rFonts w:cs="Times New Roman"/>
                <w:color w:val="000000"/>
                <w:sz w:val="18"/>
                <w:szCs w:val="18"/>
                <w:lang w:val="en-US"/>
              </w:rPr>
              <w:t xml:space="preserve">(vs. </w:t>
            </w:r>
            <w:r>
              <w:rPr>
                <w:rFonts w:cs="Times New Roman"/>
                <w:color w:val="000000"/>
                <w:sz w:val="18"/>
                <w:szCs w:val="18"/>
                <w:lang w:val="en-US"/>
              </w:rPr>
              <w:t>narrative</w:t>
            </w:r>
            <w:r w:rsidRPr="005D767C">
              <w:rPr>
                <w:rFonts w:cs="Times New Roman"/>
                <w:color w:val="000000"/>
                <w:sz w:val="18"/>
                <w:szCs w:val="18"/>
                <w:lang w:val="en-US"/>
              </w:rPr>
              <w:t>)</w:t>
            </w:r>
            <w:r>
              <w:rPr>
                <w:rFonts w:cs="Times New Roman"/>
                <w:color w:val="000000"/>
                <w:sz w:val="18"/>
                <w:szCs w:val="18"/>
                <w:lang w:val="en-US"/>
              </w:rPr>
              <w:t xml:space="preserve"> </w:t>
            </w:r>
            <w:r w:rsidRPr="00B705D3">
              <w:rPr>
                <w:rFonts w:cs="Times New Roman"/>
                <w:color w:val="000000"/>
                <w:sz w:val="18"/>
                <w:szCs w:val="18"/>
                <w:lang w:val="en-US"/>
              </w:rPr>
              <w:t>processing</w:t>
            </w:r>
          </w:p>
        </w:tc>
        <w:tc>
          <w:tcPr>
            <w:tcW w:w="396" w:type="dxa"/>
            <w:tcBorders>
              <w:top w:val="nil"/>
              <w:left w:val="nil"/>
              <w:bottom w:val="nil"/>
              <w:right w:val="nil"/>
            </w:tcBorders>
            <w:shd w:val="clear" w:color="auto" w:fill="auto"/>
            <w:vAlign w:val="bottom"/>
          </w:tcPr>
          <w:p w14:paraId="09E948D9" w14:textId="087A4B4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-.28</w:t>
            </w:r>
          </w:p>
        </w:tc>
        <w:tc>
          <w:tcPr>
            <w:tcW w:w="397" w:type="dxa"/>
            <w:tcBorders>
              <w:top w:val="nil"/>
              <w:left w:val="nil"/>
              <w:bottom w:val="nil"/>
              <w:right w:val="nil"/>
            </w:tcBorders>
            <w:shd w:val="clear" w:color="auto" w:fill="auto"/>
            <w:vAlign w:val="bottom"/>
          </w:tcPr>
          <w:p w14:paraId="559C541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952FD7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FD211B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8FEC41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0B5970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170886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52D46C9"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31CC9A4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148266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7F5501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90EA86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25F185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53484F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ADCB6C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05D5ECB"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53376B6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020727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7D2FD9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458627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DC5BDA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60899E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3046F7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C35AF9A"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4754B397"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6EEF3BB2" w14:textId="54693D55" w:rsidTr="00892A05">
        <w:tc>
          <w:tcPr>
            <w:tcW w:w="284" w:type="dxa"/>
          </w:tcPr>
          <w:p w14:paraId="3FF6AD10" w14:textId="3F4E255F" w:rsidR="005D767C" w:rsidRPr="002D2D8C" w:rsidRDefault="005D767C" w:rsidP="005D767C">
            <w:pPr>
              <w:spacing w:line="240" w:lineRule="auto"/>
              <w:rPr>
                <w:rFonts w:eastAsia="Arial" w:cs="Times New Roman"/>
                <w:sz w:val="18"/>
                <w:szCs w:val="18"/>
                <w:lang w:val="en-US"/>
              </w:rPr>
            </w:pPr>
            <w:r>
              <w:rPr>
                <w:rFonts w:eastAsia="Arial" w:cs="Times New Roman"/>
                <w:sz w:val="18"/>
                <w:szCs w:val="18"/>
                <w:lang w:val="en-US"/>
              </w:rPr>
              <w:t>3.</w:t>
            </w:r>
          </w:p>
        </w:tc>
        <w:tc>
          <w:tcPr>
            <w:tcW w:w="2835" w:type="dxa"/>
            <w:vAlign w:val="center"/>
          </w:tcPr>
          <w:p w14:paraId="755A11C1" w14:textId="16112E4F" w:rsidR="005D767C" w:rsidRPr="002D2D8C" w:rsidRDefault="005D767C" w:rsidP="005D767C">
            <w:pPr>
              <w:spacing w:line="240" w:lineRule="auto"/>
              <w:rPr>
                <w:rFonts w:eastAsia="Arial" w:cs="Times New Roman"/>
                <w:sz w:val="18"/>
                <w:szCs w:val="18"/>
                <w:lang w:val="en-US"/>
              </w:rPr>
            </w:pPr>
            <w:r w:rsidRPr="00B705D3">
              <w:rPr>
                <w:rFonts w:cs="Times New Roman"/>
                <w:color w:val="000000"/>
                <w:sz w:val="18"/>
                <w:szCs w:val="18"/>
                <w:lang w:val="en-US"/>
              </w:rPr>
              <w:t>Utilitarian (vs. hedonic)</w:t>
            </w:r>
          </w:p>
        </w:tc>
        <w:tc>
          <w:tcPr>
            <w:tcW w:w="396" w:type="dxa"/>
            <w:tcBorders>
              <w:top w:val="nil"/>
              <w:left w:val="nil"/>
              <w:bottom w:val="nil"/>
              <w:right w:val="nil"/>
            </w:tcBorders>
            <w:shd w:val="clear" w:color="auto" w:fill="auto"/>
            <w:vAlign w:val="bottom"/>
          </w:tcPr>
          <w:p w14:paraId="1B681C3E" w14:textId="56A679C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04102535" w14:textId="4B99E7F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7A701BF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9ED0DD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63A00B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A39A0F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FE086E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3A36890"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5AFD02A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75B508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52E1E8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55694D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599980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06967A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6B982B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5D7E67E"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686E88C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38263D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C3DA46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3D9916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CAB47D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1EF40B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292AF3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05942EC"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6462C243"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41DE5366" w14:textId="77777777" w:rsidTr="00892A05">
        <w:tc>
          <w:tcPr>
            <w:tcW w:w="284" w:type="dxa"/>
          </w:tcPr>
          <w:p w14:paraId="3D6F870B" w14:textId="452C8283" w:rsidR="005D767C" w:rsidRPr="002D2D8C" w:rsidRDefault="005D767C" w:rsidP="005D767C">
            <w:pPr>
              <w:spacing w:line="240" w:lineRule="auto"/>
              <w:rPr>
                <w:rFonts w:eastAsia="Arial" w:cs="Times New Roman"/>
                <w:sz w:val="18"/>
                <w:szCs w:val="18"/>
                <w:lang w:val="en-US"/>
              </w:rPr>
            </w:pPr>
            <w:r>
              <w:rPr>
                <w:rFonts w:eastAsia="Arial" w:cs="Times New Roman"/>
                <w:sz w:val="18"/>
                <w:szCs w:val="18"/>
                <w:lang w:val="en-US"/>
              </w:rPr>
              <w:t>4.</w:t>
            </w:r>
          </w:p>
        </w:tc>
        <w:tc>
          <w:tcPr>
            <w:tcW w:w="2835" w:type="dxa"/>
            <w:vAlign w:val="center"/>
          </w:tcPr>
          <w:p w14:paraId="7A9C8836" w14:textId="2C2A41D3" w:rsidR="005D767C" w:rsidRPr="002D2D8C" w:rsidRDefault="005D767C" w:rsidP="005D767C">
            <w:pPr>
              <w:spacing w:line="240" w:lineRule="auto"/>
              <w:rPr>
                <w:rFonts w:cs="Times New Roman"/>
                <w:color w:val="000000"/>
                <w:sz w:val="18"/>
                <w:szCs w:val="18"/>
                <w:lang w:val="en-US"/>
              </w:rPr>
            </w:pPr>
            <w:r w:rsidRPr="00B705D3">
              <w:rPr>
                <w:rFonts w:cs="Times New Roman"/>
                <w:color w:val="000000"/>
                <w:sz w:val="18"/>
                <w:szCs w:val="18"/>
                <w:lang w:val="en-US"/>
              </w:rPr>
              <w:t>Audio (vs. text)</w:t>
            </w:r>
          </w:p>
        </w:tc>
        <w:tc>
          <w:tcPr>
            <w:tcW w:w="396" w:type="dxa"/>
            <w:tcBorders>
              <w:top w:val="nil"/>
              <w:left w:val="nil"/>
              <w:bottom w:val="nil"/>
              <w:right w:val="nil"/>
            </w:tcBorders>
            <w:shd w:val="clear" w:color="auto" w:fill="auto"/>
            <w:vAlign w:val="bottom"/>
          </w:tcPr>
          <w:p w14:paraId="622269F0" w14:textId="6A64169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5D4712CC" w14:textId="1CC46DD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-.31</w:t>
            </w:r>
          </w:p>
        </w:tc>
        <w:tc>
          <w:tcPr>
            <w:tcW w:w="397" w:type="dxa"/>
            <w:tcBorders>
              <w:top w:val="nil"/>
              <w:left w:val="nil"/>
              <w:bottom w:val="nil"/>
              <w:right w:val="nil"/>
            </w:tcBorders>
            <w:shd w:val="clear" w:color="auto" w:fill="auto"/>
            <w:vAlign w:val="bottom"/>
          </w:tcPr>
          <w:p w14:paraId="0AA90A8F" w14:textId="36B76F2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1206B96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702CF9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1E3091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DE1398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469FA3D"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20B1E78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40BF92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A619E6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E07152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0C398C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AC86CF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60A4BA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40522F3"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041AC9F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2C24AE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2C0D27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A5708C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7F99E0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E31430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2E5F39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ABF6FC1"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2D2F0EEA"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00ADE3FD" w14:textId="77777777" w:rsidTr="00892A05">
        <w:tc>
          <w:tcPr>
            <w:tcW w:w="284" w:type="dxa"/>
          </w:tcPr>
          <w:p w14:paraId="093259A2" w14:textId="2B398D10"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5.</w:t>
            </w:r>
          </w:p>
        </w:tc>
        <w:tc>
          <w:tcPr>
            <w:tcW w:w="2835" w:type="dxa"/>
            <w:vAlign w:val="center"/>
          </w:tcPr>
          <w:p w14:paraId="6BA5582B" w14:textId="6C2C0D2C" w:rsidR="005D767C" w:rsidRPr="002D2D8C" w:rsidRDefault="005D767C" w:rsidP="005D767C">
            <w:pPr>
              <w:spacing w:line="240" w:lineRule="auto"/>
              <w:rPr>
                <w:rFonts w:cs="Times New Roman"/>
                <w:color w:val="000000"/>
                <w:sz w:val="18"/>
                <w:szCs w:val="18"/>
                <w:lang w:val="en-US"/>
              </w:rPr>
            </w:pPr>
            <w:r w:rsidRPr="002D2D8C">
              <w:rPr>
                <w:rFonts w:cs="Times New Roman"/>
                <w:color w:val="000000"/>
                <w:sz w:val="18"/>
                <w:szCs w:val="18"/>
                <w:lang w:val="en-US"/>
              </w:rPr>
              <w:t>Outcome: Attitude</w:t>
            </w:r>
          </w:p>
        </w:tc>
        <w:tc>
          <w:tcPr>
            <w:tcW w:w="396" w:type="dxa"/>
            <w:tcBorders>
              <w:top w:val="nil"/>
              <w:left w:val="nil"/>
              <w:bottom w:val="nil"/>
              <w:right w:val="nil"/>
            </w:tcBorders>
            <w:shd w:val="clear" w:color="auto" w:fill="auto"/>
            <w:vAlign w:val="bottom"/>
          </w:tcPr>
          <w:p w14:paraId="41344BED" w14:textId="363124E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0E51A8EE" w14:textId="1660BE8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6DCA602A" w14:textId="187A256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07D823D2" w14:textId="20F88FA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-.29</w:t>
            </w:r>
          </w:p>
        </w:tc>
        <w:tc>
          <w:tcPr>
            <w:tcW w:w="397" w:type="dxa"/>
            <w:tcBorders>
              <w:top w:val="nil"/>
              <w:left w:val="nil"/>
              <w:bottom w:val="nil"/>
              <w:right w:val="nil"/>
            </w:tcBorders>
            <w:shd w:val="clear" w:color="auto" w:fill="auto"/>
            <w:vAlign w:val="bottom"/>
          </w:tcPr>
          <w:p w14:paraId="09E2ECC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1A3798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77ABA1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A42C49A"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0E7D082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DAED9E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7EB021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DBBC74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7D7EA7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14ADFF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07F404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CD0CD8F"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716ADFE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C1BC18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FDC75E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7A4875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DE9260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4653D2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AE6D94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5296A48"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60DF1390"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2A523197" w14:textId="7637752A" w:rsidTr="00892A05">
        <w:tc>
          <w:tcPr>
            <w:tcW w:w="284" w:type="dxa"/>
          </w:tcPr>
          <w:p w14:paraId="7F9014AE" w14:textId="59E55C67"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6.</w:t>
            </w:r>
          </w:p>
        </w:tc>
        <w:tc>
          <w:tcPr>
            <w:tcW w:w="2835" w:type="dxa"/>
            <w:vAlign w:val="center"/>
          </w:tcPr>
          <w:p w14:paraId="55765FE1" w14:textId="710242CC"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Outcome: Affective response</w:t>
            </w:r>
          </w:p>
        </w:tc>
        <w:tc>
          <w:tcPr>
            <w:tcW w:w="396" w:type="dxa"/>
            <w:tcBorders>
              <w:top w:val="nil"/>
              <w:left w:val="nil"/>
              <w:bottom w:val="nil"/>
              <w:right w:val="nil"/>
            </w:tcBorders>
            <w:shd w:val="clear" w:color="auto" w:fill="auto"/>
            <w:vAlign w:val="bottom"/>
          </w:tcPr>
          <w:p w14:paraId="39492091" w14:textId="7AAC6B0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45732EBF" w14:textId="43922E6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-.16</w:t>
            </w:r>
          </w:p>
        </w:tc>
        <w:tc>
          <w:tcPr>
            <w:tcW w:w="397" w:type="dxa"/>
            <w:tcBorders>
              <w:top w:val="nil"/>
              <w:left w:val="nil"/>
              <w:bottom w:val="nil"/>
              <w:right w:val="nil"/>
            </w:tcBorders>
            <w:shd w:val="clear" w:color="auto" w:fill="auto"/>
            <w:vAlign w:val="bottom"/>
          </w:tcPr>
          <w:p w14:paraId="6ED52795" w14:textId="5A0AF6D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025C62F0" w14:textId="71AD672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.25</w:t>
            </w:r>
          </w:p>
        </w:tc>
        <w:tc>
          <w:tcPr>
            <w:tcW w:w="397" w:type="dxa"/>
            <w:tcBorders>
              <w:top w:val="nil"/>
              <w:left w:val="nil"/>
              <w:bottom w:val="nil"/>
              <w:right w:val="nil"/>
            </w:tcBorders>
            <w:shd w:val="clear" w:color="auto" w:fill="auto"/>
            <w:vAlign w:val="bottom"/>
          </w:tcPr>
          <w:p w14:paraId="2D4C4291" w14:textId="245A5DF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-.29</w:t>
            </w:r>
          </w:p>
        </w:tc>
        <w:tc>
          <w:tcPr>
            <w:tcW w:w="397" w:type="dxa"/>
            <w:tcBorders>
              <w:top w:val="nil"/>
              <w:left w:val="nil"/>
              <w:bottom w:val="nil"/>
              <w:right w:val="nil"/>
            </w:tcBorders>
            <w:shd w:val="clear" w:color="auto" w:fill="auto"/>
            <w:vAlign w:val="bottom"/>
          </w:tcPr>
          <w:p w14:paraId="61A2830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28A7A6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587158B"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1CB8450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43DF3B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7BC88B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6D5429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E67CB6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EF4267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7752F9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5B0D92D"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7DDC81B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F68E09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57BA5B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39045A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0CDD78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3D28CD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F73024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A2B51A1"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4896C677"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7E7FF1D2" w14:textId="0D39FC25" w:rsidTr="00892A05">
        <w:tc>
          <w:tcPr>
            <w:tcW w:w="284" w:type="dxa"/>
          </w:tcPr>
          <w:p w14:paraId="2E453B42" w14:textId="4F16C118"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7.</w:t>
            </w:r>
          </w:p>
        </w:tc>
        <w:tc>
          <w:tcPr>
            <w:tcW w:w="2835" w:type="dxa"/>
            <w:vAlign w:val="center"/>
          </w:tcPr>
          <w:p w14:paraId="30FF1ECE" w14:textId="7EC98903"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Outcome: Cognitive response</w:t>
            </w:r>
          </w:p>
        </w:tc>
        <w:tc>
          <w:tcPr>
            <w:tcW w:w="396" w:type="dxa"/>
            <w:tcBorders>
              <w:top w:val="nil"/>
              <w:left w:val="nil"/>
              <w:bottom w:val="nil"/>
              <w:right w:val="nil"/>
            </w:tcBorders>
            <w:shd w:val="clear" w:color="auto" w:fill="auto"/>
            <w:vAlign w:val="bottom"/>
          </w:tcPr>
          <w:p w14:paraId="464D97C8" w14:textId="39D2B14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29C4B06B" w14:textId="62E6E81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79B0CDC3" w14:textId="4F63E17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0ED2AA54" w14:textId="45CDD49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42DD0EFD" w14:textId="0461ABC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-.25</w:t>
            </w:r>
          </w:p>
        </w:tc>
        <w:tc>
          <w:tcPr>
            <w:tcW w:w="397" w:type="dxa"/>
            <w:tcBorders>
              <w:top w:val="nil"/>
              <w:left w:val="nil"/>
              <w:bottom w:val="nil"/>
              <w:right w:val="nil"/>
            </w:tcBorders>
            <w:shd w:val="clear" w:color="auto" w:fill="auto"/>
            <w:vAlign w:val="bottom"/>
          </w:tcPr>
          <w:p w14:paraId="3594DBC6" w14:textId="3208B67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2AC008E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4236FAC"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2AEE03C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8147B0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4BFC3A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BC1EC4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9916CD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B09CEF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255EFF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5E39179"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3F255D2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772982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242D50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8F21E8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B898CA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6E6200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566ED3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8A7B79D"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048AC394"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01C6A34F" w14:textId="23FDD51A" w:rsidTr="00892A05">
        <w:tc>
          <w:tcPr>
            <w:tcW w:w="284" w:type="dxa"/>
          </w:tcPr>
          <w:p w14:paraId="0E524650" w14:textId="36FAA237"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8.</w:t>
            </w:r>
          </w:p>
        </w:tc>
        <w:tc>
          <w:tcPr>
            <w:tcW w:w="2835" w:type="dxa"/>
            <w:vAlign w:val="center"/>
          </w:tcPr>
          <w:p w14:paraId="056026EF" w14:textId="149A3081"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Outcome: Recall</w:t>
            </w:r>
          </w:p>
        </w:tc>
        <w:tc>
          <w:tcPr>
            <w:tcW w:w="396" w:type="dxa"/>
            <w:tcBorders>
              <w:top w:val="nil"/>
              <w:left w:val="nil"/>
              <w:bottom w:val="nil"/>
              <w:right w:val="nil"/>
            </w:tcBorders>
            <w:shd w:val="clear" w:color="auto" w:fill="auto"/>
            <w:vAlign w:val="bottom"/>
          </w:tcPr>
          <w:p w14:paraId="54C25752" w14:textId="134D72D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-.26</w:t>
            </w:r>
          </w:p>
        </w:tc>
        <w:tc>
          <w:tcPr>
            <w:tcW w:w="397" w:type="dxa"/>
            <w:tcBorders>
              <w:top w:val="nil"/>
              <w:left w:val="nil"/>
              <w:bottom w:val="nil"/>
              <w:right w:val="nil"/>
            </w:tcBorders>
            <w:shd w:val="clear" w:color="auto" w:fill="auto"/>
            <w:vAlign w:val="bottom"/>
          </w:tcPr>
          <w:p w14:paraId="3E9CBCFB" w14:textId="1D3A5F2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nil"/>
              <w:right w:val="nil"/>
            </w:tcBorders>
            <w:shd w:val="clear" w:color="auto" w:fill="auto"/>
            <w:vAlign w:val="bottom"/>
          </w:tcPr>
          <w:p w14:paraId="1E0ABB02" w14:textId="6360D02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.14</w:t>
            </w:r>
          </w:p>
        </w:tc>
        <w:tc>
          <w:tcPr>
            <w:tcW w:w="397" w:type="dxa"/>
            <w:tcBorders>
              <w:top w:val="nil"/>
              <w:left w:val="nil"/>
              <w:bottom w:val="nil"/>
              <w:right w:val="nil"/>
            </w:tcBorders>
            <w:shd w:val="clear" w:color="auto" w:fill="auto"/>
            <w:vAlign w:val="bottom"/>
          </w:tcPr>
          <w:p w14:paraId="1CB4FCB1" w14:textId="141E4D7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664ED848" w14:textId="698EE49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-.42</w:t>
            </w:r>
          </w:p>
        </w:tc>
        <w:tc>
          <w:tcPr>
            <w:tcW w:w="397" w:type="dxa"/>
            <w:tcBorders>
              <w:top w:val="nil"/>
              <w:left w:val="nil"/>
              <w:bottom w:val="nil"/>
              <w:right w:val="nil"/>
            </w:tcBorders>
            <w:shd w:val="clear" w:color="auto" w:fill="auto"/>
            <w:vAlign w:val="bottom"/>
          </w:tcPr>
          <w:p w14:paraId="79CC3505" w14:textId="29E523B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2A1AEC1E" w14:textId="569804A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65E0F291"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31BE50E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D31BA4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7C511C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E472DF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BBC666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5B1644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1617A2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397C2AC"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77A50D2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1F5BC5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B478AD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2A6DC4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65E99F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646703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74B46F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DED7367"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5BE51651"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78CBF336" w14:textId="5E72C7BB" w:rsidTr="00892A05">
        <w:tc>
          <w:tcPr>
            <w:tcW w:w="284" w:type="dxa"/>
          </w:tcPr>
          <w:p w14:paraId="3C73C020" w14:textId="482DF26B"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9.</w:t>
            </w:r>
          </w:p>
        </w:tc>
        <w:tc>
          <w:tcPr>
            <w:tcW w:w="2835" w:type="dxa"/>
            <w:vAlign w:val="center"/>
          </w:tcPr>
          <w:p w14:paraId="3F9E6ED5" w14:textId="7A437471"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Outcome: Intention</w:t>
            </w:r>
            <w:r>
              <w:rPr>
                <w:rFonts w:cs="Times New Roman"/>
                <w:color w:val="000000"/>
                <w:sz w:val="18"/>
                <w:szCs w:val="18"/>
                <w:lang w:val="en-US"/>
              </w:rPr>
              <w:t>s and behavior</w:t>
            </w:r>
          </w:p>
        </w:tc>
        <w:tc>
          <w:tcPr>
            <w:tcW w:w="396" w:type="dxa"/>
            <w:tcBorders>
              <w:top w:val="nil"/>
              <w:left w:val="nil"/>
              <w:bottom w:val="nil"/>
              <w:right w:val="nil"/>
            </w:tcBorders>
            <w:shd w:val="clear" w:color="auto" w:fill="auto"/>
            <w:vAlign w:val="bottom"/>
          </w:tcPr>
          <w:p w14:paraId="3C0EBEBD" w14:textId="20F7B7C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1CB83EF1" w14:textId="5A52858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635354B4" w14:textId="2AD9F21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0EE55D3A" w14:textId="06288EC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103639C3" w14:textId="5CFB4EC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-.59</w:t>
            </w:r>
          </w:p>
        </w:tc>
        <w:tc>
          <w:tcPr>
            <w:tcW w:w="397" w:type="dxa"/>
            <w:tcBorders>
              <w:top w:val="nil"/>
              <w:left w:val="nil"/>
              <w:bottom w:val="nil"/>
              <w:right w:val="nil"/>
            </w:tcBorders>
            <w:shd w:val="clear" w:color="auto" w:fill="auto"/>
            <w:vAlign w:val="bottom"/>
          </w:tcPr>
          <w:p w14:paraId="0B52B074" w14:textId="3008F46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7E4817F8" w14:textId="6294759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2ECC9063" w14:textId="74703D2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-.19</w:t>
            </w:r>
          </w:p>
        </w:tc>
        <w:tc>
          <w:tcPr>
            <w:tcW w:w="396" w:type="dxa"/>
            <w:tcBorders>
              <w:top w:val="nil"/>
              <w:left w:val="nil"/>
              <w:bottom w:val="nil"/>
              <w:right w:val="nil"/>
            </w:tcBorders>
            <w:shd w:val="clear" w:color="auto" w:fill="auto"/>
            <w:vAlign w:val="bottom"/>
          </w:tcPr>
          <w:p w14:paraId="7ACA7BC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4FBAED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66EC89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3113C7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74885C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4401AA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A4A39F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C9EFB19"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402515A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9BDC04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F8543B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684D0D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04C11B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1502B8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BA31E5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BD05F00"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74653A0E"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208271C7" w14:textId="11ADB22F" w:rsidTr="00892A05">
        <w:tc>
          <w:tcPr>
            <w:tcW w:w="284" w:type="dxa"/>
          </w:tcPr>
          <w:p w14:paraId="433E693C" w14:textId="25B9D5EE"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10.</w:t>
            </w:r>
          </w:p>
        </w:tc>
        <w:tc>
          <w:tcPr>
            <w:tcW w:w="2835" w:type="dxa"/>
            <w:vAlign w:val="center"/>
          </w:tcPr>
          <w:p w14:paraId="4C57FE22" w14:textId="08D6FA02"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Lab study (vs. online study)</w:t>
            </w:r>
          </w:p>
        </w:tc>
        <w:tc>
          <w:tcPr>
            <w:tcW w:w="396" w:type="dxa"/>
            <w:tcBorders>
              <w:top w:val="nil"/>
              <w:left w:val="nil"/>
              <w:bottom w:val="nil"/>
              <w:right w:val="nil"/>
            </w:tcBorders>
            <w:shd w:val="clear" w:color="auto" w:fill="auto"/>
            <w:vAlign w:val="bottom"/>
          </w:tcPr>
          <w:p w14:paraId="66BD484C" w14:textId="10E7FC4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-.21</w:t>
            </w:r>
          </w:p>
        </w:tc>
        <w:tc>
          <w:tcPr>
            <w:tcW w:w="397" w:type="dxa"/>
            <w:tcBorders>
              <w:top w:val="nil"/>
              <w:left w:val="nil"/>
              <w:bottom w:val="nil"/>
              <w:right w:val="nil"/>
            </w:tcBorders>
            <w:shd w:val="clear" w:color="auto" w:fill="auto"/>
            <w:vAlign w:val="bottom"/>
          </w:tcPr>
          <w:p w14:paraId="068B85AC" w14:textId="2EC71A1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.37</w:t>
            </w:r>
          </w:p>
        </w:tc>
        <w:tc>
          <w:tcPr>
            <w:tcW w:w="397" w:type="dxa"/>
            <w:tcBorders>
              <w:top w:val="nil"/>
              <w:left w:val="nil"/>
              <w:bottom w:val="nil"/>
              <w:right w:val="nil"/>
            </w:tcBorders>
            <w:shd w:val="clear" w:color="auto" w:fill="auto"/>
            <w:vAlign w:val="bottom"/>
          </w:tcPr>
          <w:p w14:paraId="3193C6D7" w14:textId="2740074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0D3FF828" w14:textId="5E64B18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6A1FC609" w14:textId="57FB1D0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5FFD2740" w14:textId="5795439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0DD7B63E" w14:textId="14501FC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277722E5" w14:textId="60E0CAA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6" w:type="dxa"/>
            <w:tcBorders>
              <w:top w:val="nil"/>
              <w:left w:val="nil"/>
              <w:bottom w:val="nil"/>
              <w:right w:val="nil"/>
            </w:tcBorders>
            <w:shd w:val="clear" w:color="auto" w:fill="auto"/>
            <w:vAlign w:val="bottom"/>
          </w:tcPr>
          <w:p w14:paraId="7F2C70FA" w14:textId="2ACC021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66F7334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4784DB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64A548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C9979D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6E4DD5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50B319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97A1412"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16C27F2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E948F8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453D74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F76D4C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CCE88A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A5E245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8A5397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59A1027"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4F996A93"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0AE475B5" w14:textId="7B17E7A0" w:rsidTr="00892A05">
        <w:tc>
          <w:tcPr>
            <w:tcW w:w="284" w:type="dxa"/>
          </w:tcPr>
          <w:p w14:paraId="475396D1" w14:textId="6550C3E1"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11.</w:t>
            </w:r>
          </w:p>
        </w:tc>
        <w:tc>
          <w:tcPr>
            <w:tcW w:w="2835" w:type="dxa"/>
            <w:vAlign w:val="center"/>
          </w:tcPr>
          <w:p w14:paraId="6CCD9A41" w14:textId="3A41C205"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Incentive (vs. no incentive)</w:t>
            </w:r>
          </w:p>
        </w:tc>
        <w:tc>
          <w:tcPr>
            <w:tcW w:w="396" w:type="dxa"/>
            <w:tcBorders>
              <w:top w:val="nil"/>
              <w:left w:val="nil"/>
              <w:bottom w:val="nil"/>
              <w:right w:val="nil"/>
            </w:tcBorders>
            <w:shd w:val="clear" w:color="auto" w:fill="auto"/>
            <w:vAlign w:val="bottom"/>
          </w:tcPr>
          <w:p w14:paraId="26A390A6" w14:textId="6F795C3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.14</w:t>
            </w:r>
          </w:p>
        </w:tc>
        <w:tc>
          <w:tcPr>
            <w:tcW w:w="397" w:type="dxa"/>
            <w:tcBorders>
              <w:top w:val="nil"/>
              <w:left w:val="nil"/>
              <w:bottom w:val="nil"/>
              <w:right w:val="nil"/>
            </w:tcBorders>
            <w:shd w:val="clear" w:color="auto" w:fill="auto"/>
            <w:vAlign w:val="bottom"/>
          </w:tcPr>
          <w:p w14:paraId="6BF0EC78" w14:textId="1DD3695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-.14</w:t>
            </w:r>
          </w:p>
        </w:tc>
        <w:tc>
          <w:tcPr>
            <w:tcW w:w="397" w:type="dxa"/>
            <w:tcBorders>
              <w:top w:val="nil"/>
              <w:left w:val="nil"/>
              <w:bottom w:val="nil"/>
              <w:right w:val="nil"/>
            </w:tcBorders>
            <w:shd w:val="clear" w:color="auto" w:fill="auto"/>
            <w:vAlign w:val="bottom"/>
          </w:tcPr>
          <w:p w14:paraId="14ACB254" w14:textId="527E2EC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4042085F" w14:textId="4DD4D31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404805C5" w14:textId="78B31AE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nil"/>
              <w:right w:val="nil"/>
            </w:tcBorders>
            <w:shd w:val="clear" w:color="auto" w:fill="auto"/>
            <w:vAlign w:val="bottom"/>
          </w:tcPr>
          <w:p w14:paraId="26122791" w14:textId="0A1C124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2184A6B7" w14:textId="71F6A32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78FC876E" w14:textId="1DDF170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6" w:type="dxa"/>
            <w:tcBorders>
              <w:top w:val="nil"/>
              <w:left w:val="nil"/>
              <w:bottom w:val="nil"/>
              <w:right w:val="nil"/>
            </w:tcBorders>
            <w:shd w:val="clear" w:color="auto" w:fill="auto"/>
            <w:vAlign w:val="bottom"/>
          </w:tcPr>
          <w:p w14:paraId="6A1042F6" w14:textId="1283DA3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-.20</w:t>
            </w:r>
          </w:p>
        </w:tc>
        <w:tc>
          <w:tcPr>
            <w:tcW w:w="397" w:type="dxa"/>
            <w:tcBorders>
              <w:top w:val="nil"/>
              <w:left w:val="nil"/>
              <w:bottom w:val="nil"/>
              <w:right w:val="nil"/>
            </w:tcBorders>
            <w:shd w:val="clear" w:color="auto" w:fill="auto"/>
            <w:vAlign w:val="bottom"/>
          </w:tcPr>
          <w:p w14:paraId="0CE5D660" w14:textId="6758167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-.16</w:t>
            </w:r>
          </w:p>
        </w:tc>
        <w:tc>
          <w:tcPr>
            <w:tcW w:w="397" w:type="dxa"/>
            <w:tcBorders>
              <w:top w:val="nil"/>
              <w:left w:val="nil"/>
              <w:bottom w:val="nil"/>
              <w:right w:val="nil"/>
            </w:tcBorders>
            <w:shd w:val="clear" w:color="auto" w:fill="auto"/>
            <w:vAlign w:val="bottom"/>
          </w:tcPr>
          <w:p w14:paraId="685DCFC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1F8FA4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7A57E3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2E794F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94B90B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2FC92E7"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774D237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5565CE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D37E21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3E8643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5597B1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4D48E9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96EA07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40E5024"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5F1DE3D4"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5047F9E6" w14:textId="36CB39E3" w:rsidTr="00892A05">
        <w:tc>
          <w:tcPr>
            <w:tcW w:w="284" w:type="dxa"/>
          </w:tcPr>
          <w:p w14:paraId="070D85FA" w14:textId="66778652"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12.</w:t>
            </w:r>
          </w:p>
        </w:tc>
        <w:tc>
          <w:tcPr>
            <w:tcW w:w="2835" w:type="dxa"/>
            <w:vAlign w:val="center"/>
          </w:tcPr>
          <w:p w14:paraId="2CD9814B" w14:textId="07BD0280"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Real world (vs. artificial) stimuli</w:t>
            </w:r>
          </w:p>
        </w:tc>
        <w:tc>
          <w:tcPr>
            <w:tcW w:w="396" w:type="dxa"/>
            <w:tcBorders>
              <w:top w:val="nil"/>
              <w:left w:val="nil"/>
              <w:bottom w:val="nil"/>
              <w:right w:val="nil"/>
            </w:tcBorders>
            <w:shd w:val="clear" w:color="auto" w:fill="auto"/>
            <w:vAlign w:val="bottom"/>
          </w:tcPr>
          <w:p w14:paraId="2F41D9F0" w14:textId="39620DC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0C528ECD" w14:textId="01B7302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563D144E" w14:textId="6BBF567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.17</w:t>
            </w:r>
          </w:p>
        </w:tc>
        <w:tc>
          <w:tcPr>
            <w:tcW w:w="397" w:type="dxa"/>
            <w:tcBorders>
              <w:top w:val="nil"/>
              <w:left w:val="nil"/>
              <w:bottom w:val="nil"/>
              <w:right w:val="nil"/>
            </w:tcBorders>
            <w:shd w:val="clear" w:color="auto" w:fill="auto"/>
            <w:vAlign w:val="bottom"/>
          </w:tcPr>
          <w:p w14:paraId="0040D945" w14:textId="26649DE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52DBD2E1" w14:textId="7D095CF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5635DF06" w14:textId="6B411BB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6BB9D6DF" w14:textId="3BD22CF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53752637" w14:textId="091359E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6" w:type="dxa"/>
            <w:tcBorders>
              <w:top w:val="nil"/>
              <w:left w:val="nil"/>
              <w:bottom w:val="nil"/>
              <w:right w:val="nil"/>
            </w:tcBorders>
            <w:shd w:val="clear" w:color="auto" w:fill="auto"/>
            <w:vAlign w:val="bottom"/>
          </w:tcPr>
          <w:p w14:paraId="15BA7AAF" w14:textId="466C641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.17</w:t>
            </w:r>
          </w:p>
        </w:tc>
        <w:tc>
          <w:tcPr>
            <w:tcW w:w="397" w:type="dxa"/>
            <w:tcBorders>
              <w:top w:val="nil"/>
              <w:left w:val="nil"/>
              <w:bottom w:val="nil"/>
              <w:right w:val="nil"/>
            </w:tcBorders>
            <w:shd w:val="clear" w:color="auto" w:fill="auto"/>
            <w:vAlign w:val="bottom"/>
          </w:tcPr>
          <w:p w14:paraId="2E0156BB" w14:textId="474854D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0468FE88" w14:textId="3CEAB1F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4AF95C8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B5F9EE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E60DBE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4E1767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88AF179"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56D2B93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D189F8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4AD572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8F68F3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5E06B4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D811F4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D9A748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9758204"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2D787C14"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0B8DD4DC" w14:textId="722E9102" w:rsidTr="00892A05">
        <w:tc>
          <w:tcPr>
            <w:tcW w:w="284" w:type="dxa"/>
          </w:tcPr>
          <w:p w14:paraId="744AD84C" w14:textId="1268F419"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13.</w:t>
            </w:r>
          </w:p>
        </w:tc>
        <w:tc>
          <w:tcPr>
            <w:tcW w:w="2835" w:type="dxa"/>
            <w:vAlign w:val="center"/>
          </w:tcPr>
          <w:p w14:paraId="7658E374" w14:textId="7915A351"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Experiential (vs. materialistic) stimuli</w:t>
            </w:r>
          </w:p>
        </w:tc>
        <w:tc>
          <w:tcPr>
            <w:tcW w:w="396" w:type="dxa"/>
            <w:tcBorders>
              <w:top w:val="nil"/>
              <w:left w:val="nil"/>
              <w:bottom w:val="nil"/>
              <w:right w:val="nil"/>
            </w:tcBorders>
            <w:shd w:val="clear" w:color="auto" w:fill="auto"/>
            <w:vAlign w:val="bottom"/>
          </w:tcPr>
          <w:p w14:paraId="4B1ABF1E" w14:textId="12B9202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5C22C3FA" w14:textId="6312409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-.31</w:t>
            </w:r>
          </w:p>
        </w:tc>
        <w:tc>
          <w:tcPr>
            <w:tcW w:w="397" w:type="dxa"/>
            <w:tcBorders>
              <w:top w:val="nil"/>
              <w:left w:val="nil"/>
              <w:bottom w:val="nil"/>
              <w:right w:val="nil"/>
            </w:tcBorders>
            <w:shd w:val="clear" w:color="auto" w:fill="auto"/>
            <w:vAlign w:val="bottom"/>
          </w:tcPr>
          <w:p w14:paraId="3CC5451B" w14:textId="4E44E04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-.42</w:t>
            </w:r>
          </w:p>
        </w:tc>
        <w:tc>
          <w:tcPr>
            <w:tcW w:w="397" w:type="dxa"/>
            <w:tcBorders>
              <w:top w:val="nil"/>
              <w:left w:val="nil"/>
              <w:bottom w:val="nil"/>
              <w:right w:val="nil"/>
            </w:tcBorders>
            <w:shd w:val="clear" w:color="auto" w:fill="auto"/>
            <w:vAlign w:val="bottom"/>
          </w:tcPr>
          <w:p w14:paraId="76F8FD3D" w14:textId="435E0F6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49180498" w14:textId="0A8231C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397529BD" w14:textId="3FBB36D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5ECF0E6D" w14:textId="0C34AB4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48695279" w14:textId="5B9AB6D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6" w:type="dxa"/>
            <w:tcBorders>
              <w:top w:val="nil"/>
              <w:left w:val="nil"/>
              <w:bottom w:val="nil"/>
              <w:right w:val="nil"/>
            </w:tcBorders>
            <w:shd w:val="clear" w:color="auto" w:fill="auto"/>
            <w:vAlign w:val="bottom"/>
          </w:tcPr>
          <w:p w14:paraId="57C3DF7E" w14:textId="5964B12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1061DCA9" w14:textId="06ED836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155B0ADA" w14:textId="60D6FCE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60BBFD4C" w14:textId="32B0243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-.36</w:t>
            </w:r>
          </w:p>
        </w:tc>
        <w:tc>
          <w:tcPr>
            <w:tcW w:w="397" w:type="dxa"/>
            <w:tcBorders>
              <w:top w:val="nil"/>
              <w:left w:val="nil"/>
              <w:bottom w:val="nil"/>
              <w:right w:val="nil"/>
            </w:tcBorders>
            <w:shd w:val="clear" w:color="auto" w:fill="auto"/>
            <w:vAlign w:val="bottom"/>
          </w:tcPr>
          <w:p w14:paraId="26F13DF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FE372D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3B985D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F503384"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34F1A57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56617C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8AC158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CC3824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36A0FF9"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6F39B3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A95C1E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E3C949C"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7F7DED44"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74199922" w14:textId="46CDEF76" w:rsidTr="00892A05">
        <w:tc>
          <w:tcPr>
            <w:tcW w:w="284" w:type="dxa"/>
          </w:tcPr>
          <w:p w14:paraId="5B2BBAC9" w14:textId="5F6923AB"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14.</w:t>
            </w:r>
          </w:p>
        </w:tc>
        <w:tc>
          <w:tcPr>
            <w:tcW w:w="2835" w:type="dxa"/>
            <w:vAlign w:val="center"/>
          </w:tcPr>
          <w:p w14:paraId="37A99A12" w14:textId="4E274AD1"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Text and image (vs. text only)</w:t>
            </w:r>
          </w:p>
        </w:tc>
        <w:tc>
          <w:tcPr>
            <w:tcW w:w="396" w:type="dxa"/>
            <w:tcBorders>
              <w:top w:val="nil"/>
              <w:left w:val="nil"/>
              <w:bottom w:val="nil"/>
              <w:right w:val="nil"/>
            </w:tcBorders>
            <w:shd w:val="clear" w:color="auto" w:fill="auto"/>
            <w:vAlign w:val="bottom"/>
          </w:tcPr>
          <w:p w14:paraId="00887158" w14:textId="2A6B5CE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0D70F76B" w14:textId="73D8DA5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41D06B0F" w14:textId="613D518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73A803B6" w14:textId="086DE07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.22</w:t>
            </w:r>
          </w:p>
        </w:tc>
        <w:tc>
          <w:tcPr>
            <w:tcW w:w="397" w:type="dxa"/>
            <w:tcBorders>
              <w:top w:val="nil"/>
              <w:left w:val="nil"/>
              <w:bottom w:val="nil"/>
              <w:right w:val="nil"/>
            </w:tcBorders>
            <w:shd w:val="clear" w:color="auto" w:fill="auto"/>
            <w:vAlign w:val="bottom"/>
          </w:tcPr>
          <w:p w14:paraId="0FA35CCC" w14:textId="7A48299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092BC55F" w14:textId="3D6F635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.26</w:t>
            </w:r>
          </w:p>
        </w:tc>
        <w:tc>
          <w:tcPr>
            <w:tcW w:w="397" w:type="dxa"/>
            <w:tcBorders>
              <w:top w:val="nil"/>
              <w:left w:val="nil"/>
              <w:bottom w:val="nil"/>
              <w:right w:val="nil"/>
            </w:tcBorders>
            <w:shd w:val="clear" w:color="auto" w:fill="auto"/>
            <w:vAlign w:val="bottom"/>
          </w:tcPr>
          <w:p w14:paraId="6F3F7705" w14:textId="7542B4F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nil"/>
              <w:right w:val="nil"/>
            </w:tcBorders>
            <w:shd w:val="clear" w:color="auto" w:fill="auto"/>
            <w:vAlign w:val="bottom"/>
          </w:tcPr>
          <w:p w14:paraId="70C5ECC8" w14:textId="1B25D9C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6" w:type="dxa"/>
            <w:tcBorders>
              <w:top w:val="nil"/>
              <w:left w:val="nil"/>
              <w:bottom w:val="nil"/>
              <w:right w:val="nil"/>
            </w:tcBorders>
            <w:shd w:val="clear" w:color="auto" w:fill="auto"/>
            <w:vAlign w:val="bottom"/>
          </w:tcPr>
          <w:p w14:paraId="25711218" w14:textId="161F693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7DCFE9F9" w14:textId="4E13AA2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2C4FEBB2" w14:textId="6374B30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1111D76B" w14:textId="0F05DBB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7481EFD8" w14:textId="6ECB5EE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37DB38B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01B991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DCC4A83"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3769BF6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EE112F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BA2205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5BF9ED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33E8EC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1F74F5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7AC870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0C565D2"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6568612D"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19266AC3" w14:textId="67986101" w:rsidTr="00892A05">
        <w:tc>
          <w:tcPr>
            <w:tcW w:w="284" w:type="dxa"/>
          </w:tcPr>
          <w:p w14:paraId="101BA93E" w14:textId="5F8A46FD"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15.</w:t>
            </w:r>
          </w:p>
        </w:tc>
        <w:tc>
          <w:tcPr>
            <w:tcW w:w="2835" w:type="dxa"/>
            <w:vAlign w:val="center"/>
          </w:tcPr>
          <w:p w14:paraId="103871FD" w14:textId="546E1F72"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Text type: Ad</w:t>
            </w:r>
          </w:p>
        </w:tc>
        <w:tc>
          <w:tcPr>
            <w:tcW w:w="396" w:type="dxa"/>
            <w:tcBorders>
              <w:top w:val="nil"/>
              <w:left w:val="nil"/>
              <w:bottom w:val="nil"/>
              <w:right w:val="nil"/>
            </w:tcBorders>
            <w:shd w:val="clear" w:color="auto" w:fill="auto"/>
            <w:vAlign w:val="bottom"/>
          </w:tcPr>
          <w:p w14:paraId="6079AECE" w14:textId="0B040F0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37340202" w14:textId="35C103A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.23</w:t>
            </w:r>
          </w:p>
        </w:tc>
        <w:tc>
          <w:tcPr>
            <w:tcW w:w="397" w:type="dxa"/>
            <w:tcBorders>
              <w:top w:val="nil"/>
              <w:left w:val="nil"/>
              <w:bottom w:val="nil"/>
              <w:right w:val="nil"/>
            </w:tcBorders>
            <w:shd w:val="clear" w:color="auto" w:fill="auto"/>
            <w:vAlign w:val="bottom"/>
          </w:tcPr>
          <w:p w14:paraId="613DD327" w14:textId="48B66A3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1BDA6380" w14:textId="1915E1E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2427E14B" w14:textId="7788228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28FAD224" w14:textId="3CA2479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395C6507" w14:textId="38A0AFD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289C8EFE" w14:textId="078691F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6" w:type="dxa"/>
            <w:tcBorders>
              <w:top w:val="nil"/>
              <w:left w:val="nil"/>
              <w:bottom w:val="nil"/>
              <w:right w:val="nil"/>
            </w:tcBorders>
            <w:shd w:val="clear" w:color="auto" w:fill="auto"/>
            <w:vAlign w:val="bottom"/>
          </w:tcPr>
          <w:p w14:paraId="091F7516" w14:textId="509B6A4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16DB89B0" w14:textId="754A128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bottom w:val="nil"/>
              <w:right w:val="nil"/>
            </w:tcBorders>
            <w:shd w:val="clear" w:color="auto" w:fill="auto"/>
            <w:vAlign w:val="bottom"/>
          </w:tcPr>
          <w:p w14:paraId="7F3DDD5B" w14:textId="35B6410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-.21</w:t>
            </w:r>
          </w:p>
        </w:tc>
        <w:tc>
          <w:tcPr>
            <w:tcW w:w="397" w:type="dxa"/>
            <w:tcBorders>
              <w:top w:val="nil"/>
              <w:left w:val="nil"/>
              <w:bottom w:val="nil"/>
              <w:right w:val="nil"/>
            </w:tcBorders>
            <w:shd w:val="clear" w:color="auto" w:fill="auto"/>
            <w:vAlign w:val="bottom"/>
          </w:tcPr>
          <w:p w14:paraId="0361E3A6" w14:textId="2BE97DF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5D6706E2" w14:textId="3793219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547FF30D" w14:textId="227C46B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.31</w:t>
            </w:r>
          </w:p>
        </w:tc>
        <w:tc>
          <w:tcPr>
            <w:tcW w:w="397" w:type="dxa"/>
            <w:tcBorders>
              <w:top w:val="nil"/>
              <w:left w:val="nil"/>
              <w:bottom w:val="nil"/>
              <w:right w:val="nil"/>
            </w:tcBorders>
            <w:shd w:val="clear" w:color="auto" w:fill="auto"/>
            <w:vAlign w:val="bottom"/>
          </w:tcPr>
          <w:p w14:paraId="4B9C299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0F466F6"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103836E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79F5D9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7D7292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451895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70EAAD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8BCEAF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28E34E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48F9C50"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5BCE4D16"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3197BB0E" w14:textId="2E0DAF86" w:rsidTr="00892A05">
        <w:tc>
          <w:tcPr>
            <w:tcW w:w="284" w:type="dxa"/>
          </w:tcPr>
          <w:p w14:paraId="71DA6F10" w14:textId="56D23904"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16.</w:t>
            </w:r>
          </w:p>
        </w:tc>
        <w:tc>
          <w:tcPr>
            <w:tcW w:w="2835" w:type="dxa"/>
            <w:vAlign w:val="center"/>
          </w:tcPr>
          <w:p w14:paraId="63E3A9CD" w14:textId="1FB94B5B"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Text type: Story</w:t>
            </w:r>
          </w:p>
        </w:tc>
        <w:tc>
          <w:tcPr>
            <w:tcW w:w="396" w:type="dxa"/>
            <w:tcBorders>
              <w:top w:val="nil"/>
              <w:left w:val="nil"/>
              <w:bottom w:val="nil"/>
              <w:right w:val="nil"/>
            </w:tcBorders>
            <w:shd w:val="clear" w:color="auto" w:fill="auto"/>
            <w:vAlign w:val="bottom"/>
          </w:tcPr>
          <w:p w14:paraId="2FF61A61" w14:textId="14B0CDE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0F5ECD37" w14:textId="5DD86D2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-.31</w:t>
            </w:r>
          </w:p>
        </w:tc>
        <w:tc>
          <w:tcPr>
            <w:tcW w:w="397" w:type="dxa"/>
            <w:tcBorders>
              <w:top w:val="nil"/>
              <w:left w:val="nil"/>
              <w:bottom w:val="nil"/>
              <w:right w:val="nil"/>
            </w:tcBorders>
            <w:shd w:val="clear" w:color="auto" w:fill="auto"/>
            <w:vAlign w:val="bottom"/>
          </w:tcPr>
          <w:p w14:paraId="42F35F84" w14:textId="52DFBD7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nil"/>
              <w:right w:val="nil"/>
            </w:tcBorders>
            <w:shd w:val="clear" w:color="auto" w:fill="auto"/>
            <w:vAlign w:val="bottom"/>
          </w:tcPr>
          <w:p w14:paraId="0DA42F10" w14:textId="6C7471B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.24</w:t>
            </w:r>
          </w:p>
        </w:tc>
        <w:tc>
          <w:tcPr>
            <w:tcW w:w="397" w:type="dxa"/>
            <w:tcBorders>
              <w:top w:val="nil"/>
              <w:left w:val="nil"/>
              <w:bottom w:val="nil"/>
              <w:right w:val="nil"/>
            </w:tcBorders>
            <w:shd w:val="clear" w:color="auto" w:fill="auto"/>
            <w:vAlign w:val="bottom"/>
          </w:tcPr>
          <w:p w14:paraId="6EAE1FB3" w14:textId="4A3A8FF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2902FA48" w14:textId="43B2739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7248777E" w14:textId="300A294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611D06B8" w14:textId="10DF2B9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6" w:type="dxa"/>
            <w:tcBorders>
              <w:top w:val="nil"/>
              <w:left w:val="nil"/>
              <w:bottom w:val="nil"/>
              <w:right w:val="nil"/>
            </w:tcBorders>
            <w:shd w:val="clear" w:color="auto" w:fill="auto"/>
            <w:vAlign w:val="bottom"/>
          </w:tcPr>
          <w:p w14:paraId="68D63906" w14:textId="5C9817A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7D568DE4" w14:textId="51D0F6D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-.26</w:t>
            </w:r>
          </w:p>
        </w:tc>
        <w:tc>
          <w:tcPr>
            <w:tcW w:w="397" w:type="dxa"/>
            <w:tcBorders>
              <w:top w:val="nil"/>
              <w:left w:val="nil"/>
              <w:bottom w:val="nil"/>
              <w:right w:val="nil"/>
            </w:tcBorders>
            <w:shd w:val="clear" w:color="auto" w:fill="auto"/>
            <w:vAlign w:val="bottom"/>
          </w:tcPr>
          <w:p w14:paraId="7C8E678C" w14:textId="5899F89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.23</w:t>
            </w:r>
          </w:p>
        </w:tc>
        <w:tc>
          <w:tcPr>
            <w:tcW w:w="397" w:type="dxa"/>
            <w:tcBorders>
              <w:top w:val="nil"/>
              <w:left w:val="nil"/>
              <w:bottom w:val="nil"/>
              <w:right w:val="nil"/>
            </w:tcBorders>
            <w:shd w:val="clear" w:color="auto" w:fill="auto"/>
            <w:vAlign w:val="bottom"/>
          </w:tcPr>
          <w:p w14:paraId="7E2772A5" w14:textId="25E2569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4A662FD5" w14:textId="7721300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4D45DD03" w14:textId="4F3D685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bottom w:val="nil"/>
              <w:right w:val="nil"/>
            </w:tcBorders>
            <w:shd w:val="clear" w:color="auto" w:fill="auto"/>
            <w:vAlign w:val="bottom"/>
          </w:tcPr>
          <w:p w14:paraId="0C3CA5BE" w14:textId="01D7E68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-.42</w:t>
            </w:r>
          </w:p>
        </w:tc>
        <w:tc>
          <w:tcPr>
            <w:tcW w:w="397" w:type="dxa"/>
            <w:tcBorders>
              <w:top w:val="nil"/>
              <w:left w:val="nil"/>
              <w:bottom w:val="nil"/>
              <w:right w:val="nil"/>
            </w:tcBorders>
            <w:shd w:val="clear" w:color="auto" w:fill="auto"/>
            <w:vAlign w:val="bottom"/>
          </w:tcPr>
          <w:p w14:paraId="0DAF21D9" w14:textId="77777777" w:rsidR="005D767C" w:rsidRPr="002D2D8C" w:rsidRDefault="005D767C" w:rsidP="005D767C">
            <w:pPr>
              <w:spacing w:line="240" w:lineRule="auto"/>
              <w:jc w:val="center"/>
              <w:rPr>
                <w:rFonts w:eastAsia="Arial" w:cs="Times New Roman"/>
                <w:sz w:val="18"/>
                <w:szCs w:val="18"/>
                <w:lang w:val="en-US"/>
              </w:rPr>
            </w:pPr>
          </w:p>
        </w:tc>
        <w:tc>
          <w:tcPr>
            <w:tcW w:w="396" w:type="dxa"/>
            <w:tcBorders>
              <w:top w:val="nil"/>
              <w:left w:val="nil"/>
              <w:bottom w:val="nil"/>
              <w:right w:val="nil"/>
            </w:tcBorders>
            <w:shd w:val="clear" w:color="auto" w:fill="auto"/>
            <w:vAlign w:val="bottom"/>
          </w:tcPr>
          <w:p w14:paraId="15E5FBA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2F3003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F5B3430"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58EDEDDA"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ACAAAE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C0BFAB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29D6C2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C4A3CA7"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5E13789A"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4169B0FC" w14:textId="12443650" w:rsidTr="00892A05">
        <w:tc>
          <w:tcPr>
            <w:tcW w:w="284" w:type="dxa"/>
          </w:tcPr>
          <w:p w14:paraId="24EFC561" w14:textId="59E237E0"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17.</w:t>
            </w:r>
          </w:p>
        </w:tc>
        <w:tc>
          <w:tcPr>
            <w:tcW w:w="2835" w:type="dxa"/>
            <w:vAlign w:val="center"/>
          </w:tcPr>
          <w:p w14:paraId="1D73E40C" w14:textId="228CADF7"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Text type: Other</w:t>
            </w:r>
          </w:p>
        </w:tc>
        <w:tc>
          <w:tcPr>
            <w:tcW w:w="396" w:type="dxa"/>
            <w:tcBorders>
              <w:top w:val="nil"/>
              <w:left w:val="nil"/>
              <w:bottom w:val="nil"/>
              <w:right w:val="nil"/>
            </w:tcBorders>
            <w:shd w:val="clear" w:color="auto" w:fill="auto"/>
            <w:vAlign w:val="bottom"/>
          </w:tcPr>
          <w:p w14:paraId="0200509E" w14:textId="52B3D9F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61216FF9" w14:textId="58BD4AB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5AD1949A" w14:textId="70E866F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353EAD11" w14:textId="1EC2B75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-.22</w:t>
            </w:r>
          </w:p>
        </w:tc>
        <w:tc>
          <w:tcPr>
            <w:tcW w:w="397" w:type="dxa"/>
            <w:tcBorders>
              <w:top w:val="nil"/>
              <w:left w:val="nil"/>
              <w:bottom w:val="nil"/>
              <w:right w:val="nil"/>
            </w:tcBorders>
            <w:shd w:val="clear" w:color="auto" w:fill="auto"/>
            <w:vAlign w:val="bottom"/>
          </w:tcPr>
          <w:p w14:paraId="408225D7" w14:textId="2F008C0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5BF27994" w14:textId="4307BE7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002EFFC1" w14:textId="1B225BE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2616528D" w14:textId="102C9F1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6" w:type="dxa"/>
            <w:tcBorders>
              <w:top w:val="nil"/>
              <w:left w:val="nil"/>
              <w:bottom w:val="nil"/>
              <w:right w:val="nil"/>
            </w:tcBorders>
            <w:shd w:val="clear" w:color="auto" w:fill="auto"/>
            <w:vAlign w:val="bottom"/>
          </w:tcPr>
          <w:p w14:paraId="5B8E3408" w14:textId="1AE0C81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796EFADB" w14:textId="3C6A03A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319AAF9A" w14:textId="4A1B3F4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164F6D28" w14:textId="1257CC0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001B5294" w14:textId="4D3A1F3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333BB056" w14:textId="49CBC36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-.38</w:t>
            </w:r>
          </w:p>
        </w:tc>
        <w:tc>
          <w:tcPr>
            <w:tcW w:w="397" w:type="dxa"/>
            <w:tcBorders>
              <w:top w:val="nil"/>
              <w:left w:val="nil"/>
              <w:bottom w:val="nil"/>
              <w:right w:val="nil"/>
            </w:tcBorders>
            <w:shd w:val="clear" w:color="auto" w:fill="auto"/>
            <w:vAlign w:val="bottom"/>
          </w:tcPr>
          <w:p w14:paraId="13E8B268" w14:textId="2913A15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-.68</w:t>
            </w:r>
          </w:p>
        </w:tc>
        <w:tc>
          <w:tcPr>
            <w:tcW w:w="397" w:type="dxa"/>
            <w:tcBorders>
              <w:top w:val="nil"/>
              <w:left w:val="nil"/>
              <w:bottom w:val="nil"/>
              <w:right w:val="nil"/>
            </w:tcBorders>
            <w:shd w:val="clear" w:color="auto" w:fill="auto"/>
            <w:vAlign w:val="bottom"/>
          </w:tcPr>
          <w:p w14:paraId="6110F581" w14:textId="7120F0B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-.22</w:t>
            </w:r>
          </w:p>
        </w:tc>
        <w:tc>
          <w:tcPr>
            <w:tcW w:w="396" w:type="dxa"/>
            <w:tcBorders>
              <w:top w:val="nil"/>
              <w:left w:val="nil"/>
              <w:bottom w:val="nil"/>
              <w:right w:val="nil"/>
            </w:tcBorders>
            <w:shd w:val="clear" w:color="auto" w:fill="auto"/>
            <w:vAlign w:val="bottom"/>
          </w:tcPr>
          <w:p w14:paraId="6ED1D33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2A1E1B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75C19F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35E052F"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8F9B9B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F573D1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0CF3C0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93E9383"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5DE46311"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44C21EE4" w14:textId="6E656F44" w:rsidTr="00892A05">
        <w:tc>
          <w:tcPr>
            <w:tcW w:w="284" w:type="dxa"/>
          </w:tcPr>
          <w:p w14:paraId="0EB77989" w14:textId="56867C04"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18.</w:t>
            </w:r>
          </w:p>
        </w:tc>
        <w:tc>
          <w:tcPr>
            <w:tcW w:w="2835" w:type="dxa"/>
            <w:vAlign w:val="center"/>
          </w:tcPr>
          <w:p w14:paraId="2FBE22E9" w14:textId="09FA9049" w:rsidR="005D767C" w:rsidRPr="002D2D8C" w:rsidRDefault="005D767C" w:rsidP="005D767C">
            <w:pPr>
              <w:spacing w:line="240" w:lineRule="auto"/>
              <w:rPr>
                <w:rFonts w:eastAsia="Arial" w:cs="Times New Roman"/>
                <w:sz w:val="18"/>
                <w:szCs w:val="18"/>
                <w:lang w:val="en-US"/>
              </w:rPr>
            </w:pPr>
            <w:r w:rsidRPr="00B705D3">
              <w:rPr>
                <w:rFonts w:eastAsia="Arial" w:cs="Times New Roman"/>
                <w:sz w:val="18"/>
                <w:szCs w:val="18"/>
                <w:lang w:val="en-US"/>
              </w:rPr>
              <w:t>Measurement with scale</w:t>
            </w:r>
          </w:p>
        </w:tc>
        <w:tc>
          <w:tcPr>
            <w:tcW w:w="396" w:type="dxa"/>
            <w:tcBorders>
              <w:top w:val="nil"/>
              <w:left w:val="nil"/>
              <w:bottom w:val="nil"/>
              <w:right w:val="nil"/>
            </w:tcBorders>
            <w:shd w:val="clear" w:color="auto" w:fill="auto"/>
            <w:vAlign w:val="bottom"/>
          </w:tcPr>
          <w:p w14:paraId="2C4E0995" w14:textId="17BFE7E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.20</w:t>
            </w:r>
          </w:p>
        </w:tc>
        <w:tc>
          <w:tcPr>
            <w:tcW w:w="397" w:type="dxa"/>
            <w:tcBorders>
              <w:top w:val="nil"/>
              <w:left w:val="nil"/>
              <w:bottom w:val="nil"/>
              <w:right w:val="nil"/>
            </w:tcBorders>
            <w:shd w:val="clear" w:color="auto" w:fill="auto"/>
            <w:vAlign w:val="bottom"/>
          </w:tcPr>
          <w:p w14:paraId="48D250CD" w14:textId="3830B57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4772A0BD" w14:textId="3FAEEF5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138D4B74" w14:textId="3521F87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-.22</w:t>
            </w:r>
          </w:p>
        </w:tc>
        <w:tc>
          <w:tcPr>
            <w:tcW w:w="397" w:type="dxa"/>
            <w:tcBorders>
              <w:top w:val="nil"/>
              <w:left w:val="nil"/>
              <w:bottom w:val="nil"/>
              <w:right w:val="nil"/>
            </w:tcBorders>
            <w:shd w:val="clear" w:color="auto" w:fill="auto"/>
            <w:vAlign w:val="bottom"/>
          </w:tcPr>
          <w:p w14:paraId="2E945DFC" w14:textId="7346993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.35</w:t>
            </w:r>
          </w:p>
        </w:tc>
        <w:tc>
          <w:tcPr>
            <w:tcW w:w="397" w:type="dxa"/>
            <w:tcBorders>
              <w:top w:val="nil"/>
              <w:left w:val="nil"/>
              <w:bottom w:val="nil"/>
              <w:right w:val="nil"/>
            </w:tcBorders>
            <w:shd w:val="clear" w:color="auto" w:fill="auto"/>
            <w:vAlign w:val="bottom"/>
          </w:tcPr>
          <w:p w14:paraId="0CE652E8" w14:textId="7671C47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7B075742" w14:textId="058A636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63AB7C08" w14:textId="2913D7A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-.35</w:t>
            </w:r>
          </w:p>
        </w:tc>
        <w:tc>
          <w:tcPr>
            <w:tcW w:w="396" w:type="dxa"/>
            <w:tcBorders>
              <w:top w:val="nil"/>
              <w:left w:val="nil"/>
              <w:bottom w:val="nil"/>
              <w:right w:val="nil"/>
            </w:tcBorders>
            <w:shd w:val="clear" w:color="auto" w:fill="auto"/>
            <w:vAlign w:val="bottom"/>
          </w:tcPr>
          <w:p w14:paraId="4439AE6A" w14:textId="79452A2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73E4F1F8" w14:textId="6D704B5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3123B2A7" w14:textId="0806B1E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41897860" w14:textId="03E3C36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-.25</w:t>
            </w:r>
          </w:p>
        </w:tc>
        <w:tc>
          <w:tcPr>
            <w:tcW w:w="397" w:type="dxa"/>
            <w:tcBorders>
              <w:top w:val="nil"/>
              <w:left w:val="nil"/>
              <w:bottom w:val="nil"/>
              <w:right w:val="nil"/>
            </w:tcBorders>
            <w:shd w:val="clear" w:color="auto" w:fill="auto"/>
            <w:vAlign w:val="bottom"/>
          </w:tcPr>
          <w:p w14:paraId="51DBCE32" w14:textId="53CC5A7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78822D67" w14:textId="61B7D12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-.19</w:t>
            </w:r>
          </w:p>
        </w:tc>
        <w:tc>
          <w:tcPr>
            <w:tcW w:w="397" w:type="dxa"/>
            <w:tcBorders>
              <w:top w:val="nil"/>
              <w:left w:val="nil"/>
              <w:bottom w:val="nil"/>
              <w:right w:val="nil"/>
            </w:tcBorders>
            <w:shd w:val="clear" w:color="auto" w:fill="auto"/>
            <w:vAlign w:val="bottom"/>
          </w:tcPr>
          <w:p w14:paraId="3514AF12" w14:textId="63DFFFB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758D19AE" w14:textId="2362DA7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6" w:type="dxa"/>
            <w:tcBorders>
              <w:top w:val="nil"/>
              <w:left w:val="nil"/>
              <w:bottom w:val="nil"/>
              <w:right w:val="nil"/>
            </w:tcBorders>
            <w:shd w:val="clear" w:color="auto" w:fill="auto"/>
            <w:vAlign w:val="bottom"/>
          </w:tcPr>
          <w:p w14:paraId="098C965F" w14:textId="2262E04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7171702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7E8B0D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4D4B06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E80FF4C"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5CEB4D8"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5FC78B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1AFF1CE"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446A6BDB"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43992FF9" w14:textId="5CAB5EDE" w:rsidTr="00892A05">
        <w:tc>
          <w:tcPr>
            <w:tcW w:w="284" w:type="dxa"/>
          </w:tcPr>
          <w:p w14:paraId="6627DE74" w14:textId="00509806"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19.</w:t>
            </w:r>
          </w:p>
        </w:tc>
        <w:tc>
          <w:tcPr>
            <w:tcW w:w="2835" w:type="dxa"/>
            <w:vAlign w:val="center"/>
          </w:tcPr>
          <w:p w14:paraId="228DE8E0" w14:textId="6C7DF2CB"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Students (vs. non-student) sample</w:t>
            </w:r>
          </w:p>
        </w:tc>
        <w:tc>
          <w:tcPr>
            <w:tcW w:w="396" w:type="dxa"/>
            <w:tcBorders>
              <w:top w:val="nil"/>
              <w:left w:val="nil"/>
              <w:bottom w:val="nil"/>
              <w:right w:val="nil"/>
            </w:tcBorders>
            <w:shd w:val="clear" w:color="auto" w:fill="auto"/>
            <w:vAlign w:val="bottom"/>
          </w:tcPr>
          <w:p w14:paraId="392B9FF5" w14:textId="46435C6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59A457E3" w14:textId="213D06B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.19</w:t>
            </w:r>
          </w:p>
        </w:tc>
        <w:tc>
          <w:tcPr>
            <w:tcW w:w="397" w:type="dxa"/>
            <w:tcBorders>
              <w:top w:val="nil"/>
              <w:left w:val="nil"/>
              <w:bottom w:val="nil"/>
              <w:right w:val="nil"/>
            </w:tcBorders>
            <w:shd w:val="clear" w:color="auto" w:fill="auto"/>
            <w:vAlign w:val="bottom"/>
          </w:tcPr>
          <w:p w14:paraId="10CC9029" w14:textId="3D370A1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12C32F91" w14:textId="038A36D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-.26</w:t>
            </w:r>
          </w:p>
        </w:tc>
        <w:tc>
          <w:tcPr>
            <w:tcW w:w="397" w:type="dxa"/>
            <w:tcBorders>
              <w:top w:val="nil"/>
              <w:left w:val="nil"/>
              <w:bottom w:val="nil"/>
              <w:right w:val="nil"/>
            </w:tcBorders>
            <w:shd w:val="clear" w:color="auto" w:fill="auto"/>
            <w:vAlign w:val="bottom"/>
          </w:tcPr>
          <w:p w14:paraId="650489C4" w14:textId="6866E24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bottom w:val="nil"/>
              <w:right w:val="nil"/>
            </w:tcBorders>
            <w:shd w:val="clear" w:color="auto" w:fill="auto"/>
            <w:vAlign w:val="bottom"/>
          </w:tcPr>
          <w:p w14:paraId="7A2617F7" w14:textId="4E0451A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227250EC" w14:textId="16BE526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169740AF" w14:textId="1E6C439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.14</w:t>
            </w:r>
          </w:p>
        </w:tc>
        <w:tc>
          <w:tcPr>
            <w:tcW w:w="396" w:type="dxa"/>
            <w:tcBorders>
              <w:top w:val="nil"/>
              <w:left w:val="nil"/>
              <w:bottom w:val="nil"/>
              <w:right w:val="nil"/>
            </w:tcBorders>
            <w:shd w:val="clear" w:color="auto" w:fill="auto"/>
            <w:vAlign w:val="bottom"/>
          </w:tcPr>
          <w:p w14:paraId="63445D7E" w14:textId="3A69A93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-.26</w:t>
            </w:r>
          </w:p>
        </w:tc>
        <w:tc>
          <w:tcPr>
            <w:tcW w:w="397" w:type="dxa"/>
            <w:tcBorders>
              <w:top w:val="nil"/>
              <w:left w:val="nil"/>
              <w:bottom w:val="nil"/>
              <w:right w:val="nil"/>
            </w:tcBorders>
            <w:shd w:val="clear" w:color="auto" w:fill="auto"/>
            <w:vAlign w:val="bottom"/>
          </w:tcPr>
          <w:p w14:paraId="50C390D3" w14:textId="028E312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.58</w:t>
            </w:r>
          </w:p>
        </w:tc>
        <w:tc>
          <w:tcPr>
            <w:tcW w:w="397" w:type="dxa"/>
            <w:tcBorders>
              <w:top w:val="nil"/>
              <w:left w:val="nil"/>
              <w:bottom w:val="nil"/>
              <w:right w:val="nil"/>
            </w:tcBorders>
            <w:shd w:val="clear" w:color="auto" w:fill="auto"/>
            <w:vAlign w:val="bottom"/>
          </w:tcPr>
          <w:p w14:paraId="7997D7A0" w14:textId="24013EA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bottom w:val="nil"/>
              <w:right w:val="nil"/>
            </w:tcBorders>
            <w:shd w:val="clear" w:color="auto" w:fill="auto"/>
            <w:vAlign w:val="bottom"/>
          </w:tcPr>
          <w:p w14:paraId="51380152" w14:textId="5ECE369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-.20</w:t>
            </w:r>
          </w:p>
        </w:tc>
        <w:tc>
          <w:tcPr>
            <w:tcW w:w="397" w:type="dxa"/>
            <w:tcBorders>
              <w:top w:val="nil"/>
              <w:left w:val="nil"/>
              <w:bottom w:val="nil"/>
              <w:right w:val="nil"/>
            </w:tcBorders>
            <w:shd w:val="clear" w:color="auto" w:fill="auto"/>
            <w:vAlign w:val="bottom"/>
          </w:tcPr>
          <w:p w14:paraId="6C978BB7" w14:textId="2810EAC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0CD7DF06" w14:textId="2C0B259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5093A040" w14:textId="42AECBA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.23</w:t>
            </w:r>
          </w:p>
        </w:tc>
        <w:tc>
          <w:tcPr>
            <w:tcW w:w="397" w:type="dxa"/>
            <w:tcBorders>
              <w:top w:val="nil"/>
              <w:left w:val="nil"/>
              <w:bottom w:val="nil"/>
              <w:right w:val="nil"/>
            </w:tcBorders>
            <w:shd w:val="clear" w:color="auto" w:fill="auto"/>
            <w:vAlign w:val="bottom"/>
          </w:tcPr>
          <w:p w14:paraId="4A77A47F" w14:textId="46C7BAC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-.16</w:t>
            </w:r>
          </w:p>
        </w:tc>
        <w:tc>
          <w:tcPr>
            <w:tcW w:w="396" w:type="dxa"/>
            <w:tcBorders>
              <w:top w:val="nil"/>
              <w:left w:val="nil"/>
              <w:bottom w:val="nil"/>
              <w:right w:val="nil"/>
            </w:tcBorders>
            <w:shd w:val="clear" w:color="auto" w:fill="auto"/>
            <w:vAlign w:val="bottom"/>
          </w:tcPr>
          <w:p w14:paraId="18BE30D5" w14:textId="775560D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536417FF" w14:textId="2170542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41F9697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84F5C7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79BD69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0852F81"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407C6C56"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054FE7B"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356351D3"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48748F68" w14:textId="418E3C8E" w:rsidTr="00892A05">
        <w:tc>
          <w:tcPr>
            <w:tcW w:w="284" w:type="dxa"/>
          </w:tcPr>
          <w:p w14:paraId="484E1C78" w14:textId="2EE4C73E"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20.</w:t>
            </w:r>
          </w:p>
        </w:tc>
        <w:tc>
          <w:tcPr>
            <w:tcW w:w="2835" w:type="dxa"/>
            <w:vAlign w:val="center"/>
          </w:tcPr>
          <w:p w14:paraId="77A71057" w14:textId="36D85161"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Age</w:t>
            </w:r>
          </w:p>
        </w:tc>
        <w:tc>
          <w:tcPr>
            <w:tcW w:w="396" w:type="dxa"/>
            <w:tcBorders>
              <w:top w:val="nil"/>
              <w:left w:val="nil"/>
              <w:bottom w:val="nil"/>
              <w:right w:val="nil"/>
            </w:tcBorders>
            <w:shd w:val="clear" w:color="auto" w:fill="auto"/>
            <w:vAlign w:val="bottom"/>
          </w:tcPr>
          <w:p w14:paraId="5F2AD742" w14:textId="6D58F30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0990F059" w14:textId="086FF00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186132FE" w14:textId="4957A43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bottom w:val="nil"/>
              <w:right w:val="nil"/>
            </w:tcBorders>
            <w:shd w:val="clear" w:color="auto" w:fill="auto"/>
            <w:vAlign w:val="bottom"/>
          </w:tcPr>
          <w:p w14:paraId="63EDF7A3" w14:textId="4242C45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3B421F5A" w14:textId="1674187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72B99230" w14:textId="7EDAC67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542A3B1D" w14:textId="29FDE45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732AB527" w14:textId="0C2E586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6" w:type="dxa"/>
            <w:tcBorders>
              <w:top w:val="nil"/>
              <w:left w:val="nil"/>
              <w:bottom w:val="nil"/>
              <w:right w:val="nil"/>
            </w:tcBorders>
            <w:shd w:val="clear" w:color="auto" w:fill="auto"/>
            <w:vAlign w:val="bottom"/>
          </w:tcPr>
          <w:p w14:paraId="5839949D" w14:textId="6901CC4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34072D91" w14:textId="05073C8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-.41</w:t>
            </w:r>
          </w:p>
        </w:tc>
        <w:tc>
          <w:tcPr>
            <w:tcW w:w="397" w:type="dxa"/>
            <w:tcBorders>
              <w:top w:val="nil"/>
              <w:left w:val="nil"/>
              <w:bottom w:val="nil"/>
              <w:right w:val="nil"/>
            </w:tcBorders>
            <w:shd w:val="clear" w:color="auto" w:fill="auto"/>
            <w:vAlign w:val="bottom"/>
          </w:tcPr>
          <w:p w14:paraId="126BE80C" w14:textId="01A9D46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.16</w:t>
            </w:r>
          </w:p>
        </w:tc>
        <w:tc>
          <w:tcPr>
            <w:tcW w:w="397" w:type="dxa"/>
            <w:tcBorders>
              <w:top w:val="nil"/>
              <w:left w:val="nil"/>
              <w:bottom w:val="nil"/>
              <w:right w:val="nil"/>
            </w:tcBorders>
            <w:shd w:val="clear" w:color="auto" w:fill="auto"/>
            <w:vAlign w:val="bottom"/>
          </w:tcPr>
          <w:p w14:paraId="50B1DC11" w14:textId="6B45055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52544B7F" w14:textId="51EBE49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06E12061" w14:textId="61ACE9B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05A3E988" w14:textId="418E02A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7C42B409" w14:textId="00092C0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6" w:type="dxa"/>
            <w:tcBorders>
              <w:top w:val="nil"/>
              <w:left w:val="nil"/>
              <w:bottom w:val="nil"/>
              <w:right w:val="nil"/>
            </w:tcBorders>
            <w:shd w:val="clear" w:color="auto" w:fill="auto"/>
            <w:vAlign w:val="bottom"/>
          </w:tcPr>
          <w:p w14:paraId="17E9677E" w14:textId="7AEA83B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.17</w:t>
            </w:r>
          </w:p>
        </w:tc>
        <w:tc>
          <w:tcPr>
            <w:tcW w:w="397" w:type="dxa"/>
            <w:tcBorders>
              <w:top w:val="nil"/>
              <w:left w:val="nil"/>
              <w:bottom w:val="nil"/>
              <w:right w:val="nil"/>
            </w:tcBorders>
            <w:shd w:val="clear" w:color="auto" w:fill="auto"/>
            <w:vAlign w:val="bottom"/>
          </w:tcPr>
          <w:p w14:paraId="70341DFE" w14:textId="11CD1E9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1A6F9595" w14:textId="051C47A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-.49</w:t>
            </w:r>
          </w:p>
        </w:tc>
        <w:tc>
          <w:tcPr>
            <w:tcW w:w="397" w:type="dxa"/>
            <w:tcBorders>
              <w:top w:val="nil"/>
              <w:left w:val="nil"/>
              <w:bottom w:val="nil"/>
              <w:right w:val="nil"/>
            </w:tcBorders>
            <w:shd w:val="clear" w:color="auto" w:fill="auto"/>
            <w:vAlign w:val="bottom"/>
          </w:tcPr>
          <w:p w14:paraId="45CA35CB"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97E7D3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0496AA55"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23114264"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82CC30D"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08B5FE23"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66C59E19" w14:textId="519EAE13" w:rsidTr="00892A05">
        <w:tc>
          <w:tcPr>
            <w:tcW w:w="284" w:type="dxa"/>
          </w:tcPr>
          <w:p w14:paraId="3AAE5489" w14:textId="19BC5DAF"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21.</w:t>
            </w:r>
          </w:p>
        </w:tc>
        <w:tc>
          <w:tcPr>
            <w:tcW w:w="2835" w:type="dxa"/>
            <w:vAlign w:val="center"/>
          </w:tcPr>
          <w:p w14:paraId="4CEDD7BF" w14:textId="23B6C4FD"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Female</w:t>
            </w:r>
          </w:p>
        </w:tc>
        <w:tc>
          <w:tcPr>
            <w:tcW w:w="396" w:type="dxa"/>
            <w:tcBorders>
              <w:top w:val="nil"/>
              <w:left w:val="nil"/>
              <w:bottom w:val="nil"/>
              <w:right w:val="nil"/>
            </w:tcBorders>
            <w:shd w:val="clear" w:color="auto" w:fill="auto"/>
            <w:vAlign w:val="bottom"/>
          </w:tcPr>
          <w:p w14:paraId="5B7A9B45" w14:textId="28F48FC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09A37A97" w14:textId="493BB5A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5FA2A222" w14:textId="12B4C00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7D32E3CA" w14:textId="3B36B54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.27</w:t>
            </w:r>
          </w:p>
        </w:tc>
        <w:tc>
          <w:tcPr>
            <w:tcW w:w="397" w:type="dxa"/>
            <w:tcBorders>
              <w:top w:val="nil"/>
              <w:left w:val="nil"/>
              <w:bottom w:val="nil"/>
              <w:right w:val="nil"/>
            </w:tcBorders>
            <w:shd w:val="clear" w:color="auto" w:fill="auto"/>
            <w:vAlign w:val="bottom"/>
          </w:tcPr>
          <w:p w14:paraId="2459BCBD" w14:textId="3CD4AF7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21AA57FC" w14:textId="465B75A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1EFE104D" w14:textId="3DBDDF0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13C424D4" w14:textId="3821514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6" w:type="dxa"/>
            <w:tcBorders>
              <w:top w:val="nil"/>
              <w:left w:val="nil"/>
              <w:bottom w:val="nil"/>
              <w:right w:val="nil"/>
            </w:tcBorders>
            <w:shd w:val="clear" w:color="auto" w:fill="auto"/>
            <w:vAlign w:val="bottom"/>
          </w:tcPr>
          <w:p w14:paraId="299E15D9" w14:textId="7137ECC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30B8FD33" w14:textId="098476C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43D65F6D" w14:textId="39CD5EF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.14</w:t>
            </w:r>
          </w:p>
        </w:tc>
        <w:tc>
          <w:tcPr>
            <w:tcW w:w="397" w:type="dxa"/>
            <w:tcBorders>
              <w:top w:val="nil"/>
              <w:left w:val="nil"/>
              <w:bottom w:val="nil"/>
              <w:right w:val="nil"/>
            </w:tcBorders>
            <w:shd w:val="clear" w:color="auto" w:fill="auto"/>
            <w:vAlign w:val="bottom"/>
          </w:tcPr>
          <w:p w14:paraId="1217A088" w14:textId="16C1568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2F764345" w14:textId="1220DA8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66FF7AF1" w14:textId="116D097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721C5753" w14:textId="1F112DE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444EFAF2" w14:textId="711B445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6" w:type="dxa"/>
            <w:tcBorders>
              <w:top w:val="nil"/>
              <w:left w:val="nil"/>
              <w:bottom w:val="nil"/>
              <w:right w:val="nil"/>
            </w:tcBorders>
            <w:shd w:val="clear" w:color="auto" w:fill="auto"/>
            <w:vAlign w:val="bottom"/>
          </w:tcPr>
          <w:p w14:paraId="7BA65AC4" w14:textId="3E1ACC9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37F510F5" w14:textId="2527EC9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4F98554E" w14:textId="07AB282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.22</w:t>
            </w:r>
          </w:p>
        </w:tc>
        <w:tc>
          <w:tcPr>
            <w:tcW w:w="397" w:type="dxa"/>
            <w:tcBorders>
              <w:top w:val="nil"/>
              <w:left w:val="nil"/>
              <w:bottom w:val="nil"/>
              <w:right w:val="nil"/>
            </w:tcBorders>
            <w:shd w:val="clear" w:color="auto" w:fill="auto"/>
            <w:vAlign w:val="bottom"/>
          </w:tcPr>
          <w:p w14:paraId="220D640F" w14:textId="4C2F4F5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-.24</w:t>
            </w:r>
          </w:p>
        </w:tc>
        <w:tc>
          <w:tcPr>
            <w:tcW w:w="397" w:type="dxa"/>
            <w:tcBorders>
              <w:top w:val="nil"/>
              <w:left w:val="nil"/>
              <w:bottom w:val="nil"/>
              <w:right w:val="nil"/>
            </w:tcBorders>
            <w:shd w:val="clear" w:color="auto" w:fill="auto"/>
            <w:vAlign w:val="bottom"/>
          </w:tcPr>
          <w:p w14:paraId="76C45B4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5EFA097"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34F0B85E"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1DDBD20"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4F88E3F2"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4DAE011F" w14:textId="264F170E" w:rsidTr="00892A05">
        <w:tc>
          <w:tcPr>
            <w:tcW w:w="284" w:type="dxa"/>
          </w:tcPr>
          <w:p w14:paraId="464F110E" w14:textId="6A62C15D"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22.</w:t>
            </w:r>
          </w:p>
        </w:tc>
        <w:tc>
          <w:tcPr>
            <w:tcW w:w="2835" w:type="dxa"/>
            <w:vAlign w:val="center"/>
          </w:tcPr>
          <w:p w14:paraId="624E161C" w14:textId="35AFF414"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Sample size</w:t>
            </w:r>
          </w:p>
        </w:tc>
        <w:tc>
          <w:tcPr>
            <w:tcW w:w="396" w:type="dxa"/>
            <w:tcBorders>
              <w:top w:val="nil"/>
              <w:left w:val="nil"/>
              <w:bottom w:val="nil"/>
              <w:right w:val="nil"/>
            </w:tcBorders>
            <w:shd w:val="clear" w:color="auto" w:fill="auto"/>
            <w:vAlign w:val="bottom"/>
          </w:tcPr>
          <w:p w14:paraId="68B309B6" w14:textId="4E03457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-.19</w:t>
            </w:r>
          </w:p>
        </w:tc>
        <w:tc>
          <w:tcPr>
            <w:tcW w:w="397" w:type="dxa"/>
            <w:tcBorders>
              <w:top w:val="nil"/>
              <w:left w:val="nil"/>
              <w:bottom w:val="nil"/>
              <w:right w:val="nil"/>
            </w:tcBorders>
            <w:shd w:val="clear" w:color="auto" w:fill="auto"/>
            <w:vAlign w:val="bottom"/>
          </w:tcPr>
          <w:p w14:paraId="37886748" w14:textId="6E8C10E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06EEF8AC" w14:textId="0E70B29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18C684DA" w14:textId="147F90A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nil"/>
              <w:right w:val="nil"/>
            </w:tcBorders>
            <w:shd w:val="clear" w:color="auto" w:fill="auto"/>
            <w:vAlign w:val="bottom"/>
          </w:tcPr>
          <w:p w14:paraId="12E352AD" w14:textId="7CDC91E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35E76228" w14:textId="34D56EA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nil"/>
              <w:right w:val="nil"/>
            </w:tcBorders>
            <w:shd w:val="clear" w:color="auto" w:fill="auto"/>
            <w:vAlign w:val="bottom"/>
          </w:tcPr>
          <w:p w14:paraId="08AD71ED" w14:textId="7B03F27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00F838F7" w14:textId="617A60C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6" w:type="dxa"/>
            <w:tcBorders>
              <w:top w:val="nil"/>
              <w:left w:val="nil"/>
              <w:bottom w:val="nil"/>
              <w:right w:val="nil"/>
            </w:tcBorders>
            <w:shd w:val="clear" w:color="auto" w:fill="auto"/>
            <w:vAlign w:val="bottom"/>
          </w:tcPr>
          <w:p w14:paraId="3CEF1045" w14:textId="2EDEA08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3A4FEFF9" w14:textId="2DC25CA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nil"/>
              <w:right w:val="nil"/>
            </w:tcBorders>
            <w:shd w:val="clear" w:color="auto" w:fill="auto"/>
            <w:vAlign w:val="bottom"/>
          </w:tcPr>
          <w:p w14:paraId="27B5F32F" w14:textId="1468355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bottom w:val="nil"/>
              <w:right w:val="nil"/>
            </w:tcBorders>
            <w:shd w:val="clear" w:color="auto" w:fill="auto"/>
            <w:vAlign w:val="bottom"/>
          </w:tcPr>
          <w:p w14:paraId="0A3F0FBE" w14:textId="7CD28AC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304BB24F" w14:textId="3422645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nil"/>
              <w:right w:val="nil"/>
            </w:tcBorders>
            <w:shd w:val="clear" w:color="auto" w:fill="auto"/>
            <w:vAlign w:val="bottom"/>
          </w:tcPr>
          <w:p w14:paraId="630442B6" w14:textId="266FF6B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35801AEE" w14:textId="305851D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0E95FBFF" w14:textId="4747DDD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-.21</w:t>
            </w:r>
          </w:p>
        </w:tc>
        <w:tc>
          <w:tcPr>
            <w:tcW w:w="396" w:type="dxa"/>
            <w:tcBorders>
              <w:top w:val="nil"/>
              <w:left w:val="nil"/>
              <w:bottom w:val="nil"/>
              <w:right w:val="nil"/>
            </w:tcBorders>
            <w:shd w:val="clear" w:color="auto" w:fill="auto"/>
            <w:vAlign w:val="bottom"/>
          </w:tcPr>
          <w:p w14:paraId="4A7D615F" w14:textId="2B16B1A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.20</w:t>
            </w:r>
          </w:p>
        </w:tc>
        <w:tc>
          <w:tcPr>
            <w:tcW w:w="397" w:type="dxa"/>
            <w:tcBorders>
              <w:top w:val="nil"/>
              <w:left w:val="nil"/>
              <w:bottom w:val="nil"/>
              <w:right w:val="nil"/>
            </w:tcBorders>
            <w:shd w:val="clear" w:color="auto" w:fill="auto"/>
            <w:vAlign w:val="bottom"/>
          </w:tcPr>
          <w:p w14:paraId="470D5E25" w14:textId="20A991F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nil"/>
              <w:right w:val="nil"/>
            </w:tcBorders>
            <w:shd w:val="clear" w:color="auto" w:fill="auto"/>
            <w:vAlign w:val="bottom"/>
          </w:tcPr>
          <w:p w14:paraId="66E179BF" w14:textId="2451326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73087916" w14:textId="5A068CE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271A45FE" w14:textId="48594A3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35FBE4A3"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1B7F0002"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72300871"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43342A56"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3051221A" w14:textId="5F9A3AE4" w:rsidTr="00892A05">
        <w:tc>
          <w:tcPr>
            <w:tcW w:w="284" w:type="dxa"/>
          </w:tcPr>
          <w:p w14:paraId="276DCE3E" w14:textId="69A0EEDD"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23.</w:t>
            </w:r>
          </w:p>
        </w:tc>
        <w:tc>
          <w:tcPr>
            <w:tcW w:w="2835" w:type="dxa"/>
            <w:vAlign w:val="center"/>
          </w:tcPr>
          <w:p w14:paraId="3A8DE682" w14:textId="3A3378C2"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Unpublished (vs. published) study</w:t>
            </w:r>
          </w:p>
        </w:tc>
        <w:tc>
          <w:tcPr>
            <w:tcW w:w="396" w:type="dxa"/>
            <w:tcBorders>
              <w:top w:val="nil"/>
              <w:left w:val="nil"/>
              <w:bottom w:val="nil"/>
              <w:right w:val="nil"/>
            </w:tcBorders>
            <w:shd w:val="clear" w:color="auto" w:fill="auto"/>
            <w:vAlign w:val="bottom"/>
          </w:tcPr>
          <w:p w14:paraId="70D0D5BA" w14:textId="248041C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16A42BDF" w14:textId="6768FC9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.29</w:t>
            </w:r>
          </w:p>
        </w:tc>
        <w:tc>
          <w:tcPr>
            <w:tcW w:w="397" w:type="dxa"/>
            <w:tcBorders>
              <w:top w:val="nil"/>
              <w:left w:val="nil"/>
              <w:bottom w:val="nil"/>
              <w:right w:val="nil"/>
            </w:tcBorders>
            <w:shd w:val="clear" w:color="auto" w:fill="auto"/>
            <w:vAlign w:val="bottom"/>
          </w:tcPr>
          <w:p w14:paraId="3333C1AF" w14:textId="41AED94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639A2ED7" w14:textId="6BD2BAB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-.17</w:t>
            </w:r>
          </w:p>
        </w:tc>
        <w:tc>
          <w:tcPr>
            <w:tcW w:w="397" w:type="dxa"/>
            <w:tcBorders>
              <w:top w:val="nil"/>
              <w:left w:val="nil"/>
              <w:bottom w:val="nil"/>
              <w:right w:val="nil"/>
            </w:tcBorders>
            <w:shd w:val="clear" w:color="auto" w:fill="auto"/>
            <w:vAlign w:val="bottom"/>
          </w:tcPr>
          <w:p w14:paraId="2D03C6E6" w14:textId="0E518EE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.35</w:t>
            </w:r>
          </w:p>
        </w:tc>
        <w:tc>
          <w:tcPr>
            <w:tcW w:w="397" w:type="dxa"/>
            <w:tcBorders>
              <w:top w:val="nil"/>
              <w:left w:val="nil"/>
              <w:bottom w:val="nil"/>
              <w:right w:val="nil"/>
            </w:tcBorders>
            <w:shd w:val="clear" w:color="auto" w:fill="auto"/>
            <w:vAlign w:val="bottom"/>
          </w:tcPr>
          <w:p w14:paraId="04F22267" w14:textId="69E3924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nil"/>
              <w:right w:val="nil"/>
            </w:tcBorders>
            <w:shd w:val="clear" w:color="auto" w:fill="auto"/>
            <w:vAlign w:val="bottom"/>
          </w:tcPr>
          <w:p w14:paraId="581E6969" w14:textId="5A6F724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21BED07D" w14:textId="007FE86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6" w:type="dxa"/>
            <w:tcBorders>
              <w:top w:val="nil"/>
              <w:left w:val="nil"/>
              <w:bottom w:val="nil"/>
              <w:right w:val="nil"/>
            </w:tcBorders>
            <w:shd w:val="clear" w:color="auto" w:fill="auto"/>
            <w:vAlign w:val="bottom"/>
          </w:tcPr>
          <w:p w14:paraId="01C43806" w14:textId="4602C23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-.20</w:t>
            </w:r>
          </w:p>
        </w:tc>
        <w:tc>
          <w:tcPr>
            <w:tcW w:w="397" w:type="dxa"/>
            <w:tcBorders>
              <w:top w:val="nil"/>
              <w:left w:val="nil"/>
              <w:bottom w:val="nil"/>
              <w:right w:val="nil"/>
            </w:tcBorders>
            <w:shd w:val="clear" w:color="auto" w:fill="auto"/>
            <w:vAlign w:val="bottom"/>
          </w:tcPr>
          <w:p w14:paraId="5FA60283" w14:textId="72E227F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7EBB4E9B" w14:textId="69247F4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nil"/>
              <w:right w:val="nil"/>
            </w:tcBorders>
            <w:shd w:val="clear" w:color="auto" w:fill="auto"/>
            <w:vAlign w:val="bottom"/>
          </w:tcPr>
          <w:p w14:paraId="72C37A2E" w14:textId="3832CDE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503329E0" w14:textId="10132431"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55DA5742" w14:textId="4960218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bottom w:val="nil"/>
              <w:right w:val="nil"/>
            </w:tcBorders>
            <w:shd w:val="clear" w:color="auto" w:fill="auto"/>
            <w:vAlign w:val="bottom"/>
          </w:tcPr>
          <w:p w14:paraId="3452537F" w14:textId="07F2F49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bottom w:val="nil"/>
              <w:right w:val="nil"/>
            </w:tcBorders>
            <w:shd w:val="clear" w:color="auto" w:fill="auto"/>
            <w:vAlign w:val="bottom"/>
          </w:tcPr>
          <w:p w14:paraId="555A04C7" w14:textId="0E9DEF5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6" w:type="dxa"/>
            <w:tcBorders>
              <w:top w:val="nil"/>
              <w:left w:val="nil"/>
              <w:bottom w:val="nil"/>
              <w:right w:val="nil"/>
            </w:tcBorders>
            <w:shd w:val="clear" w:color="auto" w:fill="auto"/>
            <w:vAlign w:val="bottom"/>
          </w:tcPr>
          <w:p w14:paraId="7AB899AC" w14:textId="5BF3B61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-.11</w:t>
            </w:r>
          </w:p>
        </w:tc>
        <w:tc>
          <w:tcPr>
            <w:tcW w:w="397" w:type="dxa"/>
            <w:tcBorders>
              <w:top w:val="nil"/>
              <w:left w:val="nil"/>
              <w:bottom w:val="nil"/>
              <w:right w:val="nil"/>
            </w:tcBorders>
            <w:shd w:val="clear" w:color="auto" w:fill="auto"/>
            <w:vAlign w:val="bottom"/>
          </w:tcPr>
          <w:p w14:paraId="16EC52EC" w14:textId="2F9CA5B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bottom w:val="nil"/>
              <w:right w:val="nil"/>
            </w:tcBorders>
            <w:shd w:val="clear" w:color="auto" w:fill="auto"/>
            <w:vAlign w:val="bottom"/>
          </w:tcPr>
          <w:p w14:paraId="0335EFE5" w14:textId="278EE4E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bottom w:val="nil"/>
              <w:right w:val="nil"/>
            </w:tcBorders>
            <w:shd w:val="clear" w:color="auto" w:fill="auto"/>
            <w:vAlign w:val="bottom"/>
          </w:tcPr>
          <w:p w14:paraId="4740D498" w14:textId="2FF14AD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nil"/>
              <w:right w:val="nil"/>
            </w:tcBorders>
            <w:shd w:val="clear" w:color="auto" w:fill="auto"/>
            <w:vAlign w:val="bottom"/>
          </w:tcPr>
          <w:p w14:paraId="1D28B21A" w14:textId="56CFEAEC"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nil"/>
              <w:right w:val="nil"/>
            </w:tcBorders>
            <w:shd w:val="clear" w:color="auto" w:fill="auto"/>
            <w:vAlign w:val="bottom"/>
          </w:tcPr>
          <w:p w14:paraId="3D45429F" w14:textId="0174460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nil"/>
              <w:right w:val="nil"/>
            </w:tcBorders>
            <w:shd w:val="clear" w:color="auto" w:fill="auto"/>
            <w:vAlign w:val="bottom"/>
          </w:tcPr>
          <w:p w14:paraId="2519A9ED" w14:textId="77777777" w:rsidR="005D767C" w:rsidRPr="002D2D8C" w:rsidRDefault="005D767C" w:rsidP="005D767C">
            <w:pPr>
              <w:spacing w:line="240" w:lineRule="auto"/>
              <w:jc w:val="center"/>
              <w:rPr>
                <w:rFonts w:eastAsia="Arial" w:cs="Times New Roman"/>
                <w:sz w:val="18"/>
                <w:szCs w:val="18"/>
                <w:lang w:val="en-US"/>
              </w:rPr>
            </w:pPr>
          </w:p>
        </w:tc>
        <w:tc>
          <w:tcPr>
            <w:tcW w:w="397" w:type="dxa"/>
            <w:tcBorders>
              <w:top w:val="nil"/>
              <w:left w:val="nil"/>
              <w:bottom w:val="nil"/>
              <w:right w:val="nil"/>
            </w:tcBorders>
            <w:shd w:val="clear" w:color="auto" w:fill="auto"/>
            <w:vAlign w:val="bottom"/>
          </w:tcPr>
          <w:p w14:paraId="6498AC9B"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3AD218EA"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0FD8643E" w14:textId="4C5A00DB" w:rsidTr="005D767C">
        <w:tc>
          <w:tcPr>
            <w:tcW w:w="284" w:type="dxa"/>
          </w:tcPr>
          <w:p w14:paraId="2D23D31F" w14:textId="5DF88B92"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24.</w:t>
            </w:r>
          </w:p>
        </w:tc>
        <w:tc>
          <w:tcPr>
            <w:tcW w:w="2835" w:type="dxa"/>
            <w:vAlign w:val="center"/>
          </w:tcPr>
          <w:p w14:paraId="526724FA" w14:textId="63AC8DFB" w:rsidR="005D767C" w:rsidRPr="002D2D8C" w:rsidRDefault="005D767C" w:rsidP="005D767C">
            <w:pPr>
              <w:spacing w:line="240" w:lineRule="auto"/>
              <w:rPr>
                <w:rFonts w:eastAsia="Arial" w:cs="Times New Roman"/>
                <w:sz w:val="18"/>
                <w:szCs w:val="18"/>
                <w:lang w:val="en-US"/>
              </w:rPr>
            </w:pPr>
            <w:r w:rsidRPr="002D2D8C">
              <w:rPr>
                <w:rFonts w:cs="Times New Roman"/>
                <w:color w:val="000000"/>
                <w:sz w:val="18"/>
                <w:szCs w:val="18"/>
                <w:lang w:val="en-US"/>
              </w:rPr>
              <w:t>Journal impact factor</w:t>
            </w:r>
          </w:p>
        </w:tc>
        <w:tc>
          <w:tcPr>
            <w:tcW w:w="396" w:type="dxa"/>
            <w:tcBorders>
              <w:top w:val="nil"/>
              <w:left w:val="nil"/>
              <w:right w:val="nil"/>
            </w:tcBorders>
            <w:shd w:val="clear" w:color="auto" w:fill="auto"/>
            <w:vAlign w:val="bottom"/>
          </w:tcPr>
          <w:p w14:paraId="5A02670E" w14:textId="64AEB89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right w:val="nil"/>
            </w:tcBorders>
            <w:shd w:val="clear" w:color="auto" w:fill="auto"/>
            <w:vAlign w:val="bottom"/>
          </w:tcPr>
          <w:p w14:paraId="293874EE" w14:textId="1DECF22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right w:val="nil"/>
            </w:tcBorders>
            <w:shd w:val="clear" w:color="auto" w:fill="auto"/>
            <w:vAlign w:val="bottom"/>
          </w:tcPr>
          <w:p w14:paraId="75EA9710" w14:textId="2612409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right w:val="nil"/>
            </w:tcBorders>
            <w:shd w:val="clear" w:color="auto" w:fill="auto"/>
            <w:vAlign w:val="bottom"/>
          </w:tcPr>
          <w:p w14:paraId="43B24164" w14:textId="2544E82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.20</w:t>
            </w:r>
          </w:p>
        </w:tc>
        <w:tc>
          <w:tcPr>
            <w:tcW w:w="397" w:type="dxa"/>
            <w:tcBorders>
              <w:top w:val="nil"/>
              <w:left w:val="nil"/>
              <w:right w:val="nil"/>
            </w:tcBorders>
            <w:shd w:val="clear" w:color="auto" w:fill="auto"/>
            <w:vAlign w:val="bottom"/>
          </w:tcPr>
          <w:p w14:paraId="2883677B" w14:textId="5F8BE1D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right w:val="nil"/>
            </w:tcBorders>
            <w:shd w:val="clear" w:color="auto" w:fill="auto"/>
            <w:vAlign w:val="bottom"/>
          </w:tcPr>
          <w:p w14:paraId="54259E78" w14:textId="1463A04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right w:val="nil"/>
            </w:tcBorders>
            <w:shd w:val="clear" w:color="auto" w:fill="auto"/>
            <w:vAlign w:val="bottom"/>
          </w:tcPr>
          <w:p w14:paraId="423D31B1" w14:textId="4D081C2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right w:val="nil"/>
            </w:tcBorders>
            <w:shd w:val="clear" w:color="auto" w:fill="auto"/>
            <w:vAlign w:val="bottom"/>
          </w:tcPr>
          <w:p w14:paraId="40A833CF" w14:textId="4B2D010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6" w:type="dxa"/>
            <w:tcBorders>
              <w:top w:val="nil"/>
              <w:left w:val="nil"/>
              <w:right w:val="nil"/>
            </w:tcBorders>
            <w:shd w:val="clear" w:color="auto" w:fill="auto"/>
            <w:vAlign w:val="bottom"/>
          </w:tcPr>
          <w:p w14:paraId="47450149" w14:textId="188C280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right w:val="nil"/>
            </w:tcBorders>
            <w:shd w:val="clear" w:color="auto" w:fill="auto"/>
            <w:vAlign w:val="bottom"/>
          </w:tcPr>
          <w:p w14:paraId="3D4F2D34" w14:textId="53E7816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right w:val="nil"/>
            </w:tcBorders>
            <w:shd w:val="clear" w:color="auto" w:fill="auto"/>
            <w:vAlign w:val="bottom"/>
          </w:tcPr>
          <w:p w14:paraId="2185FC02" w14:textId="735B705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right w:val="nil"/>
            </w:tcBorders>
            <w:shd w:val="clear" w:color="auto" w:fill="auto"/>
            <w:vAlign w:val="bottom"/>
          </w:tcPr>
          <w:p w14:paraId="2C21A395" w14:textId="15F13DA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-.07</w:t>
            </w:r>
          </w:p>
        </w:tc>
        <w:tc>
          <w:tcPr>
            <w:tcW w:w="397" w:type="dxa"/>
            <w:tcBorders>
              <w:top w:val="nil"/>
              <w:left w:val="nil"/>
              <w:right w:val="nil"/>
            </w:tcBorders>
            <w:shd w:val="clear" w:color="auto" w:fill="auto"/>
            <w:vAlign w:val="bottom"/>
          </w:tcPr>
          <w:p w14:paraId="218D5037" w14:textId="62D7025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right w:val="nil"/>
            </w:tcBorders>
            <w:shd w:val="clear" w:color="auto" w:fill="auto"/>
            <w:vAlign w:val="bottom"/>
          </w:tcPr>
          <w:p w14:paraId="454B1397" w14:textId="6D809E5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.33</w:t>
            </w:r>
          </w:p>
        </w:tc>
        <w:tc>
          <w:tcPr>
            <w:tcW w:w="397" w:type="dxa"/>
            <w:tcBorders>
              <w:top w:val="nil"/>
              <w:left w:val="nil"/>
              <w:right w:val="nil"/>
            </w:tcBorders>
            <w:shd w:val="clear" w:color="auto" w:fill="auto"/>
            <w:vAlign w:val="bottom"/>
          </w:tcPr>
          <w:p w14:paraId="6C3B57E0" w14:textId="7A46487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right w:val="nil"/>
            </w:tcBorders>
            <w:shd w:val="clear" w:color="auto" w:fill="auto"/>
            <w:vAlign w:val="bottom"/>
          </w:tcPr>
          <w:p w14:paraId="3BA72C47" w14:textId="7555E7B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.19</w:t>
            </w:r>
          </w:p>
        </w:tc>
        <w:tc>
          <w:tcPr>
            <w:tcW w:w="396" w:type="dxa"/>
            <w:tcBorders>
              <w:top w:val="nil"/>
              <w:left w:val="nil"/>
              <w:right w:val="nil"/>
            </w:tcBorders>
            <w:shd w:val="clear" w:color="auto" w:fill="auto"/>
            <w:vAlign w:val="bottom"/>
          </w:tcPr>
          <w:p w14:paraId="5CC987E4" w14:textId="7BA87C5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-.27</w:t>
            </w:r>
          </w:p>
        </w:tc>
        <w:tc>
          <w:tcPr>
            <w:tcW w:w="397" w:type="dxa"/>
            <w:tcBorders>
              <w:top w:val="nil"/>
              <w:left w:val="nil"/>
              <w:right w:val="nil"/>
            </w:tcBorders>
            <w:shd w:val="clear" w:color="auto" w:fill="auto"/>
            <w:vAlign w:val="bottom"/>
          </w:tcPr>
          <w:p w14:paraId="3A6F2DDD" w14:textId="09B76D2E"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.03</w:t>
            </w:r>
          </w:p>
        </w:tc>
        <w:tc>
          <w:tcPr>
            <w:tcW w:w="397" w:type="dxa"/>
            <w:tcBorders>
              <w:top w:val="nil"/>
              <w:left w:val="nil"/>
              <w:right w:val="nil"/>
            </w:tcBorders>
            <w:shd w:val="clear" w:color="auto" w:fill="auto"/>
            <w:vAlign w:val="bottom"/>
          </w:tcPr>
          <w:p w14:paraId="563F50AC" w14:textId="5CE4212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right w:val="nil"/>
            </w:tcBorders>
            <w:shd w:val="clear" w:color="auto" w:fill="auto"/>
            <w:vAlign w:val="bottom"/>
          </w:tcPr>
          <w:p w14:paraId="5606CB12" w14:textId="36D8ABC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.00</w:t>
            </w:r>
          </w:p>
        </w:tc>
        <w:tc>
          <w:tcPr>
            <w:tcW w:w="397" w:type="dxa"/>
            <w:tcBorders>
              <w:top w:val="nil"/>
              <w:left w:val="nil"/>
              <w:right w:val="nil"/>
            </w:tcBorders>
            <w:shd w:val="clear" w:color="auto" w:fill="auto"/>
            <w:vAlign w:val="bottom"/>
          </w:tcPr>
          <w:p w14:paraId="5DA963A7" w14:textId="314316F6"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-.08</w:t>
            </w:r>
          </w:p>
        </w:tc>
        <w:tc>
          <w:tcPr>
            <w:tcW w:w="397" w:type="dxa"/>
            <w:tcBorders>
              <w:top w:val="nil"/>
              <w:left w:val="nil"/>
              <w:right w:val="nil"/>
            </w:tcBorders>
            <w:shd w:val="clear" w:color="auto" w:fill="auto"/>
            <w:vAlign w:val="bottom"/>
          </w:tcPr>
          <w:p w14:paraId="4660F002" w14:textId="75D4A62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-.33</w:t>
            </w:r>
          </w:p>
        </w:tc>
        <w:tc>
          <w:tcPr>
            <w:tcW w:w="397" w:type="dxa"/>
            <w:tcBorders>
              <w:top w:val="nil"/>
              <w:left w:val="nil"/>
              <w:right w:val="nil"/>
            </w:tcBorders>
            <w:shd w:val="clear" w:color="auto" w:fill="auto"/>
            <w:vAlign w:val="bottom"/>
          </w:tcPr>
          <w:p w14:paraId="0FE45D9D" w14:textId="79F6BDE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.06</w:t>
            </w:r>
          </w:p>
        </w:tc>
        <w:tc>
          <w:tcPr>
            <w:tcW w:w="397" w:type="dxa"/>
            <w:tcBorders>
              <w:top w:val="nil"/>
              <w:left w:val="nil"/>
              <w:right w:val="nil"/>
            </w:tcBorders>
            <w:shd w:val="clear" w:color="auto" w:fill="auto"/>
            <w:vAlign w:val="bottom"/>
          </w:tcPr>
          <w:p w14:paraId="46E7FE31" w14:textId="77777777" w:rsidR="005D767C" w:rsidRPr="002D2D8C" w:rsidRDefault="005D767C" w:rsidP="005D767C">
            <w:pPr>
              <w:spacing w:line="240" w:lineRule="auto"/>
              <w:jc w:val="center"/>
              <w:rPr>
                <w:rFonts w:eastAsia="Arial" w:cs="Times New Roman"/>
                <w:sz w:val="18"/>
                <w:szCs w:val="18"/>
                <w:lang w:val="en-US"/>
              </w:rPr>
            </w:pPr>
          </w:p>
        </w:tc>
        <w:tc>
          <w:tcPr>
            <w:tcW w:w="397" w:type="dxa"/>
            <w:shd w:val="clear" w:color="auto" w:fill="auto"/>
            <w:vAlign w:val="bottom"/>
          </w:tcPr>
          <w:p w14:paraId="33DFAB06" w14:textId="77777777" w:rsidR="005D767C" w:rsidRPr="002D2D8C" w:rsidRDefault="005D767C" w:rsidP="005D767C">
            <w:pPr>
              <w:spacing w:line="240" w:lineRule="auto"/>
              <w:jc w:val="center"/>
              <w:rPr>
                <w:rFonts w:eastAsia="Arial" w:cs="Times New Roman"/>
                <w:sz w:val="18"/>
                <w:szCs w:val="18"/>
                <w:lang w:val="en-US"/>
              </w:rPr>
            </w:pPr>
          </w:p>
        </w:tc>
      </w:tr>
      <w:tr w:rsidR="005D767C" w:rsidRPr="002D2D8C" w14:paraId="73A8A113" w14:textId="77777777" w:rsidTr="005D767C">
        <w:tc>
          <w:tcPr>
            <w:tcW w:w="284" w:type="dxa"/>
            <w:tcBorders>
              <w:bottom w:val="single" w:sz="4" w:space="0" w:color="auto"/>
            </w:tcBorders>
          </w:tcPr>
          <w:p w14:paraId="5B3770A9" w14:textId="54E2995E" w:rsidR="005D767C" w:rsidRPr="002D2D8C" w:rsidRDefault="005D767C" w:rsidP="005D767C">
            <w:pPr>
              <w:spacing w:line="240" w:lineRule="auto"/>
              <w:rPr>
                <w:rFonts w:eastAsia="Arial" w:cs="Times New Roman"/>
                <w:sz w:val="18"/>
                <w:szCs w:val="18"/>
                <w:lang w:val="en-US"/>
              </w:rPr>
            </w:pPr>
            <w:r w:rsidRPr="002D2D8C">
              <w:rPr>
                <w:rFonts w:eastAsia="Arial" w:cs="Times New Roman"/>
                <w:sz w:val="18"/>
                <w:szCs w:val="18"/>
                <w:lang w:val="en-US"/>
              </w:rPr>
              <w:t>2</w:t>
            </w:r>
            <w:r>
              <w:rPr>
                <w:rFonts w:eastAsia="Arial" w:cs="Times New Roman"/>
                <w:sz w:val="18"/>
                <w:szCs w:val="18"/>
                <w:lang w:val="en-US"/>
              </w:rPr>
              <w:t>5</w:t>
            </w:r>
            <w:r w:rsidRPr="002D2D8C">
              <w:rPr>
                <w:rFonts w:eastAsia="Arial" w:cs="Times New Roman"/>
                <w:sz w:val="18"/>
                <w:szCs w:val="18"/>
                <w:lang w:val="en-US"/>
              </w:rPr>
              <w:t>.</w:t>
            </w:r>
          </w:p>
        </w:tc>
        <w:tc>
          <w:tcPr>
            <w:tcW w:w="2835" w:type="dxa"/>
            <w:tcBorders>
              <w:bottom w:val="single" w:sz="4" w:space="0" w:color="auto"/>
            </w:tcBorders>
            <w:vAlign w:val="center"/>
          </w:tcPr>
          <w:p w14:paraId="78E9DD3B" w14:textId="6EE9BDD0" w:rsidR="005D767C" w:rsidRPr="002D2D8C" w:rsidRDefault="005D767C" w:rsidP="005D767C">
            <w:pPr>
              <w:spacing w:line="240" w:lineRule="auto"/>
              <w:rPr>
                <w:rFonts w:cs="Times New Roman"/>
                <w:color w:val="000000"/>
                <w:sz w:val="18"/>
                <w:szCs w:val="18"/>
                <w:lang w:val="en-US"/>
              </w:rPr>
            </w:pPr>
            <w:r w:rsidRPr="002D2D8C">
              <w:rPr>
                <w:rFonts w:cs="Times New Roman"/>
                <w:color w:val="000000"/>
                <w:sz w:val="18"/>
                <w:szCs w:val="18"/>
                <w:lang w:val="en-US"/>
              </w:rPr>
              <w:t>Year</w:t>
            </w:r>
          </w:p>
        </w:tc>
        <w:tc>
          <w:tcPr>
            <w:tcW w:w="396" w:type="dxa"/>
            <w:tcBorders>
              <w:top w:val="nil"/>
              <w:left w:val="nil"/>
              <w:bottom w:val="single" w:sz="4" w:space="0" w:color="auto"/>
              <w:right w:val="nil"/>
            </w:tcBorders>
            <w:shd w:val="clear" w:color="auto" w:fill="auto"/>
            <w:vAlign w:val="bottom"/>
          </w:tcPr>
          <w:p w14:paraId="3ED91878" w14:textId="09E0D08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.10</w:t>
            </w:r>
          </w:p>
        </w:tc>
        <w:tc>
          <w:tcPr>
            <w:tcW w:w="397" w:type="dxa"/>
            <w:tcBorders>
              <w:top w:val="nil"/>
              <w:left w:val="nil"/>
              <w:bottom w:val="single" w:sz="4" w:space="0" w:color="auto"/>
              <w:right w:val="nil"/>
            </w:tcBorders>
            <w:shd w:val="clear" w:color="auto" w:fill="auto"/>
            <w:vAlign w:val="bottom"/>
          </w:tcPr>
          <w:p w14:paraId="298C8D22" w14:textId="10AD14D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-.44</w:t>
            </w:r>
          </w:p>
        </w:tc>
        <w:tc>
          <w:tcPr>
            <w:tcW w:w="397" w:type="dxa"/>
            <w:tcBorders>
              <w:top w:val="nil"/>
              <w:left w:val="nil"/>
              <w:bottom w:val="single" w:sz="4" w:space="0" w:color="auto"/>
              <w:right w:val="nil"/>
            </w:tcBorders>
            <w:shd w:val="clear" w:color="auto" w:fill="auto"/>
            <w:vAlign w:val="bottom"/>
          </w:tcPr>
          <w:p w14:paraId="100F2D84" w14:textId="5B04C28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-.22</w:t>
            </w:r>
          </w:p>
        </w:tc>
        <w:tc>
          <w:tcPr>
            <w:tcW w:w="397" w:type="dxa"/>
            <w:tcBorders>
              <w:top w:val="nil"/>
              <w:left w:val="nil"/>
              <w:bottom w:val="single" w:sz="4" w:space="0" w:color="auto"/>
              <w:right w:val="nil"/>
            </w:tcBorders>
            <w:shd w:val="clear" w:color="auto" w:fill="auto"/>
            <w:vAlign w:val="bottom"/>
          </w:tcPr>
          <w:p w14:paraId="3151E477" w14:textId="60A8D4F8"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.30</w:t>
            </w:r>
          </w:p>
        </w:tc>
        <w:tc>
          <w:tcPr>
            <w:tcW w:w="397" w:type="dxa"/>
            <w:tcBorders>
              <w:top w:val="nil"/>
              <w:left w:val="nil"/>
              <w:bottom w:val="single" w:sz="4" w:space="0" w:color="auto"/>
              <w:right w:val="nil"/>
            </w:tcBorders>
            <w:shd w:val="clear" w:color="auto" w:fill="auto"/>
            <w:vAlign w:val="bottom"/>
          </w:tcPr>
          <w:p w14:paraId="2DB675F5" w14:textId="47FF12F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-.12</w:t>
            </w:r>
          </w:p>
        </w:tc>
        <w:tc>
          <w:tcPr>
            <w:tcW w:w="397" w:type="dxa"/>
            <w:tcBorders>
              <w:top w:val="nil"/>
              <w:left w:val="nil"/>
              <w:bottom w:val="single" w:sz="4" w:space="0" w:color="auto"/>
              <w:right w:val="nil"/>
            </w:tcBorders>
            <w:shd w:val="clear" w:color="auto" w:fill="auto"/>
            <w:vAlign w:val="bottom"/>
          </w:tcPr>
          <w:p w14:paraId="4BD811D8" w14:textId="1F86BA7D"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single" w:sz="4" w:space="0" w:color="auto"/>
              <w:right w:val="nil"/>
            </w:tcBorders>
            <w:shd w:val="clear" w:color="auto" w:fill="auto"/>
            <w:vAlign w:val="bottom"/>
          </w:tcPr>
          <w:p w14:paraId="3B315D24" w14:textId="0EAD087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single" w:sz="4" w:space="0" w:color="auto"/>
              <w:right w:val="nil"/>
            </w:tcBorders>
            <w:shd w:val="clear" w:color="auto" w:fill="auto"/>
            <w:vAlign w:val="bottom"/>
          </w:tcPr>
          <w:p w14:paraId="6FCF0777" w14:textId="1F2A291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-.23</w:t>
            </w:r>
          </w:p>
        </w:tc>
        <w:tc>
          <w:tcPr>
            <w:tcW w:w="396" w:type="dxa"/>
            <w:tcBorders>
              <w:top w:val="nil"/>
              <w:left w:val="nil"/>
              <w:bottom w:val="single" w:sz="4" w:space="0" w:color="auto"/>
              <w:right w:val="nil"/>
            </w:tcBorders>
            <w:shd w:val="clear" w:color="auto" w:fill="auto"/>
            <w:vAlign w:val="bottom"/>
          </w:tcPr>
          <w:p w14:paraId="745E54D1" w14:textId="2F769D1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.17</w:t>
            </w:r>
          </w:p>
        </w:tc>
        <w:tc>
          <w:tcPr>
            <w:tcW w:w="397" w:type="dxa"/>
            <w:tcBorders>
              <w:top w:val="nil"/>
              <w:left w:val="nil"/>
              <w:bottom w:val="single" w:sz="4" w:space="0" w:color="auto"/>
              <w:right w:val="nil"/>
            </w:tcBorders>
            <w:shd w:val="clear" w:color="auto" w:fill="auto"/>
            <w:vAlign w:val="bottom"/>
          </w:tcPr>
          <w:p w14:paraId="61E8C80A" w14:textId="74743C83"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-.44</w:t>
            </w:r>
          </w:p>
        </w:tc>
        <w:tc>
          <w:tcPr>
            <w:tcW w:w="397" w:type="dxa"/>
            <w:tcBorders>
              <w:top w:val="nil"/>
              <w:left w:val="nil"/>
              <w:bottom w:val="single" w:sz="4" w:space="0" w:color="auto"/>
              <w:right w:val="nil"/>
            </w:tcBorders>
            <w:shd w:val="clear" w:color="auto" w:fill="auto"/>
            <w:vAlign w:val="bottom"/>
          </w:tcPr>
          <w:p w14:paraId="3A4F1A0D" w14:textId="2A42554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single" w:sz="4" w:space="0" w:color="auto"/>
              <w:right w:val="nil"/>
            </w:tcBorders>
            <w:shd w:val="clear" w:color="auto" w:fill="auto"/>
            <w:vAlign w:val="bottom"/>
          </w:tcPr>
          <w:p w14:paraId="07A72637" w14:textId="4DCEE0B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.15</w:t>
            </w:r>
          </w:p>
        </w:tc>
        <w:tc>
          <w:tcPr>
            <w:tcW w:w="397" w:type="dxa"/>
            <w:tcBorders>
              <w:top w:val="nil"/>
              <w:left w:val="nil"/>
              <w:bottom w:val="single" w:sz="4" w:space="0" w:color="auto"/>
              <w:right w:val="nil"/>
            </w:tcBorders>
            <w:shd w:val="clear" w:color="auto" w:fill="auto"/>
            <w:vAlign w:val="bottom"/>
          </w:tcPr>
          <w:p w14:paraId="3271B604" w14:textId="148F5E04"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.18</w:t>
            </w:r>
          </w:p>
        </w:tc>
        <w:tc>
          <w:tcPr>
            <w:tcW w:w="397" w:type="dxa"/>
            <w:tcBorders>
              <w:top w:val="nil"/>
              <w:left w:val="nil"/>
              <w:bottom w:val="single" w:sz="4" w:space="0" w:color="auto"/>
              <w:right w:val="nil"/>
            </w:tcBorders>
            <w:shd w:val="clear" w:color="auto" w:fill="auto"/>
            <w:vAlign w:val="bottom"/>
          </w:tcPr>
          <w:p w14:paraId="4F608D78" w14:textId="5B16864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.04</w:t>
            </w:r>
          </w:p>
        </w:tc>
        <w:tc>
          <w:tcPr>
            <w:tcW w:w="397" w:type="dxa"/>
            <w:tcBorders>
              <w:top w:val="nil"/>
              <w:left w:val="nil"/>
              <w:bottom w:val="single" w:sz="4" w:space="0" w:color="auto"/>
              <w:right w:val="nil"/>
            </w:tcBorders>
            <w:shd w:val="clear" w:color="auto" w:fill="auto"/>
            <w:vAlign w:val="bottom"/>
          </w:tcPr>
          <w:p w14:paraId="46202283" w14:textId="0A2984C5"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-.31</w:t>
            </w:r>
          </w:p>
        </w:tc>
        <w:tc>
          <w:tcPr>
            <w:tcW w:w="397" w:type="dxa"/>
            <w:tcBorders>
              <w:top w:val="nil"/>
              <w:left w:val="nil"/>
              <w:bottom w:val="single" w:sz="4" w:space="0" w:color="auto"/>
              <w:right w:val="nil"/>
            </w:tcBorders>
            <w:shd w:val="clear" w:color="auto" w:fill="auto"/>
            <w:vAlign w:val="bottom"/>
          </w:tcPr>
          <w:p w14:paraId="59D8E756" w14:textId="75D73787"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.25</w:t>
            </w:r>
          </w:p>
        </w:tc>
        <w:tc>
          <w:tcPr>
            <w:tcW w:w="396" w:type="dxa"/>
            <w:tcBorders>
              <w:top w:val="nil"/>
              <w:left w:val="nil"/>
              <w:bottom w:val="single" w:sz="4" w:space="0" w:color="auto"/>
              <w:right w:val="nil"/>
            </w:tcBorders>
            <w:shd w:val="clear" w:color="auto" w:fill="auto"/>
            <w:vAlign w:val="bottom"/>
          </w:tcPr>
          <w:p w14:paraId="712FAFB9" w14:textId="5C7A3E9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.05</w:t>
            </w:r>
          </w:p>
        </w:tc>
        <w:tc>
          <w:tcPr>
            <w:tcW w:w="397" w:type="dxa"/>
            <w:tcBorders>
              <w:top w:val="nil"/>
              <w:left w:val="nil"/>
              <w:bottom w:val="single" w:sz="4" w:space="0" w:color="auto"/>
              <w:right w:val="nil"/>
            </w:tcBorders>
            <w:shd w:val="clear" w:color="auto" w:fill="auto"/>
            <w:vAlign w:val="bottom"/>
          </w:tcPr>
          <w:p w14:paraId="4D75321C" w14:textId="58BEF25A"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-.09</w:t>
            </w:r>
          </w:p>
        </w:tc>
        <w:tc>
          <w:tcPr>
            <w:tcW w:w="397" w:type="dxa"/>
            <w:tcBorders>
              <w:top w:val="nil"/>
              <w:left w:val="nil"/>
              <w:bottom w:val="single" w:sz="4" w:space="0" w:color="auto"/>
              <w:right w:val="nil"/>
            </w:tcBorders>
            <w:shd w:val="clear" w:color="auto" w:fill="auto"/>
            <w:vAlign w:val="bottom"/>
          </w:tcPr>
          <w:p w14:paraId="24103736" w14:textId="306450F2"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-.39</w:t>
            </w:r>
          </w:p>
        </w:tc>
        <w:tc>
          <w:tcPr>
            <w:tcW w:w="397" w:type="dxa"/>
            <w:tcBorders>
              <w:top w:val="nil"/>
              <w:left w:val="nil"/>
              <w:bottom w:val="single" w:sz="4" w:space="0" w:color="auto"/>
              <w:right w:val="nil"/>
            </w:tcBorders>
            <w:shd w:val="clear" w:color="auto" w:fill="auto"/>
            <w:vAlign w:val="bottom"/>
          </w:tcPr>
          <w:p w14:paraId="1D22E0B2" w14:textId="13821D1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-.02</w:t>
            </w:r>
          </w:p>
        </w:tc>
        <w:tc>
          <w:tcPr>
            <w:tcW w:w="397" w:type="dxa"/>
            <w:tcBorders>
              <w:top w:val="nil"/>
              <w:left w:val="nil"/>
              <w:bottom w:val="single" w:sz="4" w:space="0" w:color="auto"/>
              <w:right w:val="nil"/>
            </w:tcBorders>
            <w:shd w:val="clear" w:color="auto" w:fill="auto"/>
            <w:vAlign w:val="bottom"/>
          </w:tcPr>
          <w:p w14:paraId="5E12CA7A" w14:textId="01A3F380"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-.01</w:t>
            </w:r>
          </w:p>
        </w:tc>
        <w:tc>
          <w:tcPr>
            <w:tcW w:w="397" w:type="dxa"/>
            <w:tcBorders>
              <w:top w:val="nil"/>
              <w:left w:val="nil"/>
              <w:bottom w:val="single" w:sz="4" w:space="0" w:color="auto"/>
              <w:right w:val="nil"/>
            </w:tcBorders>
            <w:shd w:val="clear" w:color="auto" w:fill="auto"/>
            <w:vAlign w:val="bottom"/>
          </w:tcPr>
          <w:p w14:paraId="11EEA4E8" w14:textId="09C122AF"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.17</w:t>
            </w:r>
          </w:p>
        </w:tc>
        <w:tc>
          <w:tcPr>
            <w:tcW w:w="397" w:type="dxa"/>
            <w:tcBorders>
              <w:top w:val="nil"/>
              <w:left w:val="nil"/>
              <w:bottom w:val="single" w:sz="4" w:space="0" w:color="auto"/>
              <w:right w:val="nil"/>
            </w:tcBorders>
            <w:shd w:val="clear" w:color="auto" w:fill="auto"/>
            <w:vAlign w:val="bottom"/>
          </w:tcPr>
          <w:p w14:paraId="0B39120E" w14:textId="515C5B5B"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top w:val="nil"/>
              <w:left w:val="nil"/>
              <w:bottom w:val="single" w:sz="4" w:space="0" w:color="auto"/>
              <w:right w:val="nil"/>
            </w:tcBorders>
            <w:shd w:val="clear" w:color="auto" w:fill="auto"/>
            <w:vAlign w:val="bottom"/>
          </w:tcPr>
          <w:p w14:paraId="27765849" w14:textId="5F2997D9" w:rsidR="005D767C" w:rsidRPr="002D2D8C" w:rsidRDefault="005D767C" w:rsidP="005D767C">
            <w:pPr>
              <w:spacing w:line="240" w:lineRule="auto"/>
              <w:jc w:val="center"/>
              <w:rPr>
                <w:rFonts w:eastAsia="Arial" w:cs="Times New Roman"/>
                <w:sz w:val="18"/>
                <w:szCs w:val="18"/>
                <w:lang w:val="en-US"/>
              </w:rPr>
            </w:pPr>
            <w:r w:rsidRPr="005D767C">
              <w:rPr>
                <w:rFonts w:eastAsia="Arial" w:cs="Times New Roman"/>
                <w:sz w:val="18"/>
                <w:szCs w:val="18"/>
                <w:lang w:val="en-US"/>
              </w:rPr>
              <w:t>-.13</w:t>
            </w:r>
          </w:p>
        </w:tc>
        <w:tc>
          <w:tcPr>
            <w:tcW w:w="397" w:type="dxa"/>
            <w:tcBorders>
              <w:bottom w:val="single" w:sz="4" w:space="0" w:color="auto"/>
            </w:tcBorders>
            <w:shd w:val="clear" w:color="auto" w:fill="auto"/>
            <w:vAlign w:val="bottom"/>
          </w:tcPr>
          <w:p w14:paraId="0225C104" w14:textId="121392E8" w:rsidR="005D767C" w:rsidRPr="002D2D8C" w:rsidRDefault="005D767C" w:rsidP="005D767C">
            <w:pPr>
              <w:spacing w:line="240" w:lineRule="auto"/>
              <w:jc w:val="center"/>
              <w:rPr>
                <w:rFonts w:eastAsia="Arial" w:cs="Times New Roman"/>
                <w:sz w:val="18"/>
                <w:szCs w:val="18"/>
                <w:lang w:val="en-US"/>
              </w:rPr>
            </w:pPr>
          </w:p>
        </w:tc>
      </w:tr>
    </w:tbl>
    <w:p w14:paraId="62BD86EA" w14:textId="78E3A285" w:rsidR="00157C8A" w:rsidRDefault="004A66FA" w:rsidP="004D6D7E">
      <w:pPr>
        <w:spacing w:before="120" w:line="240" w:lineRule="auto"/>
        <w:rPr>
          <w:sz w:val="20"/>
          <w:szCs w:val="20"/>
        </w:rPr>
      </w:pPr>
      <w:r>
        <w:rPr>
          <w:rFonts w:eastAsia="Arial" w:cs="Times New Roman"/>
          <w:sz w:val="20"/>
          <w:szCs w:val="20"/>
          <w:lang w:val="en-US"/>
        </w:rPr>
        <w:t xml:space="preserve">Note: </w:t>
      </w:r>
      <w:r w:rsidRPr="00663760">
        <w:rPr>
          <w:i/>
          <w:iCs/>
          <w:sz w:val="20"/>
          <w:szCs w:val="20"/>
        </w:rPr>
        <w:t>r</w:t>
      </w:r>
      <w:r w:rsidRPr="00663760">
        <w:rPr>
          <w:sz w:val="20"/>
          <w:szCs w:val="20"/>
        </w:rPr>
        <w:t xml:space="preserve"> </w:t>
      </w:r>
      <w:r w:rsidRPr="00663760">
        <w:rPr>
          <w:rFonts w:cs="Times New Roman"/>
          <w:sz w:val="20"/>
          <w:szCs w:val="20"/>
        </w:rPr>
        <w:t>≥</w:t>
      </w:r>
      <w:r w:rsidRPr="00663760">
        <w:rPr>
          <w:sz w:val="20"/>
          <w:szCs w:val="20"/>
        </w:rPr>
        <w:t xml:space="preserve"> </w:t>
      </w:r>
      <w:r>
        <w:rPr>
          <w:rFonts w:cs="Times New Roman"/>
          <w:sz w:val="20"/>
          <w:szCs w:val="20"/>
        </w:rPr>
        <w:t>|</w:t>
      </w:r>
      <w:r w:rsidRPr="00663760">
        <w:rPr>
          <w:sz w:val="20"/>
          <w:szCs w:val="20"/>
        </w:rPr>
        <w:t>.</w:t>
      </w:r>
      <w:r>
        <w:rPr>
          <w:sz w:val="20"/>
          <w:szCs w:val="20"/>
        </w:rPr>
        <w:t>1</w:t>
      </w:r>
      <w:r w:rsidR="00354E55">
        <w:rPr>
          <w:sz w:val="20"/>
          <w:szCs w:val="20"/>
        </w:rPr>
        <w:t>3</w:t>
      </w:r>
      <w:r>
        <w:rPr>
          <w:rFonts w:cs="Times New Roman"/>
          <w:sz w:val="20"/>
          <w:szCs w:val="20"/>
        </w:rPr>
        <w:t>|</w:t>
      </w:r>
      <w:r w:rsidRPr="00663760">
        <w:rPr>
          <w:sz w:val="20"/>
          <w:szCs w:val="20"/>
        </w:rPr>
        <w:t xml:space="preserve"> is significant</w:t>
      </w:r>
      <w:r>
        <w:rPr>
          <w:sz w:val="20"/>
          <w:szCs w:val="20"/>
        </w:rPr>
        <w:t xml:space="preserve"> at </w:t>
      </w:r>
      <w:r w:rsidRPr="00663760">
        <w:rPr>
          <w:i/>
          <w:iCs/>
          <w:sz w:val="20"/>
          <w:szCs w:val="20"/>
        </w:rPr>
        <w:t>p</w:t>
      </w:r>
      <w:r>
        <w:rPr>
          <w:sz w:val="20"/>
          <w:szCs w:val="20"/>
        </w:rPr>
        <w:t xml:space="preserve"> &lt; .05.</w:t>
      </w:r>
    </w:p>
    <w:p w14:paraId="6A0354B4" w14:textId="77777777" w:rsidR="00CA2C63" w:rsidRDefault="00CA2C63" w:rsidP="004D6D7E">
      <w:pPr>
        <w:spacing w:before="120" w:line="240" w:lineRule="auto"/>
        <w:rPr>
          <w:sz w:val="20"/>
          <w:szCs w:val="20"/>
        </w:rPr>
      </w:pPr>
    </w:p>
    <w:p w14:paraId="0D1D4C5D" w14:textId="77777777" w:rsidR="00CA2C63" w:rsidRDefault="00CA2C63" w:rsidP="004D6D7E">
      <w:pPr>
        <w:spacing w:before="120" w:line="240" w:lineRule="auto"/>
        <w:rPr>
          <w:rFonts w:eastAsia="Arial" w:cs="Times New Roman"/>
          <w:sz w:val="20"/>
          <w:szCs w:val="20"/>
          <w:lang w:val="en-US"/>
        </w:rPr>
        <w:sectPr w:rsidR="00CA2C63" w:rsidSect="00CB4C52">
          <w:pgSz w:w="15842" w:h="12242" w:orient="landscape" w:code="1"/>
          <w:pgMar w:top="1440" w:right="1440" w:bottom="1440" w:left="1440" w:header="709" w:footer="709" w:gutter="0"/>
          <w:cols w:space="708"/>
          <w:docGrid w:linePitch="360"/>
        </w:sectPr>
      </w:pPr>
    </w:p>
    <w:p w14:paraId="4953EB99" w14:textId="7FA90A81" w:rsidR="00CA2C63" w:rsidRPr="002D2D8C" w:rsidRDefault="00CA2C63" w:rsidP="00CA2C63">
      <w:pPr>
        <w:pStyle w:val="Heading2"/>
        <w:jc w:val="center"/>
        <w:rPr>
          <w:rFonts w:eastAsia="Calibri"/>
          <w:lang w:val="en-US"/>
        </w:rPr>
      </w:pPr>
      <w:bookmarkStart w:id="16" w:name="_Toc185425567"/>
      <w:r w:rsidRPr="004A66FA">
        <w:rPr>
          <w:rFonts w:eastAsia="Calibri"/>
          <w:lang w:val="en-US"/>
        </w:rPr>
        <w:t xml:space="preserve">Web Appendix </w:t>
      </w:r>
      <w:r w:rsidR="000603F4">
        <w:rPr>
          <w:rFonts w:eastAsia="Calibri"/>
          <w:lang w:val="en-US"/>
        </w:rPr>
        <w:t>A8</w:t>
      </w:r>
      <w:r w:rsidRPr="004A66FA">
        <w:rPr>
          <w:rFonts w:eastAsia="Calibri"/>
          <w:lang w:val="en-US"/>
        </w:rPr>
        <w:t xml:space="preserve">. </w:t>
      </w:r>
      <w:r w:rsidRPr="00CA2C63">
        <w:rPr>
          <w:rFonts w:eastAsia="Calibri"/>
          <w:lang w:val="en-US"/>
        </w:rPr>
        <w:t>Meta-regression results including three-way interaction effect</w:t>
      </w:r>
      <w:bookmarkEnd w:id="16"/>
    </w:p>
    <w:tbl>
      <w:tblPr>
        <w:tblStyle w:val="TableGrid2"/>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11"/>
        <w:gridCol w:w="4525"/>
        <w:gridCol w:w="1205"/>
        <w:gridCol w:w="1205"/>
        <w:gridCol w:w="1205"/>
        <w:gridCol w:w="1205"/>
      </w:tblGrid>
      <w:tr w:rsidR="00CA2C63" w:rsidRPr="00CA2C63" w14:paraId="7021E8D5" w14:textId="77777777" w:rsidTr="00CA2C63">
        <w:trPr>
          <w:gridBefore w:val="1"/>
          <w:wBefore w:w="11" w:type="dxa"/>
          <w:trHeight w:val="230"/>
        </w:trPr>
        <w:tc>
          <w:tcPr>
            <w:tcW w:w="4525" w:type="dxa"/>
            <w:vMerge w:val="restart"/>
            <w:tcBorders>
              <w:top w:val="single" w:sz="4" w:space="0" w:color="auto"/>
              <w:left w:val="nil"/>
              <w:bottom w:val="nil"/>
              <w:right w:val="nil"/>
            </w:tcBorders>
            <w:vAlign w:val="center"/>
          </w:tcPr>
          <w:p w14:paraId="542E32DD" w14:textId="77777777" w:rsidR="00CA2C63" w:rsidRPr="00CA2C63" w:rsidRDefault="00CA2C63" w:rsidP="00CA2C63">
            <w:pPr>
              <w:spacing w:line="240" w:lineRule="auto"/>
              <w:rPr>
                <w:rFonts w:eastAsia="Arial"/>
                <w:b/>
                <w:sz w:val="20"/>
                <w:szCs w:val="20"/>
                <w:lang w:val="en-US"/>
              </w:rPr>
            </w:pPr>
          </w:p>
        </w:tc>
        <w:tc>
          <w:tcPr>
            <w:tcW w:w="2410" w:type="dxa"/>
            <w:gridSpan w:val="2"/>
            <w:tcBorders>
              <w:top w:val="single" w:sz="4" w:space="0" w:color="auto"/>
              <w:left w:val="nil"/>
              <w:bottom w:val="single" w:sz="4" w:space="0" w:color="auto"/>
              <w:right w:val="nil"/>
            </w:tcBorders>
            <w:vAlign w:val="center"/>
          </w:tcPr>
          <w:p w14:paraId="0B622DE4" w14:textId="77777777" w:rsidR="00CA2C63" w:rsidRPr="00CA2C63" w:rsidRDefault="00CA2C63" w:rsidP="00CA2C63">
            <w:pPr>
              <w:spacing w:line="240" w:lineRule="auto"/>
              <w:jc w:val="center"/>
              <w:textAlignment w:val="bottom"/>
              <w:rPr>
                <w:b/>
                <w:bCs/>
                <w:kern w:val="32"/>
                <w:sz w:val="20"/>
                <w:szCs w:val="20"/>
                <w:lang w:val="en-US" w:eastAsia="x-none"/>
              </w:rPr>
            </w:pPr>
            <w:r w:rsidRPr="00CA2C63">
              <w:rPr>
                <w:b/>
                <w:bCs/>
                <w:kern w:val="32"/>
                <w:sz w:val="20"/>
                <w:szCs w:val="20"/>
                <w:lang w:val="en-US" w:eastAsia="x-none"/>
              </w:rPr>
              <w:t>Model 4</w:t>
            </w:r>
          </w:p>
        </w:tc>
        <w:tc>
          <w:tcPr>
            <w:tcW w:w="2410" w:type="dxa"/>
            <w:gridSpan w:val="2"/>
            <w:tcBorders>
              <w:top w:val="single" w:sz="4" w:space="0" w:color="auto"/>
              <w:left w:val="nil"/>
              <w:bottom w:val="single" w:sz="4" w:space="0" w:color="auto"/>
              <w:right w:val="nil"/>
            </w:tcBorders>
            <w:vAlign w:val="center"/>
          </w:tcPr>
          <w:p w14:paraId="508742FE" w14:textId="77777777" w:rsidR="00CA2C63" w:rsidRPr="00CA2C63" w:rsidRDefault="00CA2C63" w:rsidP="00CA2C63">
            <w:pPr>
              <w:spacing w:line="240" w:lineRule="auto"/>
              <w:jc w:val="center"/>
              <w:textAlignment w:val="bottom"/>
              <w:rPr>
                <w:b/>
                <w:bCs/>
                <w:kern w:val="32"/>
                <w:sz w:val="20"/>
                <w:szCs w:val="20"/>
                <w:lang w:val="en-US" w:eastAsia="x-none"/>
              </w:rPr>
            </w:pPr>
            <w:r w:rsidRPr="00CA2C63">
              <w:rPr>
                <w:b/>
                <w:bCs/>
                <w:kern w:val="32"/>
                <w:sz w:val="20"/>
                <w:szCs w:val="20"/>
                <w:lang w:val="en-US" w:eastAsia="x-none"/>
              </w:rPr>
              <w:t>Model 5</w:t>
            </w:r>
          </w:p>
        </w:tc>
      </w:tr>
      <w:tr w:rsidR="00CA2C63" w:rsidRPr="00CA2C63" w14:paraId="1847002E" w14:textId="77777777" w:rsidTr="00CA2C63">
        <w:trPr>
          <w:gridBefore w:val="1"/>
          <w:wBefore w:w="11" w:type="dxa"/>
          <w:trHeight w:val="133"/>
        </w:trPr>
        <w:tc>
          <w:tcPr>
            <w:tcW w:w="4525" w:type="dxa"/>
            <w:vMerge/>
            <w:tcBorders>
              <w:top w:val="single" w:sz="4" w:space="0" w:color="auto"/>
              <w:left w:val="nil"/>
              <w:bottom w:val="single" w:sz="4" w:space="0" w:color="auto"/>
              <w:right w:val="nil"/>
            </w:tcBorders>
            <w:vAlign w:val="center"/>
            <w:hideMark/>
          </w:tcPr>
          <w:p w14:paraId="5FEE160F" w14:textId="77777777" w:rsidR="00CA2C63" w:rsidRPr="00CA2C63" w:rsidRDefault="00CA2C63" w:rsidP="00CA2C63">
            <w:pPr>
              <w:spacing w:line="240" w:lineRule="auto"/>
              <w:rPr>
                <w:rFonts w:eastAsia="Arial"/>
                <w:b/>
                <w:sz w:val="20"/>
                <w:szCs w:val="20"/>
                <w:lang w:val="en-US"/>
              </w:rPr>
            </w:pPr>
          </w:p>
        </w:tc>
        <w:tc>
          <w:tcPr>
            <w:tcW w:w="1205" w:type="dxa"/>
            <w:tcBorders>
              <w:top w:val="single" w:sz="4" w:space="0" w:color="auto"/>
              <w:left w:val="nil"/>
              <w:bottom w:val="single" w:sz="4" w:space="0" w:color="auto"/>
              <w:right w:val="nil"/>
            </w:tcBorders>
            <w:vAlign w:val="center"/>
          </w:tcPr>
          <w:p w14:paraId="4BD11FD4" w14:textId="77777777" w:rsidR="00CA2C63" w:rsidRPr="00CA2C63" w:rsidRDefault="00CA2C63" w:rsidP="00CA2C63">
            <w:pPr>
              <w:spacing w:line="240" w:lineRule="auto"/>
              <w:jc w:val="center"/>
              <w:rPr>
                <w:b/>
                <w:bCs/>
                <w:kern w:val="32"/>
                <w:sz w:val="20"/>
                <w:szCs w:val="20"/>
                <w:lang w:val="en-US" w:eastAsia="x-none"/>
              </w:rPr>
            </w:pPr>
            <w:r w:rsidRPr="00CA2C63">
              <w:rPr>
                <w:b/>
                <w:bCs/>
                <w:kern w:val="32"/>
                <w:sz w:val="20"/>
                <w:szCs w:val="20"/>
                <w:lang w:val="en-US" w:eastAsia="x-none"/>
              </w:rPr>
              <w:t>β</w:t>
            </w:r>
          </w:p>
        </w:tc>
        <w:tc>
          <w:tcPr>
            <w:tcW w:w="1205" w:type="dxa"/>
            <w:tcBorders>
              <w:top w:val="single" w:sz="4" w:space="0" w:color="auto"/>
              <w:left w:val="nil"/>
              <w:bottom w:val="single" w:sz="4" w:space="0" w:color="auto"/>
              <w:right w:val="nil"/>
            </w:tcBorders>
            <w:vAlign w:val="center"/>
          </w:tcPr>
          <w:p w14:paraId="30BEF4D0" w14:textId="77777777" w:rsidR="00CA2C63" w:rsidRPr="00CA2C63" w:rsidRDefault="00CA2C63" w:rsidP="00CA2C63">
            <w:pPr>
              <w:spacing w:line="240" w:lineRule="auto"/>
              <w:jc w:val="center"/>
              <w:rPr>
                <w:b/>
                <w:bCs/>
                <w:kern w:val="32"/>
                <w:sz w:val="20"/>
                <w:szCs w:val="20"/>
                <w:lang w:val="en-US" w:eastAsia="x-none"/>
              </w:rPr>
            </w:pPr>
            <w:r w:rsidRPr="00CA2C63">
              <w:rPr>
                <w:b/>
                <w:bCs/>
                <w:kern w:val="32"/>
                <w:sz w:val="20"/>
                <w:szCs w:val="20"/>
                <w:lang w:val="en-US" w:eastAsia="x-none"/>
              </w:rPr>
              <w:t>SE</w:t>
            </w:r>
          </w:p>
        </w:tc>
        <w:tc>
          <w:tcPr>
            <w:tcW w:w="1205" w:type="dxa"/>
            <w:tcBorders>
              <w:top w:val="single" w:sz="4" w:space="0" w:color="auto"/>
              <w:left w:val="nil"/>
              <w:bottom w:val="single" w:sz="4" w:space="0" w:color="auto"/>
              <w:right w:val="nil"/>
            </w:tcBorders>
            <w:vAlign w:val="center"/>
          </w:tcPr>
          <w:p w14:paraId="28C29F83" w14:textId="77777777" w:rsidR="00CA2C63" w:rsidRPr="00CA2C63" w:rsidRDefault="00CA2C63" w:rsidP="00CA2C63">
            <w:pPr>
              <w:spacing w:line="240" w:lineRule="auto"/>
              <w:jc w:val="center"/>
              <w:rPr>
                <w:b/>
                <w:bCs/>
                <w:kern w:val="32"/>
                <w:sz w:val="20"/>
                <w:szCs w:val="20"/>
                <w:lang w:val="en-US" w:eastAsia="x-none"/>
              </w:rPr>
            </w:pPr>
            <w:r w:rsidRPr="00CA2C63">
              <w:rPr>
                <w:b/>
                <w:bCs/>
                <w:kern w:val="32"/>
                <w:sz w:val="20"/>
                <w:szCs w:val="20"/>
                <w:lang w:val="en-US" w:eastAsia="x-none"/>
              </w:rPr>
              <w:t>β</w:t>
            </w:r>
          </w:p>
        </w:tc>
        <w:tc>
          <w:tcPr>
            <w:tcW w:w="1205" w:type="dxa"/>
            <w:tcBorders>
              <w:top w:val="single" w:sz="4" w:space="0" w:color="auto"/>
              <w:left w:val="nil"/>
              <w:bottom w:val="single" w:sz="4" w:space="0" w:color="auto"/>
              <w:right w:val="nil"/>
            </w:tcBorders>
            <w:vAlign w:val="center"/>
          </w:tcPr>
          <w:p w14:paraId="4D6E3729" w14:textId="77777777" w:rsidR="00CA2C63" w:rsidRPr="00CA2C63" w:rsidRDefault="00CA2C63" w:rsidP="00CA2C63">
            <w:pPr>
              <w:spacing w:line="240" w:lineRule="auto"/>
              <w:jc w:val="center"/>
              <w:rPr>
                <w:b/>
                <w:bCs/>
                <w:kern w:val="32"/>
                <w:sz w:val="20"/>
                <w:szCs w:val="20"/>
                <w:lang w:val="en-US" w:eastAsia="x-none"/>
              </w:rPr>
            </w:pPr>
            <w:r w:rsidRPr="00CA2C63">
              <w:rPr>
                <w:b/>
                <w:bCs/>
                <w:kern w:val="32"/>
                <w:sz w:val="20"/>
                <w:szCs w:val="20"/>
                <w:lang w:val="en-US" w:eastAsia="x-none"/>
              </w:rPr>
              <w:t>SE</w:t>
            </w:r>
          </w:p>
        </w:tc>
      </w:tr>
      <w:tr w:rsidR="00CA2C63" w:rsidRPr="00CA2C63" w14:paraId="209B092B" w14:textId="77777777" w:rsidTr="00CA2C63">
        <w:trPr>
          <w:gridBefore w:val="1"/>
          <w:wBefore w:w="11" w:type="dxa"/>
        </w:trPr>
        <w:tc>
          <w:tcPr>
            <w:tcW w:w="4525" w:type="dxa"/>
            <w:tcBorders>
              <w:top w:val="single" w:sz="4" w:space="0" w:color="auto"/>
            </w:tcBorders>
            <w:vAlign w:val="center"/>
          </w:tcPr>
          <w:p w14:paraId="76DEA7D8" w14:textId="77777777" w:rsidR="00CA2C63" w:rsidRPr="00CA2C63" w:rsidRDefault="00CA2C63" w:rsidP="00CA2C63">
            <w:pPr>
              <w:spacing w:line="240" w:lineRule="auto"/>
              <w:rPr>
                <w:rFonts w:eastAsia="Arial"/>
                <w:bCs/>
                <w:iCs/>
                <w:sz w:val="20"/>
                <w:szCs w:val="20"/>
                <w:lang w:val="en-US"/>
              </w:rPr>
            </w:pPr>
            <w:r w:rsidRPr="00CA2C63">
              <w:rPr>
                <w:rFonts w:eastAsia="Arial"/>
                <w:bCs/>
                <w:iCs/>
                <w:sz w:val="20"/>
                <w:szCs w:val="20"/>
                <w:lang w:val="en-US"/>
              </w:rPr>
              <w:t xml:space="preserve">Intercept </w:t>
            </w:r>
            <w:r w:rsidRPr="00CA2C63">
              <w:rPr>
                <w:rFonts w:eastAsia="Arial"/>
                <w:bCs/>
                <w:i/>
                <w:sz w:val="20"/>
                <w:szCs w:val="20"/>
                <w:lang w:val="en-US"/>
              </w:rPr>
              <w:t>(Predicted r)</w:t>
            </w:r>
          </w:p>
        </w:tc>
        <w:tc>
          <w:tcPr>
            <w:tcW w:w="1205" w:type="dxa"/>
          </w:tcPr>
          <w:p w14:paraId="56DA0014" w14:textId="46D3A7AE"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.315**</w:t>
            </w:r>
          </w:p>
        </w:tc>
        <w:tc>
          <w:tcPr>
            <w:tcW w:w="1205" w:type="dxa"/>
          </w:tcPr>
          <w:p w14:paraId="0441EDCA"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.016</w:t>
            </w:r>
          </w:p>
        </w:tc>
        <w:tc>
          <w:tcPr>
            <w:tcW w:w="1205" w:type="dxa"/>
          </w:tcPr>
          <w:p w14:paraId="704C0EC9" w14:textId="623E7D9E"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.316**</w:t>
            </w:r>
          </w:p>
        </w:tc>
        <w:tc>
          <w:tcPr>
            <w:tcW w:w="1205" w:type="dxa"/>
          </w:tcPr>
          <w:p w14:paraId="30E01BE6"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.014</w:t>
            </w:r>
          </w:p>
        </w:tc>
      </w:tr>
      <w:tr w:rsidR="00CA2C63" w:rsidRPr="00CA2C63" w14:paraId="2DEFE26E" w14:textId="77777777" w:rsidTr="00CA2C63">
        <w:trPr>
          <w:gridBefore w:val="1"/>
          <w:wBefore w:w="11" w:type="dxa"/>
        </w:trPr>
        <w:tc>
          <w:tcPr>
            <w:tcW w:w="4525" w:type="dxa"/>
            <w:vAlign w:val="center"/>
            <w:hideMark/>
          </w:tcPr>
          <w:p w14:paraId="76BB7C74" w14:textId="77777777" w:rsidR="00CA2C63" w:rsidRPr="00CA2C63" w:rsidRDefault="00CA2C63" w:rsidP="00CA2C63">
            <w:pPr>
              <w:spacing w:line="240" w:lineRule="auto"/>
              <w:rPr>
                <w:rFonts w:eastAsia="Arial"/>
                <w:sz w:val="20"/>
                <w:szCs w:val="20"/>
                <w:lang w:val="en-US"/>
              </w:rPr>
            </w:pPr>
            <w:r w:rsidRPr="00CA2C63">
              <w:rPr>
                <w:rFonts w:eastAsia="Arial"/>
                <w:b/>
                <w:i/>
                <w:sz w:val="20"/>
                <w:szCs w:val="20"/>
                <w:lang w:val="en-US"/>
              </w:rPr>
              <w:t>Information Processing</w:t>
            </w:r>
          </w:p>
        </w:tc>
        <w:tc>
          <w:tcPr>
            <w:tcW w:w="1205" w:type="dxa"/>
          </w:tcPr>
          <w:p w14:paraId="11A25312" w14:textId="77777777" w:rsidR="00CA2C63" w:rsidRPr="00CA2C63" w:rsidRDefault="00CA2C63" w:rsidP="00CA2C63">
            <w:pPr>
              <w:spacing w:line="240" w:lineRule="auto"/>
              <w:jc w:val="center"/>
              <w:rPr>
                <w:color w:val="000000"/>
                <w:sz w:val="20"/>
                <w:szCs w:val="20"/>
                <w:lang w:val="en-US"/>
              </w:rPr>
            </w:pPr>
          </w:p>
        </w:tc>
        <w:tc>
          <w:tcPr>
            <w:tcW w:w="1205" w:type="dxa"/>
          </w:tcPr>
          <w:p w14:paraId="1B59A6CB" w14:textId="77777777" w:rsidR="00CA2C63" w:rsidRPr="00CA2C63" w:rsidRDefault="00CA2C63" w:rsidP="00CA2C63">
            <w:pPr>
              <w:spacing w:line="240" w:lineRule="auto"/>
              <w:jc w:val="center"/>
              <w:rPr>
                <w:color w:val="000000"/>
                <w:sz w:val="20"/>
                <w:szCs w:val="20"/>
                <w:lang w:val="en-US"/>
              </w:rPr>
            </w:pPr>
          </w:p>
        </w:tc>
        <w:tc>
          <w:tcPr>
            <w:tcW w:w="1205" w:type="dxa"/>
          </w:tcPr>
          <w:p w14:paraId="596077A3" w14:textId="77777777" w:rsidR="00CA2C63" w:rsidRPr="00CA2C63" w:rsidRDefault="00CA2C63" w:rsidP="00CA2C63">
            <w:pPr>
              <w:spacing w:line="240" w:lineRule="auto"/>
              <w:jc w:val="center"/>
              <w:rPr>
                <w:color w:val="000000"/>
                <w:sz w:val="20"/>
                <w:szCs w:val="20"/>
                <w:lang w:val="en-US"/>
              </w:rPr>
            </w:pPr>
          </w:p>
        </w:tc>
        <w:tc>
          <w:tcPr>
            <w:tcW w:w="1205" w:type="dxa"/>
          </w:tcPr>
          <w:p w14:paraId="64DA8367" w14:textId="77777777" w:rsidR="00CA2C63" w:rsidRPr="00CA2C63" w:rsidRDefault="00CA2C63" w:rsidP="00CA2C63">
            <w:pPr>
              <w:spacing w:line="240" w:lineRule="auto"/>
              <w:jc w:val="center"/>
              <w:rPr>
                <w:color w:val="000000"/>
                <w:sz w:val="20"/>
                <w:szCs w:val="20"/>
                <w:lang w:val="en-US"/>
              </w:rPr>
            </w:pPr>
          </w:p>
        </w:tc>
      </w:tr>
      <w:tr w:rsidR="00CA2C63" w:rsidRPr="00CA2C63" w14:paraId="1A19532C" w14:textId="77777777" w:rsidTr="00CA2C63">
        <w:trPr>
          <w:gridBefore w:val="1"/>
          <w:wBefore w:w="11" w:type="dxa"/>
        </w:trPr>
        <w:tc>
          <w:tcPr>
            <w:tcW w:w="4525" w:type="dxa"/>
            <w:vAlign w:val="center"/>
            <w:hideMark/>
          </w:tcPr>
          <w:p w14:paraId="66CE71E5"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IP: Analytical processing</w:t>
            </w:r>
            <w:r w:rsidRPr="00CA2C63">
              <w:rPr>
                <w:color w:val="000000"/>
                <w:sz w:val="20"/>
                <w:szCs w:val="20"/>
                <w:vertAlign w:val="superscript"/>
                <w:lang w:val="en-US"/>
              </w:rPr>
              <w:t xml:space="preserve">a </w:t>
            </w:r>
            <w:r w:rsidRPr="00CA2C63">
              <w:rPr>
                <w:color w:val="000000"/>
                <w:sz w:val="20"/>
                <w:szCs w:val="20"/>
                <w:lang w:val="en-US"/>
              </w:rPr>
              <w:t>(AP)</w:t>
            </w:r>
          </w:p>
        </w:tc>
        <w:tc>
          <w:tcPr>
            <w:tcW w:w="1205" w:type="dxa"/>
            <w:vAlign w:val="center"/>
          </w:tcPr>
          <w:p w14:paraId="18F4598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711B42C4"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3DDD584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6F909E64"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r>
      <w:tr w:rsidR="00CA2C63" w:rsidRPr="00CA2C63" w14:paraId="587C1770" w14:textId="77777777" w:rsidTr="00CA2C63">
        <w:trPr>
          <w:gridBefore w:val="1"/>
          <w:wBefore w:w="11" w:type="dxa"/>
        </w:trPr>
        <w:tc>
          <w:tcPr>
            <w:tcW w:w="4525" w:type="dxa"/>
            <w:vAlign w:val="center"/>
            <w:hideMark/>
          </w:tcPr>
          <w:p w14:paraId="589887BD"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IP: Narrative processing (NP)</w:t>
            </w:r>
          </w:p>
        </w:tc>
        <w:tc>
          <w:tcPr>
            <w:tcW w:w="1205" w:type="dxa"/>
          </w:tcPr>
          <w:p w14:paraId="6E9C45CF" w14:textId="12BC8D86"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.296**</w:t>
            </w:r>
          </w:p>
        </w:tc>
        <w:tc>
          <w:tcPr>
            <w:tcW w:w="1205" w:type="dxa"/>
          </w:tcPr>
          <w:p w14:paraId="7C2F027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.047</w:t>
            </w:r>
          </w:p>
        </w:tc>
        <w:tc>
          <w:tcPr>
            <w:tcW w:w="1205" w:type="dxa"/>
          </w:tcPr>
          <w:p w14:paraId="327EA191" w14:textId="11B604D1"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.279**</w:t>
            </w:r>
          </w:p>
        </w:tc>
        <w:tc>
          <w:tcPr>
            <w:tcW w:w="1205" w:type="dxa"/>
          </w:tcPr>
          <w:p w14:paraId="3F0907C6"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.052</w:t>
            </w:r>
          </w:p>
        </w:tc>
      </w:tr>
      <w:tr w:rsidR="00CA2C63" w:rsidRPr="00CA2C63" w14:paraId="1A20893C" w14:textId="77777777" w:rsidTr="00CA2C63">
        <w:trPr>
          <w:gridBefore w:val="1"/>
          <w:wBefore w:w="11" w:type="dxa"/>
        </w:trPr>
        <w:tc>
          <w:tcPr>
            <w:tcW w:w="4525" w:type="dxa"/>
            <w:vAlign w:val="center"/>
            <w:hideMark/>
          </w:tcPr>
          <w:p w14:paraId="2B9BFBBB" w14:textId="77777777" w:rsidR="00CA2C63" w:rsidRPr="00CA2C63" w:rsidRDefault="00CA2C63" w:rsidP="00CA2C63">
            <w:pPr>
              <w:spacing w:line="240" w:lineRule="auto"/>
              <w:rPr>
                <w:rFonts w:eastAsia="Arial"/>
                <w:b/>
                <w:i/>
                <w:sz w:val="20"/>
                <w:szCs w:val="20"/>
                <w:lang w:val="en-US"/>
              </w:rPr>
            </w:pPr>
            <w:bookmarkStart w:id="17" w:name="_Hlk156210334"/>
            <w:r w:rsidRPr="00CA2C63">
              <w:rPr>
                <w:rFonts w:eastAsia="Arial"/>
                <w:b/>
                <w:i/>
                <w:sz w:val="20"/>
                <w:szCs w:val="20"/>
                <w:lang w:val="en-US"/>
              </w:rPr>
              <w:t>Product Type</w:t>
            </w:r>
          </w:p>
        </w:tc>
        <w:tc>
          <w:tcPr>
            <w:tcW w:w="1205" w:type="dxa"/>
          </w:tcPr>
          <w:p w14:paraId="1A14F8D2" w14:textId="77777777" w:rsidR="00CA2C63" w:rsidRPr="00CA2C63" w:rsidRDefault="00CA2C63" w:rsidP="00CA2C63">
            <w:pPr>
              <w:spacing w:line="240" w:lineRule="auto"/>
              <w:jc w:val="center"/>
              <w:rPr>
                <w:color w:val="000000"/>
                <w:sz w:val="20"/>
                <w:szCs w:val="20"/>
                <w:lang w:val="en-US"/>
              </w:rPr>
            </w:pPr>
          </w:p>
        </w:tc>
        <w:tc>
          <w:tcPr>
            <w:tcW w:w="1205" w:type="dxa"/>
          </w:tcPr>
          <w:p w14:paraId="319A597F" w14:textId="77777777" w:rsidR="00CA2C63" w:rsidRPr="00CA2C63" w:rsidRDefault="00CA2C63" w:rsidP="00CA2C63">
            <w:pPr>
              <w:spacing w:line="240" w:lineRule="auto"/>
              <w:jc w:val="center"/>
              <w:rPr>
                <w:color w:val="000000"/>
                <w:sz w:val="20"/>
                <w:szCs w:val="20"/>
                <w:lang w:val="en-US"/>
              </w:rPr>
            </w:pPr>
          </w:p>
        </w:tc>
        <w:tc>
          <w:tcPr>
            <w:tcW w:w="1205" w:type="dxa"/>
          </w:tcPr>
          <w:p w14:paraId="09682260" w14:textId="77777777" w:rsidR="00CA2C63" w:rsidRPr="00CA2C63" w:rsidRDefault="00CA2C63" w:rsidP="00CA2C63">
            <w:pPr>
              <w:spacing w:line="240" w:lineRule="auto"/>
              <w:jc w:val="center"/>
              <w:rPr>
                <w:color w:val="000000"/>
                <w:sz w:val="20"/>
                <w:szCs w:val="20"/>
                <w:lang w:val="en-US"/>
              </w:rPr>
            </w:pPr>
          </w:p>
        </w:tc>
        <w:tc>
          <w:tcPr>
            <w:tcW w:w="1205" w:type="dxa"/>
          </w:tcPr>
          <w:p w14:paraId="7AFB6A0E" w14:textId="77777777" w:rsidR="00CA2C63" w:rsidRPr="00CA2C63" w:rsidRDefault="00CA2C63" w:rsidP="00CA2C63">
            <w:pPr>
              <w:spacing w:line="240" w:lineRule="auto"/>
              <w:jc w:val="center"/>
              <w:rPr>
                <w:color w:val="000000"/>
                <w:sz w:val="20"/>
                <w:szCs w:val="20"/>
                <w:lang w:val="en-US"/>
              </w:rPr>
            </w:pPr>
          </w:p>
        </w:tc>
      </w:tr>
      <w:tr w:rsidR="00CA2C63" w:rsidRPr="00CA2C63" w14:paraId="157C9378" w14:textId="77777777" w:rsidTr="00CA2C63">
        <w:trPr>
          <w:gridBefore w:val="1"/>
          <w:wBefore w:w="11" w:type="dxa"/>
        </w:trPr>
        <w:tc>
          <w:tcPr>
            <w:tcW w:w="4525" w:type="dxa"/>
            <w:vAlign w:val="center"/>
            <w:hideMark/>
          </w:tcPr>
          <w:p w14:paraId="6D3D76DF"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Utilitarian (vs. hedonic) product type</w:t>
            </w:r>
          </w:p>
        </w:tc>
        <w:tc>
          <w:tcPr>
            <w:tcW w:w="1205" w:type="dxa"/>
          </w:tcPr>
          <w:p w14:paraId="6A062C11" w14:textId="7806B5FA"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.080*</w:t>
            </w:r>
          </w:p>
        </w:tc>
        <w:tc>
          <w:tcPr>
            <w:tcW w:w="1205" w:type="dxa"/>
          </w:tcPr>
          <w:p w14:paraId="09D5671D"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.034</w:t>
            </w:r>
          </w:p>
        </w:tc>
        <w:tc>
          <w:tcPr>
            <w:tcW w:w="1205" w:type="dxa"/>
          </w:tcPr>
          <w:p w14:paraId="5AE17C54" w14:textId="2BCBE54E"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.069</w:t>
            </w:r>
          </w:p>
        </w:tc>
        <w:tc>
          <w:tcPr>
            <w:tcW w:w="1205" w:type="dxa"/>
          </w:tcPr>
          <w:p w14:paraId="176B9695"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.038</w:t>
            </w:r>
          </w:p>
        </w:tc>
      </w:tr>
      <w:tr w:rsidR="00CA2C63" w:rsidRPr="00CA2C63" w14:paraId="510FE0F5" w14:textId="77777777" w:rsidTr="00CA2C63">
        <w:trPr>
          <w:gridBefore w:val="1"/>
          <w:wBefore w:w="11" w:type="dxa"/>
        </w:trPr>
        <w:tc>
          <w:tcPr>
            <w:tcW w:w="4525" w:type="dxa"/>
            <w:vAlign w:val="center"/>
            <w:hideMark/>
          </w:tcPr>
          <w:p w14:paraId="6732250E"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AP × Utilitarian (vs. hedonic)</w:t>
            </w:r>
            <w:r w:rsidRPr="00CA2C63">
              <w:rPr>
                <w:color w:val="000000"/>
                <w:sz w:val="20"/>
                <w:szCs w:val="20"/>
                <w:vertAlign w:val="superscript"/>
                <w:lang w:val="en-US"/>
              </w:rPr>
              <w:t>a</w:t>
            </w:r>
          </w:p>
        </w:tc>
        <w:tc>
          <w:tcPr>
            <w:tcW w:w="1205" w:type="dxa"/>
            <w:vAlign w:val="center"/>
          </w:tcPr>
          <w:p w14:paraId="09C46859"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4EE3E524"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17DA6282"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3001D332"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r>
      <w:tr w:rsidR="00CA2C63" w:rsidRPr="00CA2C63" w14:paraId="119D8127" w14:textId="77777777" w:rsidTr="00CA2C63">
        <w:trPr>
          <w:gridBefore w:val="1"/>
          <w:wBefore w:w="11" w:type="dxa"/>
        </w:trPr>
        <w:tc>
          <w:tcPr>
            <w:tcW w:w="4525" w:type="dxa"/>
            <w:vAlign w:val="center"/>
            <w:hideMark/>
          </w:tcPr>
          <w:p w14:paraId="6935EEE5"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NP × Utilitarian (vs. hedonic)</w:t>
            </w:r>
          </w:p>
        </w:tc>
        <w:tc>
          <w:tcPr>
            <w:tcW w:w="1205" w:type="dxa"/>
          </w:tcPr>
          <w:p w14:paraId="551AA381" w14:textId="014A03BB"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-.259**</w:t>
            </w:r>
          </w:p>
        </w:tc>
        <w:tc>
          <w:tcPr>
            <w:tcW w:w="1205" w:type="dxa"/>
          </w:tcPr>
          <w:p w14:paraId="79FF5D4F"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.070</w:t>
            </w:r>
          </w:p>
        </w:tc>
        <w:tc>
          <w:tcPr>
            <w:tcW w:w="1205" w:type="dxa"/>
          </w:tcPr>
          <w:p w14:paraId="54AB8A8C" w14:textId="76E1D722"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-.258**</w:t>
            </w:r>
          </w:p>
        </w:tc>
        <w:tc>
          <w:tcPr>
            <w:tcW w:w="1205" w:type="dxa"/>
          </w:tcPr>
          <w:p w14:paraId="53EEF799"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.063</w:t>
            </w:r>
          </w:p>
        </w:tc>
      </w:tr>
      <w:bookmarkEnd w:id="17"/>
      <w:tr w:rsidR="00CA2C63" w:rsidRPr="00CA2C63" w14:paraId="03E7C22C" w14:textId="77777777" w:rsidTr="00CA2C63">
        <w:trPr>
          <w:gridBefore w:val="1"/>
          <w:wBefore w:w="11" w:type="dxa"/>
        </w:trPr>
        <w:tc>
          <w:tcPr>
            <w:tcW w:w="4525" w:type="dxa"/>
            <w:vAlign w:val="center"/>
            <w:hideMark/>
          </w:tcPr>
          <w:p w14:paraId="62705D1A" w14:textId="77777777" w:rsidR="00CA2C63" w:rsidRPr="00CA2C63" w:rsidRDefault="00CA2C63" w:rsidP="00CA2C63">
            <w:pPr>
              <w:spacing w:line="240" w:lineRule="auto"/>
              <w:rPr>
                <w:b/>
                <w:i/>
                <w:color w:val="000000"/>
                <w:sz w:val="20"/>
                <w:szCs w:val="20"/>
                <w:lang w:val="en-US"/>
              </w:rPr>
            </w:pPr>
            <w:r w:rsidRPr="00CA2C63">
              <w:rPr>
                <w:rFonts w:eastAsia="Arial"/>
                <w:b/>
                <w:i/>
                <w:sz w:val="20"/>
                <w:szCs w:val="20"/>
                <w:lang w:val="en-US"/>
              </w:rPr>
              <w:t>Modality</w:t>
            </w:r>
          </w:p>
        </w:tc>
        <w:tc>
          <w:tcPr>
            <w:tcW w:w="1205" w:type="dxa"/>
          </w:tcPr>
          <w:p w14:paraId="0BB0A788" w14:textId="77777777" w:rsidR="00CA2C63" w:rsidRPr="00CA2C63" w:rsidRDefault="00CA2C63" w:rsidP="00CA2C63">
            <w:pPr>
              <w:spacing w:line="240" w:lineRule="auto"/>
              <w:jc w:val="center"/>
              <w:rPr>
                <w:color w:val="000000"/>
                <w:sz w:val="20"/>
                <w:szCs w:val="20"/>
                <w:lang w:val="en-US"/>
              </w:rPr>
            </w:pPr>
          </w:p>
        </w:tc>
        <w:tc>
          <w:tcPr>
            <w:tcW w:w="1205" w:type="dxa"/>
          </w:tcPr>
          <w:p w14:paraId="1317D444" w14:textId="77777777" w:rsidR="00CA2C63" w:rsidRPr="00CA2C63" w:rsidRDefault="00CA2C63" w:rsidP="00CA2C63">
            <w:pPr>
              <w:spacing w:line="240" w:lineRule="auto"/>
              <w:jc w:val="center"/>
              <w:rPr>
                <w:color w:val="000000"/>
                <w:sz w:val="20"/>
                <w:szCs w:val="20"/>
                <w:lang w:val="en-US"/>
              </w:rPr>
            </w:pPr>
          </w:p>
        </w:tc>
        <w:tc>
          <w:tcPr>
            <w:tcW w:w="1205" w:type="dxa"/>
          </w:tcPr>
          <w:p w14:paraId="1436EF9A" w14:textId="77777777" w:rsidR="00CA2C63" w:rsidRPr="00CA2C63" w:rsidRDefault="00CA2C63" w:rsidP="00CA2C63">
            <w:pPr>
              <w:spacing w:line="240" w:lineRule="auto"/>
              <w:jc w:val="center"/>
              <w:rPr>
                <w:color w:val="000000"/>
                <w:sz w:val="20"/>
                <w:szCs w:val="20"/>
                <w:lang w:val="en-US"/>
              </w:rPr>
            </w:pPr>
          </w:p>
        </w:tc>
        <w:tc>
          <w:tcPr>
            <w:tcW w:w="1205" w:type="dxa"/>
          </w:tcPr>
          <w:p w14:paraId="1A929195" w14:textId="77777777" w:rsidR="00CA2C63" w:rsidRPr="00CA2C63" w:rsidRDefault="00CA2C63" w:rsidP="00CA2C63">
            <w:pPr>
              <w:spacing w:line="240" w:lineRule="auto"/>
              <w:jc w:val="center"/>
              <w:rPr>
                <w:color w:val="000000"/>
                <w:sz w:val="20"/>
                <w:szCs w:val="20"/>
                <w:lang w:val="en-US"/>
              </w:rPr>
            </w:pPr>
          </w:p>
        </w:tc>
      </w:tr>
      <w:tr w:rsidR="00CA2C63" w:rsidRPr="00CA2C63" w14:paraId="34FD17BF" w14:textId="77777777" w:rsidTr="00CA2C63">
        <w:trPr>
          <w:gridBefore w:val="1"/>
          <w:wBefore w:w="11" w:type="dxa"/>
        </w:trPr>
        <w:tc>
          <w:tcPr>
            <w:tcW w:w="4525" w:type="dxa"/>
            <w:vAlign w:val="center"/>
            <w:hideMark/>
          </w:tcPr>
          <w:p w14:paraId="6D10B892"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 xml:space="preserve">Audio (vs. text) </w:t>
            </w:r>
          </w:p>
        </w:tc>
        <w:tc>
          <w:tcPr>
            <w:tcW w:w="1205" w:type="dxa"/>
          </w:tcPr>
          <w:p w14:paraId="3585A7C9" w14:textId="047FB50F"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.206**</w:t>
            </w:r>
          </w:p>
        </w:tc>
        <w:tc>
          <w:tcPr>
            <w:tcW w:w="1205" w:type="dxa"/>
          </w:tcPr>
          <w:p w14:paraId="63828F7A"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.055</w:t>
            </w:r>
          </w:p>
        </w:tc>
        <w:tc>
          <w:tcPr>
            <w:tcW w:w="1205" w:type="dxa"/>
          </w:tcPr>
          <w:p w14:paraId="22C723C6"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.070</w:t>
            </w:r>
          </w:p>
        </w:tc>
        <w:tc>
          <w:tcPr>
            <w:tcW w:w="1205" w:type="dxa"/>
          </w:tcPr>
          <w:p w14:paraId="4CB41E59"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.074</w:t>
            </w:r>
          </w:p>
        </w:tc>
      </w:tr>
      <w:tr w:rsidR="00CA2C63" w:rsidRPr="00CA2C63" w14:paraId="2EB65631" w14:textId="77777777" w:rsidTr="00CA2C63">
        <w:trPr>
          <w:gridBefore w:val="1"/>
          <w:wBefore w:w="11" w:type="dxa"/>
        </w:trPr>
        <w:tc>
          <w:tcPr>
            <w:tcW w:w="4525" w:type="dxa"/>
            <w:vAlign w:val="center"/>
            <w:hideMark/>
          </w:tcPr>
          <w:p w14:paraId="6C84C4F0"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AP × Audio (vs. text)</w:t>
            </w:r>
            <w:r w:rsidRPr="00CA2C63">
              <w:rPr>
                <w:color w:val="000000"/>
                <w:sz w:val="20"/>
                <w:szCs w:val="20"/>
                <w:vertAlign w:val="superscript"/>
                <w:lang w:val="en-US"/>
              </w:rPr>
              <w:t>a</w:t>
            </w:r>
          </w:p>
        </w:tc>
        <w:tc>
          <w:tcPr>
            <w:tcW w:w="1205" w:type="dxa"/>
            <w:vAlign w:val="center"/>
          </w:tcPr>
          <w:p w14:paraId="3C842120"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33F79EDE"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3D96871C"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52CA1C8E"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r>
      <w:tr w:rsidR="00CA2C63" w:rsidRPr="00CA2C63" w14:paraId="30A5F9F6" w14:textId="77777777" w:rsidTr="00CA2C63">
        <w:trPr>
          <w:gridBefore w:val="1"/>
          <w:wBefore w:w="11" w:type="dxa"/>
        </w:trPr>
        <w:tc>
          <w:tcPr>
            <w:tcW w:w="4525" w:type="dxa"/>
            <w:vAlign w:val="center"/>
            <w:hideMark/>
          </w:tcPr>
          <w:p w14:paraId="24157124"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NP × Audio (vs. text)</w:t>
            </w:r>
          </w:p>
        </w:tc>
        <w:tc>
          <w:tcPr>
            <w:tcW w:w="1205" w:type="dxa"/>
          </w:tcPr>
          <w:p w14:paraId="65A235A9" w14:textId="60309380"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-.126</w:t>
            </w:r>
            <w:r w:rsidR="00F168CD">
              <w:rPr>
                <w:color w:val="000000"/>
                <w:sz w:val="20"/>
                <w:szCs w:val="20"/>
                <w:lang w:val="en-US"/>
              </w:rPr>
              <w:t>^</w:t>
            </w:r>
          </w:p>
        </w:tc>
        <w:tc>
          <w:tcPr>
            <w:tcW w:w="1205" w:type="dxa"/>
          </w:tcPr>
          <w:p w14:paraId="1AF18E75"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.065</w:t>
            </w:r>
          </w:p>
        </w:tc>
        <w:tc>
          <w:tcPr>
            <w:tcW w:w="1205" w:type="dxa"/>
          </w:tcPr>
          <w:p w14:paraId="3FF2CDDC"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-.227</w:t>
            </w:r>
          </w:p>
        </w:tc>
        <w:tc>
          <w:tcPr>
            <w:tcW w:w="1205" w:type="dxa"/>
          </w:tcPr>
          <w:p w14:paraId="60D042F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.160</w:t>
            </w:r>
          </w:p>
        </w:tc>
      </w:tr>
      <w:tr w:rsidR="00CA2C63" w:rsidRPr="00CA2C63" w14:paraId="32153768" w14:textId="77777777" w:rsidTr="00CA2C63">
        <w:trPr>
          <w:gridBefore w:val="1"/>
          <w:wBefore w:w="11" w:type="dxa"/>
        </w:trPr>
        <w:tc>
          <w:tcPr>
            <w:tcW w:w="4525" w:type="dxa"/>
            <w:vAlign w:val="center"/>
          </w:tcPr>
          <w:p w14:paraId="59B894A4" w14:textId="6C95CD1C" w:rsidR="00CA2C63" w:rsidRPr="00CA2C63" w:rsidRDefault="00CA2C63" w:rsidP="00CA2C63">
            <w:pPr>
              <w:spacing w:line="240" w:lineRule="auto"/>
              <w:rPr>
                <w:b/>
                <w:bCs/>
                <w:i/>
                <w:iCs/>
                <w:color w:val="000000"/>
                <w:sz w:val="20"/>
                <w:szCs w:val="20"/>
                <w:lang w:val="en-US"/>
              </w:rPr>
            </w:pPr>
            <w:r>
              <w:rPr>
                <w:b/>
                <w:bCs/>
                <w:i/>
                <w:iCs/>
                <w:color w:val="000000"/>
                <w:sz w:val="20"/>
                <w:szCs w:val="20"/>
                <w:lang w:val="en-US"/>
              </w:rPr>
              <w:t xml:space="preserve">Additional </w:t>
            </w:r>
            <w:r w:rsidRPr="00CA2C63">
              <w:rPr>
                <w:b/>
                <w:bCs/>
                <w:i/>
                <w:iCs/>
                <w:color w:val="000000"/>
                <w:sz w:val="20"/>
                <w:szCs w:val="20"/>
                <w:lang w:val="en-US"/>
              </w:rPr>
              <w:t>T</w:t>
            </w:r>
            <w:r>
              <w:rPr>
                <w:b/>
                <w:bCs/>
                <w:i/>
                <w:iCs/>
                <w:color w:val="000000"/>
                <w:sz w:val="20"/>
                <w:szCs w:val="20"/>
                <w:lang w:val="en-US"/>
              </w:rPr>
              <w:t>wo</w:t>
            </w:r>
            <w:r w:rsidRPr="00CA2C63">
              <w:rPr>
                <w:b/>
                <w:bCs/>
                <w:i/>
                <w:iCs/>
                <w:color w:val="000000"/>
                <w:sz w:val="20"/>
                <w:szCs w:val="20"/>
                <w:lang w:val="en-US"/>
              </w:rPr>
              <w:t>-Way Interaction</w:t>
            </w:r>
          </w:p>
        </w:tc>
        <w:tc>
          <w:tcPr>
            <w:tcW w:w="1205" w:type="dxa"/>
          </w:tcPr>
          <w:p w14:paraId="192B4AAC" w14:textId="77777777" w:rsidR="00CA2C63" w:rsidRPr="00CA2C63" w:rsidRDefault="00CA2C63" w:rsidP="00CA2C63">
            <w:pPr>
              <w:spacing w:line="240" w:lineRule="auto"/>
              <w:jc w:val="center"/>
              <w:rPr>
                <w:color w:val="000000"/>
                <w:sz w:val="20"/>
                <w:szCs w:val="20"/>
                <w:lang w:val="en-US"/>
              </w:rPr>
            </w:pPr>
          </w:p>
        </w:tc>
        <w:tc>
          <w:tcPr>
            <w:tcW w:w="1205" w:type="dxa"/>
          </w:tcPr>
          <w:p w14:paraId="2CDC5BF6" w14:textId="77777777" w:rsidR="00CA2C63" w:rsidRPr="00CA2C63" w:rsidRDefault="00CA2C63" w:rsidP="00CA2C63">
            <w:pPr>
              <w:spacing w:line="240" w:lineRule="auto"/>
              <w:jc w:val="center"/>
              <w:rPr>
                <w:color w:val="000000"/>
                <w:sz w:val="20"/>
                <w:szCs w:val="20"/>
                <w:lang w:val="en-US"/>
              </w:rPr>
            </w:pPr>
          </w:p>
        </w:tc>
        <w:tc>
          <w:tcPr>
            <w:tcW w:w="1205" w:type="dxa"/>
          </w:tcPr>
          <w:p w14:paraId="1CC0BE0B" w14:textId="77777777" w:rsidR="00CA2C63" w:rsidRPr="00CA2C63" w:rsidRDefault="00CA2C63" w:rsidP="00CA2C63">
            <w:pPr>
              <w:spacing w:line="240" w:lineRule="auto"/>
              <w:jc w:val="center"/>
              <w:rPr>
                <w:color w:val="000000"/>
                <w:sz w:val="20"/>
                <w:szCs w:val="20"/>
                <w:lang w:val="en-US"/>
              </w:rPr>
            </w:pPr>
          </w:p>
        </w:tc>
        <w:tc>
          <w:tcPr>
            <w:tcW w:w="1205" w:type="dxa"/>
          </w:tcPr>
          <w:p w14:paraId="29475F06" w14:textId="77777777" w:rsidR="00CA2C63" w:rsidRPr="00CA2C63" w:rsidRDefault="00CA2C63" w:rsidP="00CA2C63">
            <w:pPr>
              <w:spacing w:line="240" w:lineRule="auto"/>
              <w:jc w:val="center"/>
              <w:rPr>
                <w:color w:val="000000"/>
                <w:sz w:val="20"/>
                <w:szCs w:val="20"/>
                <w:lang w:val="en-US"/>
              </w:rPr>
            </w:pPr>
          </w:p>
        </w:tc>
      </w:tr>
      <w:tr w:rsidR="00CA2C63" w:rsidRPr="00CA2C63" w14:paraId="24FBEC33" w14:textId="77777777" w:rsidTr="00CA2C63">
        <w:trPr>
          <w:gridBefore w:val="1"/>
          <w:wBefore w:w="11" w:type="dxa"/>
        </w:trPr>
        <w:tc>
          <w:tcPr>
            <w:tcW w:w="4525" w:type="dxa"/>
            <w:vAlign w:val="center"/>
          </w:tcPr>
          <w:p w14:paraId="72FB5C88" w14:textId="3C2AF51E" w:rsidR="00CA2C63" w:rsidRPr="00CA2C63" w:rsidRDefault="00CA2C63" w:rsidP="00CA2C63">
            <w:pPr>
              <w:spacing w:line="240" w:lineRule="auto"/>
              <w:ind w:left="142"/>
              <w:rPr>
                <w:b/>
                <w:bCs/>
                <w:i/>
                <w:iCs/>
                <w:color w:val="000000"/>
                <w:sz w:val="20"/>
                <w:szCs w:val="20"/>
                <w:lang w:val="en-US"/>
              </w:rPr>
            </w:pPr>
            <w:r w:rsidRPr="00CA2C63">
              <w:rPr>
                <w:color w:val="000000"/>
                <w:sz w:val="20"/>
                <w:szCs w:val="20"/>
                <w:lang w:val="en-US"/>
              </w:rPr>
              <w:t>Utilitarian (vs. hedonic) × Audio (vs. text)</w:t>
            </w:r>
          </w:p>
        </w:tc>
        <w:tc>
          <w:tcPr>
            <w:tcW w:w="1205" w:type="dxa"/>
          </w:tcPr>
          <w:p w14:paraId="3019BFC0" w14:textId="1A4F57BA" w:rsidR="00CA2C63" w:rsidRPr="00CA2C63" w:rsidRDefault="00F168CD" w:rsidP="00CA2C63">
            <w:pPr>
              <w:spacing w:line="240" w:lineRule="auto"/>
              <w:jc w:val="center"/>
              <w:rPr>
                <w:color w:val="000000"/>
                <w:sz w:val="20"/>
                <w:szCs w:val="20"/>
                <w:lang w:val="en-US"/>
              </w:rPr>
            </w:pPr>
            <w:r>
              <w:rPr>
                <w:color w:val="000000"/>
                <w:sz w:val="20"/>
                <w:szCs w:val="20"/>
                <w:lang w:val="en-US"/>
              </w:rPr>
              <w:t>-.532^</w:t>
            </w:r>
          </w:p>
        </w:tc>
        <w:tc>
          <w:tcPr>
            <w:tcW w:w="1205" w:type="dxa"/>
          </w:tcPr>
          <w:p w14:paraId="66DDE36B" w14:textId="434117E9"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.223</w:t>
            </w:r>
          </w:p>
        </w:tc>
        <w:tc>
          <w:tcPr>
            <w:tcW w:w="1205" w:type="dxa"/>
          </w:tcPr>
          <w:p w14:paraId="696A6253" w14:textId="333F1811"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.025</w:t>
            </w:r>
          </w:p>
        </w:tc>
        <w:tc>
          <w:tcPr>
            <w:tcW w:w="1205" w:type="dxa"/>
          </w:tcPr>
          <w:p w14:paraId="314AFDEB" w14:textId="168B1686"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.080</w:t>
            </w:r>
          </w:p>
        </w:tc>
      </w:tr>
      <w:tr w:rsidR="00CA2C63" w:rsidRPr="00CA2C63" w14:paraId="303A3C67" w14:textId="77777777" w:rsidTr="00CA2C63">
        <w:trPr>
          <w:gridBefore w:val="1"/>
          <w:wBefore w:w="11" w:type="dxa"/>
        </w:trPr>
        <w:tc>
          <w:tcPr>
            <w:tcW w:w="4525" w:type="dxa"/>
            <w:vAlign w:val="center"/>
          </w:tcPr>
          <w:p w14:paraId="6A733259" w14:textId="77777777" w:rsidR="00CA2C63" w:rsidRPr="00CA2C63" w:rsidRDefault="00CA2C63" w:rsidP="00CA2C63">
            <w:pPr>
              <w:spacing w:line="240" w:lineRule="auto"/>
              <w:rPr>
                <w:b/>
                <w:bCs/>
                <w:i/>
                <w:iCs/>
                <w:color w:val="000000"/>
                <w:sz w:val="20"/>
                <w:szCs w:val="20"/>
                <w:lang w:val="en-US"/>
              </w:rPr>
            </w:pPr>
            <w:r w:rsidRPr="00CA2C63">
              <w:rPr>
                <w:b/>
                <w:bCs/>
                <w:i/>
                <w:iCs/>
                <w:color w:val="000000"/>
                <w:sz w:val="20"/>
                <w:szCs w:val="20"/>
                <w:lang w:val="en-US"/>
              </w:rPr>
              <w:t>Three-Way Interaction</w:t>
            </w:r>
          </w:p>
        </w:tc>
        <w:tc>
          <w:tcPr>
            <w:tcW w:w="1205" w:type="dxa"/>
          </w:tcPr>
          <w:p w14:paraId="605F7452" w14:textId="77777777" w:rsidR="00CA2C63" w:rsidRPr="00CA2C63" w:rsidRDefault="00CA2C63" w:rsidP="00CA2C63">
            <w:pPr>
              <w:spacing w:line="240" w:lineRule="auto"/>
              <w:jc w:val="center"/>
              <w:rPr>
                <w:color w:val="000000"/>
                <w:sz w:val="20"/>
                <w:szCs w:val="20"/>
                <w:lang w:val="en-US"/>
              </w:rPr>
            </w:pPr>
          </w:p>
        </w:tc>
        <w:tc>
          <w:tcPr>
            <w:tcW w:w="1205" w:type="dxa"/>
          </w:tcPr>
          <w:p w14:paraId="48FE4E85" w14:textId="77777777" w:rsidR="00CA2C63" w:rsidRPr="00CA2C63" w:rsidRDefault="00CA2C63" w:rsidP="00CA2C63">
            <w:pPr>
              <w:spacing w:line="240" w:lineRule="auto"/>
              <w:jc w:val="center"/>
              <w:rPr>
                <w:color w:val="000000"/>
                <w:sz w:val="20"/>
                <w:szCs w:val="20"/>
                <w:lang w:val="en-US"/>
              </w:rPr>
            </w:pPr>
          </w:p>
        </w:tc>
        <w:tc>
          <w:tcPr>
            <w:tcW w:w="1205" w:type="dxa"/>
          </w:tcPr>
          <w:p w14:paraId="5F173143" w14:textId="77777777" w:rsidR="00CA2C63" w:rsidRPr="00CA2C63" w:rsidRDefault="00CA2C63" w:rsidP="00CA2C63">
            <w:pPr>
              <w:spacing w:line="240" w:lineRule="auto"/>
              <w:jc w:val="center"/>
              <w:rPr>
                <w:color w:val="000000"/>
                <w:sz w:val="20"/>
                <w:szCs w:val="20"/>
                <w:lang w:val="en-US"/>
              </w:rPr>
            </w:pPr>
          </w:p>
        </w:tc>
        <w:tc>
          <w:tcPr>
            <w:tcW w:w="1205" w:type="dxa"/>
          </w:tcPr>
          <w:p w14:paraId="17C9B53A" w14:textId="77777777" w:rsidR="00CA2C63" w:rsidRPr="00CA2C63" w:rsidRDefault="00CA2C63" w:rsidP="00CA2C63">
            <w:pPr>
              <w:spacing w:line="240" w:lineRule="auto"/>
              <w:jc w:val="center"/>
              <w:rPr>
                <w:color w:val="000000"/>
                <w:sz w:val="20"/>
                <w:szCs w:val="20"/>
                <w:lang w:val="en-US"/>
              </w:rPr>
            </w:pPr>
          </w:p>
        </w:tc>
      </w:tr>
      <w:tr w:rsidR="00CA2C63" w:rsidRPr="00CA2C63" w14:paraId="2EF747A6" w14:textId="77777777" w:rsidTr="00CA2C63">
        <w:trPr>
          <w:gridBefore w:val="1"/>
          <w:wBefore w:w="11" w:type="dxa"/>
        </w:trPr>
        <w:tc>
          <w:tcPr>
            <w:tcW w:w="4525" w:type="dxa"/>
            <w:vAlign w:val="center"/>
          </w:tcPr>
          <w:p w14:paraId="5FF87B6F"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NP × Utilitarian (vs. hedonic) × Audio (vs. text)</w:t>
            </w:r>
          </w:p>
        </w:tc>
        <w:tc>
          <w:tcPr>
            <w:tcW w:w="1205" w:type="dxa"/>
          </w:tcPr>
          <w:p w14:paraId="5AA449CF"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.470</w:t>
            </w:r>
          </w:p>
        </w:tc>
        <w:tc>
          <w:tcPr>
            <w:tcW w:w="1205" w:type="dxa"/>
          </w:tcPr>
          <w:p w14:paraId="6BB0670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.382</w:t>
            </w:r>
          </w:p>
        </w:tc>
        <w:tc>
          <w:tcPr>
            <w:tcW w:w="1205" w:type="dxa"/>
          </w:tcPr>
          <w:p w14:paraId="696DA021"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.082</w:t>
            </w:r>
          </w:p>
        </w:tc>
        <w:tc>
          <w:tcPr>
            <w:tcW w:w="1205" w:type="dxa"/>
          </w:tcPr>
          <w:p w14:paraId="2DA50681"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.249</w:t>
            </w:r>
          </w:p>
        </w:tc>
      </w:tr>
      <w:tr w:rsidR="00CA2C63" w:rsidRPr="00CA2C63" w14:paraId="2B50D450" w14:textId="77777777" w:rsidTr="00CA2C63">
        <w:tc>
          <w:tcPr>
            <w:tcW w:w="4536" w:type="dxa"/>
            <w:gridSpan w:val="2"/>
            <w:vAlign w:val="center"/>
            <w:hideMark/>
          </w:tcPr>
          <w:p w14:paraId="5F847B67" w14:textId="77777777" w:rsidR="00CA2C63" w:rsidRPr="00CA2C63" w:rsidRDefault="00CA2C63" w:rsidP="00CA2C63">
            <w:pPr>
              <w:spacing w:line="240" w:lineRule="auto"/>
              <w:rPr>
                <w:rFonts w:eastAsia="Arial"/>
                <w:b/>
                <w:i/>
                <w:sz w:val="20"/>
                <w:szCs w:val="20"/>
                <w:lang w:val="en-US"/>
              </w:rPr>
            </w:pPr>
            <w:r w:rsidRPr="00CA2C63">
              <w:rPr>
                <w:rFonts w:eastAsia="Arial"/>
                <w:b/>
                <w:i/>
                <w:sz w:val="20"/>
                <w:szCs w:val="20"/>
                <w:lang w:val="en-US"/>
              </w:rPr>
              <w:t>Outcomes</w:t>
            </w:r>
          </w:p>
        </w:tc>
        <w:tc>
          <w:tcPr>
            <w:tcW w:w="1205" w:type="dxa"/>
          </w:tcPr>
          <w:p w14:paraId="787EFEEC"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3B06A224"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0887030B" w14:textId="77777777" w:rsidR="00CA2C63" w:rsidRPr="00CA2C63" w:rsidRDefault="00CA2C63" w:rsidP="00CA2C63">
            <w:pPr>
              <w:spacing w:line="240" w:lineRule="auto"/>
              <w:jc w:val="center"/>
              <w:rPr>
                <w:color w:val="000000"/>
                <w:sz w:val="20"/>
                <w:szCs w:val="20"/>
                <w:lang w:val="en-US"/>
              </w:rPr>
            </w:pPr>
          </w:p>
        </w:tc>
        <w:tc>
          <w:tcPr>
            <w:tcW w:w="1205" w:type="dxa"/>
          </w:tcPr>
          <w:p w14:paraId="3E8C66CE" w14:textId="77777777" w:rsidR="00CA2C63" w:rsidRPr="00CA2C63" w:rsidRDefault="00CA2C63" w:rsidP="00CA2C63">
            <w:pPr>
              <w:spacing w:line="240" w:lineRule="auto"/>
              <w:jc w:val="center"/>
              <w:rPr>
                <w:color w:val="000000"/>
                <w:sz w:val="20"/>
                <w:szCs w:val="20"/>
                <w:lang w:val="en-US"/>
              </w:rPr>
            </w:pPr>
          </w:p>
        </w:tc>
      </w:tr>
      <w:tr w:rsidR="00CA2C63" w:rsidRPr="00CA2C63" w14:paraId="79544EE6" w14:textId="77777777" w:rsidTr="00CA2C63">
        <w:tc>
          <w:tcPr>
            <w:tcW w:w="4536" w:type="dxa"/>
            <w:gridSpan w:val="2"/>
            <w:vAlign w:val="center"/>
            <w:hideMark/>
          </w:tcPr>
          <w:p w14:paraId="56EDD4FB"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Outcome: Attitude</w:t>
            </w:r>
            <w:r w:rsidRPr="00CA2C63">
              <w:rPr>
                <w:color w:val="000000"/>
                <w:sz w:val="20"/>
                <w:szCs w:val="20"/>
                <w:vertAlign w:val="superscript"/>
                <w:lang w:val="en-US"/>
              </w:rPr>
              <w:t>a</w:t>
            </w:r>
          </w:p>
        </w:tc>
        <w:tc>
          <w:tcPr>
            <w:tcW w:w="1205" w:type="dxa"/>
            <w:vAlign w:val="center"/>
          </w:tcPr>
          <w:p w14:paraId="7D108BCE" w14:textId="77777777" w:rsidR="00CA2C63" w:rsidRPr="00CA2C63" w:rsidRDefault="00CA2C63" w:rsidP="00CA2C63">
            <w:pPr>
              <w:spacing w:line="240" w:lineRule="auto"/>
              <w:jc w:val="center"/>
              <w:rPr>
                <w:color w:val="000000"/>
                <w:sz w:val="20"/>
                <w:szCs w:val="20"/>
                <w:highlight w:val="yellow"/>
                <w:lang w:val="en-US"/>
              </w:rPr>
            </w:pPr>
          </w:p>
        </w:tc>
        <w:tc>
          <w:tcPr>
            <w:tcW w:w="1205" w:type="dxa"/>
            <w:vAlign w:val="center"/>
          </w:tcPr>
          <w:p w14:paraId="7ED049E1" w14:textId="77777777" w:rsidR="00CA2C63" w:rsidRPr="00CA2C63" w:rsidRDefault="00CA2C63" w:rsidP="00CA2C63">
            <w:pPr>
              <w:spacing w:line="240" w:lineRule="auto"/>
              <w:jc w:val="center"/>
              <w:rPr>
                <w:color w:val="000000"/>
                <w:sz w:val="20"/>
                <w:szCs w:val="20"/>
                <w:highlight w:val="yellow"/>
                <w:lang w:val="en-US"/>
              </w:rPr>
            </w:pPr>
          </w:p>
        </w:tc>
        <w:tc>
          <w:tcPr>
            <w:tcW w:w="1205" w:type="dxa"/>
            <w:vAlign w:val="center"/>
          </w:tcPr>
          <w:p w14:paraId="17AF3A3F"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385A3FF4"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r>
      <w:tr w:rsidR="00CA2C63" w:rsidRPr="00CA2C63" w14:paraId="72178381" w14:textId="77777777" w:rsidTr="00CA2C63">
        <w:tc>
          <w:tcPr>
            <w:tcW w:w="4536" w:type="dxa"/>
            <w:gridSpan w:val="2"/>
            <w:vAlign w:val="center"/>
            <w:hideMark/>
          </w:tcPr>
          <w:p w14:paraId="3263D6E6"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Outcome: Affective response</w:t>
            </w:r>
          </w:p>
        </w:tc>
        <w:tc>
          <w:tcPr>
            <w:tcW w:w="1205" w:type="dxa"/>
          </w:tcPr>
          <w:p w14:paraId="3B380D72"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068AAB9"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A6A7304" w14:textId="0DF9E9D4" w:rsidR="00CA2C63" w:rsidRPr="00CA2C63" w:rsidRDefault="00F168CD" w:rsidP="00CA2C63">
            <w:pPr>
              <w:spacing w:line="240" w:lineRule="auto"/>
              <w:jc w:val="center"/>
              <w:rPr>
                <w:color w:val="000000"/>
                <w:sz w:val="20"/>
                <w:szCs w:val="20"/>
                <w:lang w:val="en-US"/>
              </w:rPr>
            </w:pPr>
            <w:r>
              <w:rPr>
                <w:color w:val="000000"/>
                <w:sz w:val="20"/>
                <w:szCs w:val="20"/>
                <w:lang w:val="en-US"/>
              </w:rPr>
              <w:t>.173</w:t>
            </w:r>
            <w:r w:rsidR="00CA2C63" w:rsidRPr="00CA2C63">
              <w:rPr>
                <w:color w:val="000000"/>
                <w:sz w:val="20"/>
                <w:szCs w:val="20"/>
                <w:lang w:val="en-US"/>
              </w:rPr>
              <w:t>*</w:t>
            </w:r>
          </w:p>
        </w:tc>
        <w:tc>
          <w:tcPr>
            <w:tcW w:w="1205" w:type="dxa"/>
          </w:tcPr>
          <w:p w14:paraId="60CB4B60"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.075</w:t>
            </w:r>
          </w:p>
        </w:tc>
      </w:tr>
      <w:tr w:rsidR="00CA2C63" w:rsidRPr="00CA2C63" w14:paraId="68F25FB3" w14:textId="77777777" w:rsidTr="00CA2C63">
        <w:tc>
          <w:tcPr>
            <w:tcW w:w="4536" w:type="dxa"/>
            <w:gridSpan w:val="2"/>
            <w:vAlign w:val="center"/>
            <w:hideMark/>
          </w:tcPr>
          <w:p w14:paraId="0B1CDFB5"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Outcome: Cognitive response</w:t>
            </w:r>
          </w:p>
        </w:tc>
        <w:tc>
          <w:tcPr>
            <w:tcW w:w="1205" w:type="dxa"/>
          </w:tcPr>
          <w:p w14:paraId="6DBECF55"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C24F301"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08B426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.014</w:t>
            </w:r>
          </w:p>
        </w:tc>
        <w:tc>
          <w:tcPr>
            <w:tcW w:w="1205" w:type="dxa"/>
          </w:tcPr>
          <w:p w14:paraId="397F6FD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.056</w:t>
            </w:r>
          </w:p>
        </w:tc>
      </w:tr>
      <w:tr w:rsidR="00CA2C63" w:rsidRPr="00CA2C63" w14:paraId="7F90F910" w14:textId="77777777" w:rsidTr="00CA2C63">
        <w:tc>
          <w:tcPr>
            <w:tcW w:w="4536" w:type="dxa"/>
            <w:gridSpan w:val="2"/>
            <w:vAlign w:val="center"/>
            <w:hideMark/>
          </w:tcPr>
          <w:p w14:paraId="354E32A4"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Outcome: Recall</w:t>
            </w:r>
          </w:p>
        </w:tc>
        <w:tc>
          <w:tcPr>
            <w:tcW w:w="1205" w:type="dxa"/>
          </w:tcPr>
          <w:p w14:paraId="13F9848A"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665E5622"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C1B3270" w14:textId="29217C4A" w:rsidR="00CA2C63" w:rsidRPr="00CA2C63" w:rsidRDefault="00F168CD" w:rsidP="00CA2C63">
            <w:pPr>
              <w:spacing w:line="240" w:lineRule="auto"/>
              <w:jc w:val="center"/>
              <w:rPr>
                <w:color w:val="000000"/>
                <w:sz w:val="20"/>
                <w:szCs w:val="20"/>
                <w:lang w:val="en-US"/>
              </w:rPr>
            </w:pPr>
            <w:r>
              <w:rPr>
                <w:color w:val="000000"/>
                <w:sz w:val="20"/>
                <w:szCs w:val="20"/>
                <w:lang w:val="en-US"/>
              </w:rPr>
              <w:t>-.074^</w:t>
            </w:r>
          </w:p>
        </w:tc>
        <w:tc>
          <w:tcPr>
            <w:tcW w:w="1205" w:type="dxa"/>
          </w:tcPr>
          <w:p w14:paraId="4A6AD59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.042</w:t>
            </w:r>
          </w:p>
        </w:tc>
      </w:tr>
      <w:tr w:rsidR="00CA2C63" w:rsidRPr="00CA2C63" w14:paraId="574D17DB" w14:textId="77777777" w:rsidTr="00CA2C63">
        <w:tc>
          <w:tcPr>
            <w:tcW w:w="4536" w:type="dxa"/>
            <w:gridSpan w:val="2"/>
            <w:vAlign w:val="center"/>
            <w:hideMark/>
          </w:tcPr>
          <w:p w14:paraId="77AFDAA3"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Outcome: Intentions and behavior</w:t>
            </w:r>
          </w:p>
        </w:tc>
        <w:tc>
          <w:tcPr>
            <w:tcW w:w="1205" w:type="dxa"/>
          </w:tcPr>
          <w:p w14:paraId="30639AEC"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83B2560"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1015C552"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.023</w:t>
            </w:r>
          </w:p>
        </w:tc>
        <w:tc>
          <w:tcPr>
            <w:tcW w:w="1205" w:type="dxa"/>
          </w:tcPr>
          <w:p w14:paraId="2E3F8E91"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.030</w:t>
            </w:r>
          </w:p>
        </w:tc>
      </w:tr>
      <w:tr w:rsidR="00CA2C63" w:rsidRPr="00CA2C63" w14:paraId="744C88C0" w14:textId="77777777" w:rsidTr="00CA2C63">
        <w:trPr>
          <w:gridBefore w:val="1"/>
          <w:wBefore w:w="11" w:type="dxa"/>
        </w:trPr>
        <w:tc>
          <w:tcPr>
            <w:tcW w:w="4525" w:type="dxa"/>
            <w:vAlign w:val="center"/>
            <w:hideMark/>
          </w:tcPr>
          <w:p w14:paraId="43991BD4" w14:textId="77777777" w:rsidR="00CA2C63" w:rsidRPr="00CA2C63" w:rsidRDefault="00CA2C63" w:rsidP="00CA2C63">
            <w:pPr>
              <w:spacing w:line="240" w:lineRule="auto"/>
              <w:rPr>
                <w:b/>
                <w:i/>
                <w:color w:val="000000"/>
                <w:sz w:val="20"/>
                <w:szCs w:val="20"/>
                <w:lang w:val="en-US"/>
              </w:rPr>
            </w:pPr>
            <w:r w:rsidRPr="00CA2C63">
              <w:rPr>
                <w:b/>
                <w:i/>
                <w:color w:val="000000"/>
                <w:sz w:val="20"/>
                <w:szCs w:val="20"/>
                <w:lang w:val="en-US"/>
              </w:rPr>
              <w:t>Study Characteristics</w:t>
            </w:r>
          </w:p>
        </w:tc>
        <w:tc>
          <w:tcPr>
            <w:tcW w:w="1205" w:type="dxa"/>
          </w:tcPr>
          <w:p w14:paraId="63CD63BD"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9782DB0"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27DA595" w14:textId="77777777" w:rsidR="00CA2C63" w:rsidRPr="00CA2C63" w:rsidRDefault="00CA2C63" w:rsidP="00CA2C63">
            <w:pPr>
              <w:spacing w:line="240" w:lineRule="auto"/>
              <w:jc w:val="center"/>
              <w:rPr>
                <w:color w:val="000000"/>
                <w:sz w:val="20"/>
                <w:szCs w:val="20"/>
                <w:lang w:val="en-US"/>
              </w:rPr>
            </w:pPr>
          </w:p>
        </w:tc>
        <w:tc>
          <w:tcPr>
            <w:tcW w:w="1205" w:type="dxa"/>
          </w:tcPr>
          <w:p w14:paraId="59462D81" w14:textId="77777777" w:rsidR="00CA2C63" w:rsidRPr="00CA2C63" w:rsidRDefault="00CA2C63" w:rsidP="00CA2C63">
            <w:pPr>
              <w:spacing w:line="240" w:lineRule="auto"/>
              <w:jc w:val="center"/>
              <w:rPr>
                <w:color w:val="000000"/>
                <w:sz w:val="20"/>
                <w:szCs w:val="20"/>
                <w:lang w:val="en-US"/>
              </w:rPr>
            </w:pPr>
          </w:p>
        </w:tc>
      </w:tr>
      <w:tr w:rsidR="00CA2C63" w:rsidRPr="00CA2C63" w14:paraId="3DC1DEC5" w14:textId="77777777" w:rsidTr="00CA2C63">
        <w:trPr>
          <w:gridBefore w:val="1"/>
          <w:wBefore w:w="11" w:type="dxa"/>
        </w:trPr>
        <w:tc>
          <w:tcPr>
            <w:tcW w:w="4525" w:type="dxa"/>
            <w:vAlign w:val="center"/>
            <w:hideMark/>
          </w:tcPr>
          <w:p w14:paraId="37271441"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Lab study (vs. online study)</w:t>
            </w:r>
          </w:p>
        </w:tc>
        <w:tc>
          <w:tcPr>
            <w:tcW w:w="1205" w:type="dxa"/>
          </w:tcPr>
          <w:p w14:paraId="7140C7AB"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D38E4F4"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6AB44BF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-.040</w:t>
            </w:r>
          </w:p>
        </w:tc>
        <w:tc>
          <w:tcPr>
            <w:tcW w:w="1205" w:type="dxa"/>
          </w:tcPr>
          <w:p w14:paraId="21D32F14"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.050</w:t>
            </w:r>
          </w:p>
        </w:tc>
      </w:tr>
      <w:tr w:rsidR="00CA2C63" w:rsidRPr="00CA2C63" w14:paraId="5EEBA789" w14:textId="77777777" w:rsidTr="00CA2C63">
        <w:trPr>
          <w:gridBefore w:val="1"/>
          <w:wBefore w:w="11" w:type="dxa"/>
        </w:trPr>
        <w:tc>
          <w:tcPr>
            <w:tcW w:w="4525" w:type="dxa"/>
            <w:vAlign w:val="center"/>
            <w:hideMark/>
          </w:tcPr>
          <w:p w14:paraId="518BF080"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Incentive (vs. no incentive)</w:t>
            </w:r>
          </w:p>
        </w:tc>
        <w:tc>
          <w:tcPr>
            <w:tcW w:w="1205" w:type="dxa"/>
          </w:tcPr>
          <w:p w14:paraId="00963C8A"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1E9D2C0A"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0EAF2E10"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.042</w:t>
            </w:r>
          </w:p>
        </w:tc>
        <w:tc>
          <w:tcPr>
            <w:tcW w:w="1205" w:type="dxa"/>
          </w:tcPr>
          <w:p w14:paraId="7186E42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.034</w:t>
            </w:r>
          </w:p>
        </w:tc>
      </w:tr>
      <w:tr w:rsidR="00CA2C63" w:rsidRPr="00CA2C63" w14:paraId="181E07EC" w14:textId="77777777" w:rsidTr="00CA2C63">
        <w:trPr>
          <w:gridBefore w:val="1"/>
          <w:wBefore w:w="11" w:type="dxa"/>
        </w:trPr>
        <w:tc>
          <w:tcPr>
            <w:tcW w:w="4525" w:type="dxa"/>
            <w:vAlign w:val="center"/>
            <w:hideMark/>
          </w:tcPr>
          <w:p w14:paraId="118722A4"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Real world (vs. artificial) stimuli</w:t>
            </w:r>
          </w:p>
        </w:tc>
        <w:tc>
          <w:tcPr>
            <w:tcW w:w="1205" w:type="dxa"/>
          </w:tcPr>
          <w:p w14:paraId="0848A853"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666E3B36"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2DE27643"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-.057</w:t>
            </w:r>
          </w:p>
        </w:tc>
        <w:tc>
          <w:tcPr>
            <w:tcW w:w="1205" w:type="dxa"/>
          </w:tcPr>
          <w:p w14:paraId="63DFB48A"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.042</w:t>
            </w:r>
          </w:p>
        </w:tc>
      </w:tr>
      <w:tr w:rsidR="00CA2C63" w:rsidRPr="00CA2C63" w14:paraId="1E58C711" w14:textId="77777777" w:rsidTr="00CA2C63">
        <w:trPr>
          <w:gridBefore w:val="1"/>
          <w:wBefore w:w="11" w:type="dxa"/>
        </w:trPr>
        <w:tc>
          <w:tcPr>
            <w:tcW w:w="4525" w:type="dxa"/>
            <w:vAlign w:val="center"/>
            <w:hideMark/>
          </w:tcPr>
          <w:p w14:paraId="5322B0E4"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Experiential (vs. materialistic) stimuli</w:t>
            </w:r>
          </w:p>
        </w:tc>
        <w:tc>
          <w:tcPr>
            <w:tcW w:w="1205" w:type="dxa"/>
          </w:tcPr>
          <w:p w14:paraId="74E8F198"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27893B19"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6ACF0B1"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-.036</w:t>
            </w:r>
          </w:p>
        </w:tc>
        <w:tc>
          <w:tcPr>
            <w:tcW w:w="1205" w:type="dxa"/>
          </w:tcPr>
          <w:p w14:paraId="439AA27F"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.038</w:t>
            </w:r>
          </w:p>
        </w:tc>
      </w:tr>
      <w:tr w:rsidR="00CA2C63" w:rsidRPr="00CA2C63" w14:paraId="44199A85" w14:textId="77777777" w:rsidTr="00CA2C63">
        <w:trPr>
          <w:gridBefore w:val="1"/>
          <w:wBefore w:w="11" w:type="dxa"/>
        </w:trPr>
        <w:tc>
          <w:tcPr>
            <w:tcW w:w="4525" w:type="dxa"/>
            <w:vAlign w:val="center"/>
            <w:hideMark/>
          </w:tcPr>
          <w:p w14:paraId="4ED9A45A"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Text and image (vs. text only)</w:t>
            </w:r>
          </w:p>
        </w:tc>
        <w:tc>
          <w:tcPr>
            <w:tcW w:w="1205" w:type="dxa"/>
          </w:tcPr>
          <w:p w14:paraId="0E82EDFC"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FF0957E"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BA3DE69"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.070</w:t>
            </w:r>
          </w:p>
        </w:tc>
        <w:tc>
          <w:tcPr>
            <w:tcW w:w="1205" w:type="dxa"/>
          </w:tcPr>
          <w:p w14:paraId="3898419B"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.074</w:t>
            </w:r>
          </w:p>
        </w:tc>
      </w:tr>
      <w:tr w:rsidR="00CA2C63" w:rsidRPr="00CA2C63" w14:paraId="5087864F" w14:textId="77777777" w:rsidTr="00CA2C63">
        <w:trPr>
          <w:gridBefore w:val="1"/>
          <w:wBefore w:w="11" w:type="dxa"/>
        </w:trPr>
        <w:tc>
          <w:tcPr>
            <w:tcW w:w="4525" w:type="dxa"/>
            <w:vAlign w:val="center"/>
            <w:hideMark/>
          </w:tcPr>
          <w:p w14:paraId="2549B789"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Text type: Ad</w:t>
            </w:r>
            <w:r w:rsidRPr="00CA2C63">
              <w:rPr>
                <w:color w:val="000000"/>
                <w:sz w:val="20"/>
                <w:szCs w:val="20"/>
                <w:vertAlign w:val="superscript"/>
                <w:lang w:val="en-US"/>
              </w:rPr>
              <w:t>a</w:t>
            </w:r>
          </w:p>
        </w:tc>
        <w:tc>
          <w:tcPr>
            <w:tcW w:w="1205" w:type="dxa"/>
            <w:vAlign w:val="center"/>
          </w:tcPr>
          <w:p w14:paraId="1812C6BB" w14:textId="77777777" w:rsidR="00CA2C63" w:rsidRPr="00CA2C63" w:rsidRDefault="00CA2C63" w:rsidP="00CA2C63">
            <w:pPr>
              <w:spacing w:line="240" w:lineRule="auto"/>
              <w:jc w:val="center"/>
              <w:rPr>
                <w:color w:val="000000"/>
                <w:sz w:val="20"/>
                <w:szCs w:val="20"/>
                <w:highlight w:val="yellow"/>
                <w:lang w:val="en-US"/>
              </w:rPr>
            </w:pPr>
          </w:p>
        </w:tc>
        <w:tc>
          <w:tcPr>
            <w:tcW w:w="1205" w:type="dxa"/>
            <w:vAlign w:val="center"/>
          </w:tcPr>
          <w:p w14:paraId="235EC41C" w14:textId="77777777" w:rsidR="00CA2C63" w:rsidRPr="00CA2C63" w:rsidRDefault="00CA2C63" w:rsidP="00CA2C63">
            <w:pPr>
              <w:spacing w:line="240" w:lineRule="auto"/>
              <w:jc w:val="center"/>
              <w:rPr>
                <w:color w:val="000000"/>
                <w:sz w:val="20"/>
                <w:szCs w:val="20"/>
                <w:highlight w:val="yellow"/>
                <w:lang w:val="en-US"/>
              </w:rPr>
            </w:pPr>
          </w:p>
        </w:tc>
        <w:tc>
          <w:tcPr>
            <w:tcW w:w="1205" w:type="dxa"/>
            <w:vAlign w:val="center"/>
          </w:tcPr>
          <w:p w14:paraId="0596274A"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c>
          <w:tcPr>
            <w:tcW w:w="1205" w:type="dxa"/>
            <w:vAlign w:val="center"/>
          </w:tcPr>
          <w:p w14:paraId="6C6DEF70"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w:t>
            </w:r>
          </w:p>
        </w:tc>
      </w:tr>
      <w:tr w:rsidR="00CA2C63" w:rsidRPr="00CA2C63" w14:paraId="3CD53857" w14:textId="77777777" w:rsidTr="00CA2C63">
        <w:trPr>
          <w:gridBefore w:val="1"/>
          <w:wBefore w:w="11" w:type="dxa"/>
        </w:trPr>
        <w:tc>
          <w:tcPr>
            <w:tcW w:w="4525" w:type="dxa"/>
            <w:vAlign w:val="center"/>
            <w:hideMark/>
          </w:tcPr>
          <w:p w14:paraId="7A3870D1"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Text type: Story</w:t>
            </w:r>
          </w:p>
        </w:tc>
        <w:tc>
          <w:tcPr>
            <w:tcW w:w="1205" w:type="dxa"/>
          </w:tcPr>
          <w:p w14:paraId="624D063F"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3FF596B3"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BA31583" w14:textId="2271A8F6"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-.165**</w:t>
            </w:r>
          </w:p>
        </w:tc>
        <w:tc>
          <w:tcPr>
            <w:tcW w:w="1205" w:type="dxa"/>
          </w:tcPr>
          <w:p w14:paraId="4A7D1D2E"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.043</w:t>
            </w:r>
          </w:p>
        </w:tc>
      </w:tr>
      <w:tr w:rsidR="00CA2C63" w:rsidRPr="00CA2C63" w14:paraId="559635A9" w14:textId="77777777" w:rsidTr="00CA2C63">
        <w:trPr>
          <w:gridBefore w:val="1"/>
          <w:wBefore w:w="11" w:type="dxa"/>
        </w:trPr>
        <w:tc>
          <w:tcPr>
            <w:tcW w:w="4525" w:type="dxa"/>
            <w:vAlign w:val="center"/>
            <w:hideMark/>
          </w:tcPr>
          <w:p w14:paraId="5ADF3825"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Text type: Other</w:t>
            </w:r>
          </w:p>
        </w:tc>
        <w:tc>
          <w:tcPr>
            <w:tcW w:w="1205" w:type="dxa"/>
          </w:tcPr>
          <w:p w14:paraId="4079DBC7"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1DF13032"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8D2ABE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-.022</w:t>
            </w:r>
          </w:p>
        </w:tc>
        <w:tc>
          <w:tcPr>
            <w:tcW w:w="1205" w:type="dxa"/>
          </w:tcPr>
          <w:p w14:paraId="5519B08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.036</w:t>
            </w:r>
          </w:p>
        </w:tc>
      </w:tr>
      <w:tr w:rsidR="00CA2C63" w:rsidRPr="00CA2C63" w14:paraId="0A9FC6F2" w14:textId="77777777" w:rsidTr="00CA2C63">
        <w:trPr>
          <w:gridBefore w:val="1"/>
          <w:wBefore w:w="11" w:type="dxa"/>
        </w:trPr>
        <w:tc>
          <w:tcPr>
            <w:tcW w:w="4525" w:type="dxa"/>
            <w:vAlign w:val="center"/>
          </w:tcPr>
          <w:p w14:paraId="7E956F94"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Measurement with scale</w:t>
            </w:r>
          </w:p>
        </w:tc>
        <w:tc>
          <w:tcPr>
            <w:tcW w:w="1205" w:type="dxa"/>
          </w:tcPr>
          <w:p w14:paraId="45E68324"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3741D804"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408E66B"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.014</w:t>
            </w:r>
          </w:p>
        </w:tc>
        <w:tc>
          <w:tcPr>
            <w:tcW w:w="1205" w:type="dxa"/>
          </w:tcPr>
          <w:p w14:paraId="147C9654"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.042</w:t>
            </w:r>
          </w:p>
        </w:tc>
      </w:tr>
      <w:tr w:rsidR="00CA2C63" w:rsidRPr="00CA2C63" w14:paraId="1BC24DC3" w14:textId="77777777" w:rsidTr="00CA2C63">
        <w:trPr>
          <w:gridBefore w:val="1"/>
          <w:wBefore w:w="11" w:type="dxa"/>
        </w:trPr>
        <w:tc>
          <w:tcPr>
            <w:tcW w:w="4525" w:type="dxa"/>
            <w:vAlign w:val="center"/>
            <w:hideMark/>
          </w:tcPr>
          <w:p w14:paraId="2E9FEEC2" w14:textId="77777777" w:rsidR="00CA2C63" w:rsidRPr="00CA2C63" w:rsidRDefault="00CA2C63" w:rsidP="00CA2C63">
            <w:pPr>
              <w:spacing w:line="240" w:lineRule="auto"/>
              <w:rPr>
                <w:rFonts w:eastAsia="Arial"/>
                <w:b/>
                <w:i/>
                <w:sz w:val="20"/>
                <w:szCs w:val="20"/>
                <w:lang w:val="en-US"/>
              </w:rPr>
            </w:pPr>
            <w:r w:rsidRPr="00CA2C63">
              <w:rPr>
                <w:rFonts w:eastAsia="Arial"/>
                <w:b/>
                <w:i/>
                <w:sz w:val="20"/>
                <w:szCs w:val="20"/>
                <w:lang w:val="en-US"/>
              </w:rPr>
              <w:t>Sample Characteristics</w:t>
            </w:r>
          </w:p>
        </w:tc>
        <w:tc>
          <w:tcPr>
            <w:tcW w:w="1205" w:type="dxa"/>
          </w:tcPr>
          <w:p w14:paraId="48974ED6"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6FB830B8"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0831FFE7" w14:textId="77777777" w:rsidR="00CA2C63" w:rsidRPr="00CA2C63" w:rsidRDefault="00CA2C63" w:rsidP="00CA2C63">
            <w:pPr>
              <w:spacing w:line="240" w:lineRule="auto"/>
              <w:jc w:val="center"/>
              <w:rPr>
                <w:color w:val="000000"/>
                <w:sz w:val="20"/>
                <w:szCs w:val="20"/>
                <w:lang w:val="en-US"/>
              </w:rPr>
            </w:pPr>
          </w:p>
        </w:tc>
        <w:tc>
          <w:tcPr>
            <w:tcW w:w="1205" w:type="dxa"/>
          </w:tcPr>
          <w:p w14:paraId="0132FA8B" w14:textId="77777777" w:rsidR="00CA2C63" w:rsidRPr="00CA2C63" w:rsidRDefault="00CA2C63" w:rsidP="00CA2C63">
            <w:pPr>
              <w:spacing w:line="240" w:lineRule="auto"/>
              <w:jc w:val="center"/>
              <w:rPr>
                <w:color w:val="000000"/>
                <w:sz w:val="20"/>
                <w:szCs w:val="20"/>
                <w:lang w:val="en-US"/>
              </w:rPr>
            </w:pPr>
          </w:p>
        </w:tc>
      </w:tr>
      <w:tr w:rsidR="00CA2C63" w:rsidRPr="00CA2C63" w14:paraId="47A8E04A" w14:textId="77777777" w:rsidTr="00CA2C63">
        <w:trPr>
          <w:gridBefore w:val="1"/>
          <w:wBefore w:w="11" w:type="dxa"/>
        </w:trPr>
        <w:tc>
          <w:tcPr>
            <w:tcW w:w="4525" w:type="dxa"/>
            <w:vAlign w:val="center"/>
            <w:hideMark/>
          </w:tcPr>
          <w:p w14:paraId="082DEC37"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 xml:space="preserve">Students (vs. non-student) sample </w:t>
            </w:r>
          </w:p>
        </w:tc>
        <w:tc>
          <w:tcPr>
            <w:tcW w:w="1205" w:type="dxa"/>
          </w:tcPr>
          <w:p w14:paraId="64CBA5B3"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3A0B08F"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6A24F1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.010</w:t>
            </w:r>
          </w:p>
        </w:tc>
        <w:tc>
          <w:tcPr>
            <w:tcW w:w="1205" w:type="dxa"/>
          </w:tcPr>
          <w:p w14:paraId="4BC109FC"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.052</w:t>
            </w:r>
          </w:p>
        </w:tc>
      </w:tr>
      <w:tr w:rsidR="00CA2C63" w:rsidRPr="00CA2C63" w14:paraId="6E6B8F96" w14:textId="77777777" w:rsidTr="00CA2C63">
        <w:trPr>
          <w:gridBefore w:val="1"/>
          <w:wBefore w:w="11" w:type="dxa"/>
        </w:trPr>
        <w:tc>
          <w:tcPr>
            <w:tcW w:w="4525" w:type="dxa"/>
            <w:vAlign w:val="center"/>
            <w:hideMark/>
          </w:tcPr>
          <w:p w14:paraId="34B14542"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Age</w:t>
            </w:r>
          </w:p>
        </w:tc>
        <w:tc>
          <w:tcPr>
            <w:tcW w:w="1205" w:type="dxa"/>
          </w:tcPr>
          <w:p w14:paraId="0FBACEAB"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0C9739DC"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20936831" w14:textId="07DF502C" w:rsidR="00CA2C63" w:rsidRPr="00CA2C63" w:rsidRDefault="00F168CD" w:rsidP="00CA2C63">
            <w:pPr>
              <w:spacing w:line="240" w:lineRule="auto"/>
              <w:jc w:val="center"/>
              <w:rPr>
                <w:color w:val="000000"/>
                <w:sz w:val="20"/>
                <w:szCs w:val="20"/>
                <w:lang w:val="en-US"/>
              </w:rPr>
            </w:pPr>
            <w:r>
              <w:rPr>
                <w:color w:val="000000"/>
                <w:sz w:val="20"/>
                <w:szCs w:val="20"/>
                <w:lang w:val="en-US"/>
              </w:rPr>
              <w:t>.006^</w:t>
            </w:r>
            <w:bookmarkStart w:id="18" w:name="_GoBack"/>
            <w:bookmarkEnd w:id="18"/>
          </w:p>
        </w:tc>
        <w:tc>
          <w:tcPr>
            <w:tcW w:w="1205" w:type="dxa"/>
          </w:tcPr>
          <w:p w14:paraId="5210ED47"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.003</w:t>
            </w:r>
          </w:p>
        </w:tc>
      </w:tr>
      <w:tr w:rsidR="00CA2C63" w:rsidRPr="00CA2C63" w14:paraId="0743CF8D" w14:textId="77777777" w:rsidTr="00CA2C63">
        <w:trPr>
          <w:gridBefore w:val="1"/>
          <w:wBefore w:w="11" w:type="dxa"/>
        </w:trPr>
        <w:tc>
          <w:tcPr>
            <w:tcW w:w="4525" w:type="dxa"/>
            <w:vAlign w:val="center"/>
            <w:hideMark/>
          </w:tcPr>
          <w:p w14:paraId="2F7062AE"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Female</w:t>
            </w:r>
          </w:p>
        </w:tc>
        <w:tc>
          <w:tcPr>
            <w:tcW w:w="1205" w:type="dxa"/>
          </w:tcPr>
          <w:p w14:paraId="05868A5A"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157649B5"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75F66244" w14:textId="70236670"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.004**</w:t>
            </w:r>
          </w:p>
        </w:tc>
        <w:tc>
          <w:tcPr>
            <w:tcW w:w="1205" w:type="dxa"/>
          </w:tcPr>
          <w:p w14:paraId="0824CFC8"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.001</w:t>
            </w:r>
          </w:p>
        </w:tc>
      </w:tr>
      <w:tr w:rsidR="00CA2C63" w:rsidRPr="00CA2C63" w14:paraId="0A8D5271" w14:textId="77777777" w:rsidTr="00CA2C63">
        <w:trPr>
          <w:gridBefore w:val="1"/>
          <w:wBefore w:w="11" w:type="dxa"/>
        </w:trPr>
        <w:tc>
          <w:tcPr>
            <w:tcW w:w="4525" w:type="dxa"/>
            <w:vAlign w:val="center"/>
            <w:hideMark/>
          </w:tcPr>
          <w:p w14:paraId="4F7E07EC"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Sample size</w:t>
            </w:r>
          </w:p>
        </w:tc>
        <w:tc>
          <w:tcPr>
            <w:tcW w:w="1205" w:type="dxa"/>
          </w:tcPr>
          <w:p w14:paraId="3102CF50"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3D7FD17"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20152AB5" w14:textId="116C7522"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-.043**</w:t>
            </w:r>
          </w:p>
        </w:tc>
        <w:tc>
          <w:tcPr>
            <w:tcW w:w="1205" w:type="dxa"/>
          </w:tcPr>
          <w:p w14:paraId="671422F1"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.014</w:t>
            </w:r>
          </w:p>
        </w:tc>
      </w:tr>
      <w:tr w:rsidR="00CA2C63" w:rsidRPr="00CA2C63" w14:paraId="39D7BD2D" w14:textId="77777777" w:rsidTr="00CA2C63">
        <w:trPr>
          <w:gridBefore w:val="1"/>
          <w:wBefore w:w="11" w:type="dxa"/>
        </w:trPr>
        <w:tc>
          <w:tcPr>
            <w:tcW w:w="4525" w:type="dxa"/>
            <w:vAlign w:val="center"/>
            <w:hideMark/>
          </w:tcPr>
          <w:p w14:paraId="6AA07930" w14:textId="77777777" w:rsidR="00CA2C63" w:rsidRPr="00CA2C63" w:rsidRDefault="00CA2C63" w:rsidP="00CA2C63">
            <w:pPr>
              <w:spacing w:line="240" w:lineRule="auto"/>
              <w:rPr>
                <w:color w:val="000000"/>
                <w:sz w:val="20"/>
                <w:szCs w:val="20"/>
                <w:lang w:val="en-US"/>
              </w:rPr>
            </w:pPr>
            <w:r w:rsidRPr="00CA2C63">
              <w:rPr>
                <w:rFonts w:eastAsia="Arial"/>
                <w:b/>
                <w:i/>
                <w:sz w:val="20"/>
                <w:szCs w:val="20"/>
                <w:lang w:val="en-US"/>
              </w:rPr>
              <w:t>Publication Characteristics</w:t>
            </w:r>
          </w:p>
        </w:tc>
        <w:tc>
          <w:tcPr>
            <w:tcW w:w="1205" w:type="dxa"/>
          </w:tcPr>
          <w:p w14:paraId="295612DC"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661E5564"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34BEC481" w14:textId="77777777" w:rsidR="00CA2C63" w:rsidRPr="00CA2C63" w:rsidRDefault="00CA2C63" w:rsidP="00CA2C63">
            <w:pPr>
              <w:spacing w:line="240" w:lineRule="auto"/>
              <w:jc w:val="center"/>
              <w:rPr>
                <w:color w:val="000000"/>
                <w:sz w:val="20"/>
                <w:szCs w:val="20"/>
                <w:lang w:val="en-US"/>
              </w:rPr>
            </w:pPr>
          </w:p>
        </w:tc>
        <w:tc>
          <w:tcPr>
            <w:tcW w:w="1205" w:type="dxa"/>
          </w:tcPr>
          <w:p w14:paraId="15856747" w14:textId="77777777" w:rsidR="00CA2C63" w:rsidRPr="00CA2C63" w:rsidRDefault="00CA2C63" w:rsidP="00CA2C63">
            <w:pPr>
              <w:spacing w:line="240" w:lineRule="auto"/>
              <w:jc w:val="center"/>
              <w:rPr>
                <w:color w:val="000000"/>
                <w:sz w:val="20"/>
                <w:szCs w:val="20"/>
                <w:lang w:val="en-US"/>
              </w:rPr>
            </w:pPr>
          </w:p>
        </w:tc>
      </w:tr>
      <w:tr w:rsidR="00CA2C63" w:rsidRPr="00CA2C63" w14:paraId="58131D7C" w14:textId="77777777" w:rsidTr="00CA2C63">
        <w:trPr>
          <w:gridBefore w:val="1"/>
          <w:wBefore w:w="11" w:type="dxa"/>
        </w:trPr>
        <w:tc>
          <w:tcPr>
            <w:tcW w:w="4525" w:type="dxa"/>
            <w:vAlign w:val="center"/>
            <w:hideMark/>
          </w:tcPr>
          <w:p w14:paraId="24812B89" w14:textId="77777777" w:rsidR="00CA2C63" w:rsidRPr="00CA2C63" w:rsidRDefault="00CA2C63" w:rsidP="00CA2C63">
            <w:pPr>
              <w:spacing w:line="240" w:lineRule="auto"/>
              <w:ind w:left="142"/>
              <w:rPr>
                <w:rFonts w:eastAsia="Arial"/>
                <w:b/>
                <w:i/>
                <w:sz w:val="20"/>
                <w:szCs w:val="20"/>
                <w:lang w:val="en-US"/>
              </w:rPr>
            </w:pPr>
            <w:r w:rsidRPr="00CA2C63">
              <w:rPr>
                <w:color w:val="000000"/>
                <w:sz w:val="20"/>
                <w:szCs w:val="20"/>
                <w:lang w:val="en-US"/>
              </w:rPr>
              <w:t>Unpublished (vs. published) study</w:t>
            </w:r>
          </w:p>
        </w:tc>
        <w:tc>
          <w:tcPr>
            <w:tcW w:w="1205" w:type="dxa"/>
          </w:tcPr>
          <w:p w14:paraId="0A6FE57D"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01C3A12A"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90A76F0"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.051</w:t>
            </w:r>
          </w:p>
        </w:tc>
        <w:tc>
          <w:tcPr>
            <w:tcW w:w="1205" w:type="dxa"/>
          </w:tcPr>
          <w:p w14:paraId="3181B540"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.043</w:t>
            </w:r>
          </w:p>
        </w:tc>
      </w:tr>
      <w:tr w:rsidR="00CA2C63" w:rsidRPr="00CA2C63" w14:paraId="07A6D26D" w14:textId="77777777" w:rsidTr="00CA2C63">
        <w:trPr>
          <w:gridBefore w:val="1"/>
          <w:wBefore w:w="11" w:type="dxa"/>
        </w:trPr>
        <w:tc>
          <w:tcPr>
            <w:tcW w:w="4525" w:type="dxa"/>
            <w:vAlign w:val="center"/>
            <w:hideMark/>
          </w:tcPr>
          <w:p w14:paraId="705EF197"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Journal impact factor</w:t>
            </w:r>
          </w:p>
        </w:tc>
        <w:tc>
          <w:tcPr>
            <w:tcW w:w="1205" w:type="dxa"/>
          </w:tcPr>
          <w:p w14:paraId="05671C01"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FAA0670"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18C5D9BF" w14:textId="431C8195" w:rsidR="00CA2C63" w:rsidRPr="00CA2C63" w:rsidRDefault="00CA2C63" w:rsidP="00F168CD">
            <w:pPr>
              <w:spacing w:line="240" w:lineRule="auto"/>
              <w:jc w:val="center"/>
              <w:rPr>
                <w:color w:val="000000"/>
                <w:sz w:val="20"/>
                <w:szCs w:val="20"/>
                <w:lang w:val="en-US"/>
              </w:rPr>
            </w:pPr>
            <w:r w:rsidRPr="00CA2C63">
              <w:rPr>
                <w:color w:val="000000"/>
                <w:sz w:val="20"/>
                <w:szCs w:val="20"/>
                <w:lang w:val="en-US"/>
              </w:rPr>
              <w:t>-.012*</w:t>
            </w:r>
          </w:p>
        </w:tc>
        <w:tc>
          <w:tcPr>
            <w:tcW w:w="1205" w:type="dxa"/>
          </w:tcPr>
          <w:p w14:paraId="793F2CCE"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.006</w:t>
            </w:r>
          </w:p>
        </w:tc>
      </w:tr>
      <w:tr w:rsidR="00CA2C63" w:rsidRPr="00CA2C63" w14:paraId="76F63A75" w14:textId="77777777" w:rsidTr="00CA2C63">
        <w:trPr>
          <w:gridBefore w:val="1"/>
          <w:wBefore w:w="11" w:type="dxa"/>
        </w:trPr>
        <w:tc>
          <w:tcPr>
            <w:tcW w:w="4525" w:type="dxa"/>
            <w:vAlign w:val="center"/>
            <w:hideMark/>
          </w:tcPr>
          <w:p w14:paraId="25E34F2E" w14:textId="77777777" w:rsidR="00CA2C63" w:rsidRPr="00CA2C63" w:rsidRDefault="00CA2C63" w:rsidP="00CA2C63">
            <w:pPr>
              <w:spacing w:line="240" w:lineRule="auto"/>
              <w:ind w:left="142"/>
              <w:rPr>
                <w:color w:val="000000"/>
                <w:sz w:val="20"/>
                <w:szCs w:val="20"/>
                <w:lang w:val="en-US"/>
              </w:rPr>
            </w:pPr>
            <w:r w:rsidRPr="00CA2C63">
              <w:rPr>
                <w:color w:val="000000"/>
                <w:sz w:val="20"/>
                <w:szCs w:val="20"/>
                <w:lang w:val="en-US"/>
              </w:rPr>
              <w:t>Year</w:t>
            </w:r>
          </w:p>
        </w:tc>
        <w:tc>
          <w:tcPr>
            <w:tcW w:w="1205" w:type="dxa"/>
          </w:tcPr>
          <w:p w14:paraId="1C61584D"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D854B7A"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5DAD686D"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.002</w:t>
            </w:r>
          </w:p>
        </w:tc>
        <w:tc>
          <w:tcPr>
            <w:tcW w:w="1205" w:type="dxa"/>
          </w:tcPr>
          <w:p w14:paraId="608C0705" w14:textId="77777777" w:rsidR="00CA2C63" w:rsidRPr="00CA2C63" w:rsidRDefault="00CA2C63" w:rsidP="00CA2C63">
            <w:pPr>
              <w:spacing w:line="240" w:lineRule="auto"/>
              <w:jc w:val="center"/>
              <w:rPr>
                <w:color w:val="000000"/>
                <w:sz w:val="20"/>
                <w:szCs w:val="20"/>
                <w:lang w:val="en-US"/>
              </w:rPr>
            </w:pPr>
            <w:r w:rsidRPr="00CA2C63">
              <w:rPr>
                <w:color w:val="000000"/>
                <w:sz w:val="20"/>
                <w:szCs w:val="20"/>
                <w:lang w:val="en-US"/>
              </w:rPr>
              <w:t>.002</w:t>
            </w:r>
          </w:p>
        </w:tc>
      </w:tr>
      <w:tr w:rsidR="00CA2C63" w:rsidRPr="00CA2C63" w14:paraId="222460F8" w14:textId="77777777" w:rsidTr="00CA2C63">
        <w:trPr>
          <w:gridBefore w:val="1"/>
          <w:wBefore w:w="11" w:type="dxa"/>
        </w:trPr>
        <w:tc>
          <w:tcPr>
            <w:tcW w:w="4525" w:type="dxa"/>
            <w:vAlign w:val="center"/>
          </w:tcPr>
          <w:p w14:paraId="5F2D8D11" w14:textId="77777777" w:rsidR="00CA2C63" w:rsidRPr="00CA2C63" w:rsidRDefault="00CA2C63" w:rsidP="00CA2C63">
            <w:pPr>
              <w:spacing w:line="240" w:lineRule="auto"/>
              <w:ind w:left="142"/>
              <w:rPr>
                <w:color w:val="000000"/>
                <w:sz w:val="20"/>
                <w:szCs w:val="20"/>
                <w:lang w:val="en-US"/>
              </w:rPr>
            </w:pPr>
          </w:p>
        </w:tc>
        <w:tc>
          <w:tcPr>
            <w:tcW w:w="1205" w:type="dxa"/>
          </w:tcPr>
          <w:p w14:paraId="7189BB09"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4BD93DC2" w14:textId="77777777" w:rsidR="00CA2C63" w:rsidRPr="00CA2C63" w:rsidRDefault="00CA2C63" w:rsidP="00CA2C63">
            <w:pPr>
              <w:spacing w:line="240" w:lineRule="auto"/>
              <w:jc w:val="center"/>
              <w:rPr>
                <w:color w:val="000000"/>
                <w:sz w:val="20"/>
                <w:szCs w:val="20"/>
                <w:highlight w:val="yellow"/>
                <w:lang w:val="en-US"/>
              </w:rPr>
            </w:pPr>
          </w:p>
        </w:tc>
        <w:tc>
          <w:tcPr>
            <w:tcW w:w="1205" w:type="dxa"/>
          </w:tcPr>
          <w:p w14:paraId="68230E1F" w14:textId="77777777" w:rsidR="00CA2C63" w:rsidRPr="00CA2C63" w:rsidRDefault="00CA2C63" w:rsidP="00CA2C63">
            <w:pPr>
              <w:spacing w:line="240" w:lineRule="auto"/>
              <w:jc w:val="center"/>
              <w:rPr>
                <w:color w:val="000000"/>
                <w:sz w:val="20"/>
                <w:szCs w:val="20"/>
                <w:lang w:val="en-US"/>
              </w:rPr>
            </w:pPr>
          </w:p>
        </w:tc>
        <w:tc>
          <w:tcPr>
            <w:tcW w:w="1205" w:type="dxa"/>
          </w:tcPr>
          <w:p w14:paraId="23E1A284" w14:textId="77777777" w:rsidR="00CA2C63" w:rsidRPr="00CA2C63" w:rsidRDefault="00CA2C63" w:rsidP="00CA2C63">
            <w:pPr>
              <w:spacing w:line="240" w:lineRule="auto"/>
              <w:jc w:val="center"/>
              <w:rPr>
                <w:color w:val="000000"/>
                <w:sz w:val="20"/>
                <w:szCs w:val="20"/>
                <w:lang w:val="en-US"/>
              </w:rPr>
            </w:pPr>
          </w:p>
        </w:tc>
      </w:tr>
      <w:tr w:rsidR="00CA2C63" w:rsidRPr="00CA2C63" w14:paraId="4FDEDE54" w14:textId="77777777" w:rsidTr="00CA2C63">
        <w:trPr>
          <w:gridBefore w:val="1"/>
          <w:wBefore w:w="11" w:type="dxa"/>
        </w:trPr>
        <w:tc>
          <w:tcPr>
            <w:tcW w:w="4525" w:type="dxa"/>
            <w:vAlign w:val="center"/>
          </w:tcPr>
          <w:p w14:paraId="68A8DAB7" w14:textId="77777777" w:rsidR="00CA2C63" w:rsidRPr="00CA2C63" w:rsidRDefault="00CA2C63" w:rsidP="00CA2C63">
            <w:pPr>
              <w:spacing w:line="240" w:lineRule="auto"/>
              <w:rPr>
                <w:color w:val="000000"/>
                <w:sz w:val="20"/>
                <w:szCs w:val="20"/>
                <w:lang w:val="en-US"/>
              </w:rPr>
            </w:pPr>
            <w:r w:rsidRPr="00CA2C63">
              <w:rPr>
                <w:color w:val="000000"/>
                <w:sz w:val="20"/>
                <w:szCs w:val="20"/>
                <w:lang w:val="en-US"/>
              </w:rPr>
              <w:t>Pseudo R</w:t>
            </w:r>
            <w:r w:rsidRPr="00CA2C63">
              <w:rPr>
                <w:color w:val="000000"/>
                <w:sz w:val="20"/>
                <w:szCs w:val="20"/>
                <w:vertAlign w:val="superscript"/>
                <w:lang w:val="en-US"/>
              </w:rPr>
              <w:t>2</w:t>
            </w:r>
          </w:p>
        </w:tc>
        <w:tc>
          <w:tcPr>
            <w:tcW w:w="2410" w:type="dxa"/>
            <w:gridSpan w:val="2"/>
            <w:vAlign w:val="center"/>
          </w:tcPr>
          <w:p w14:paraId="30DB8968" w14:textId="77777777" w:rsidR="00CA2C63" w:rsidRPr="00CA2C63" w:rsidRDefault="00CA2C63" w:rsidP="00CA2C63">
            <w:pPr>
              <w:spacing w:line="240" w:lineRule="auto"/>
              <w:jc w:val="center"/>
              <w:rPr>
                <w:color w:val="000000"/>
                <w:sz w:val="20"/>
                <w:szCs w:val="20"/>
                <w:lang w:val="en-US"/>
              </w:rPr>
            </w:pPr>
            <w:r w:rsidRPr="00CA2C63">
              <w:rPr>
                <w:rFonts w:eastAsia="Arial"/>
                <w:sz w:val="20"/>
                <w:szCs w:val="20"/>
                <w:lang w:val="en-US"/>
              </w:rPr>
              <w:t>.17</w:t>
            </w:r>
          </w:p>
        </w:tc>
        <w:tc>
          <w:tcPr>
            <w:tcW w:w="2410" w:type="dxa"/>
            <w:gridSpan w:val="2"/>
          </w:tcPr>
          <w:p w14:paraId="713315F9" w14:textId="77777777" w:rsidR="00CA2C63" w:rsidRPr="00CA2C63" w:rsidRDefault="00CA2C63" w:rsidP="00CA2C63">
            <w:pPr>
              <w:spacing w:line="240" w:lineRule="auto"/>
              <w:jc w:val="center"/>
              <w:rPr>
                <w:color w:val="000000"/>
                <w:sz w:val="20"/>
                <w:szCs w:val="20"/>
                <w:lang w:val="en-US"/>
              </w:rPr>
            </w:pPr>
            <w:r w:rsidRPr="00CA2C63">
              <w:rPr>
                <w:rFonts w:eastAsia="Arial"/>
                <w:sz w:val="20"/>
                <w:szCs w:val="20"/>
                <w:lang w:val="en-US"/>
              </w:rPr>
              <w:t>.38</w:t>
            </w:r>
          </w:p>
        </w:tc>
      </w:tr>
      <w:tr w:rsidR="00CA2C63" w:rsidRPr="00CA2C63" w14:paraId="3F65DBAC" w14:textId="77777777" w:rsidTr="00CA2C63">
        <w:trPr>
          <w:gridBefore w:val="1"/>
          <w:wBefore w:w="11" w:type="dxa"/>
        </w:trPr>
        <w:tc>
          <w:tcPr>
            <w:tcW w:w="4525" w:type="dxa"/>
            <w:vAlign w:val="center"/>
          </w:tcPr>
          <w:p w14:paraId="34041382" w14:textId="77777777" w:rsidR="00CA2C63" w:rsidRPr="00CA2C63" w:rsidRDefault="00CA2C63" w:rsidP="00CA2C63">
            <w:pPr>
              <w:spacing w:line="240" w:lineRule="auto"/>
              <w:rPr>
                <w:color w:val="000000"/>
                <w:sz w:val="20"/>
                <w:szCs w:val="20"/>
                <w:lang w:val="en-US"/>
              </w:rPr>
            </w:pPr>
            <w:r w:rsidRPr="00CA2C63">
              <w:rPr>
                <w:color w:val="000000"/>
                <w:sz w:val="20"/>
                <w:szCs w:val="20"/>
                <w:lang w:val="en-US"/>
              </w:rPr>
              <w:t>Number of effects</w:t>
            </w:r>
          </w:p>
        </w:tc>
        <w:tc>
          <w:tcPr>
            <w:tcW w:w="2410" w:type="dxa"/>
            <w:gridSpan w:val="2"/>
            <w:vAlign w:val="center"/>
          </w:tcPr>
          <w:p w14:paraId="1B6D37A6" w14:textId="77777777" w:rsidR="00CA2C63" w:rsidRPr="00CA2C63" w:rsidRDefault="00CA2C63" w:rsidP="00CA2C63">
            <w:pPr>
              <w:spacing w:line="240" w:lineRule="auto"/>
              <w:jc w:val="center"/>
              <w:rPr>
                <w:color w:val="000000"/>
                <w:sz w:val="20"/>
                <w:szCs w:val="20"/>
                <w:highlight w:val="yellow"/>
                <w:lang w:val="en-US"/>
              </w:rPr>
            </w:pPr>
            <w:r w:rsidRPr="00CA2C63">
              <w:rPr>
                <w:rFonts w:eastAsia="Arial"/>
                <w:sz w:val="20"/>
                <w:szCs w:val="20"/>
                <w:lang w:val="en-US"/>
              </w:rPr>
              <w:t>229</w:t>
            </w:r>
          </w:p>
        </w:tc>
        <w:tc>
          <w:tcPr>
            <w:tcW w:w="2410" w:type="dxa"/>
            <w:gridSpan w:val="2"/>
          </w:tcPr>
          <w:p w14:paraId="47FC917A" w14:textId="77777777" w:rsidR="00CA2C63" w:rsidRPr="00CA2C63" w:rsidRDefault="00CA2C63" w:rsidP="00CA2C63">
            <w:pPr>
              <w:spacing w:line="240" w:lineRule="auto"/>
              <w:jc w:val="center"/>
              <w:rPr>
                <w:color w:val="000000"/>
                <w:sz w:val="20"/>
                <w:szCs w:val="20"/>
                <w:highlight w:val="yellow"/>
                <w:lang w:val="en-US"/>
              </w:rPr>
            </w:pPr>
            <w:r w:rsidRPr="00CA2C63">
              <w:rPr>
                <w:rFonts w:eastAsia="Arial"/>
                <w:sz w:val="20"/>
                <w:szCs w:val="20"/>
                <w:lang w:val="en-US"/>
              </w:rPr>
              <w:t>229</w:t>
            </w:r>
          </w:p>
        </w:tc>
      </w:tr>
      <w:tr w:rsidR="00CA2C63" w:rsidRPr="00CA2C63" w14:paraId="7D586CCA" w14:textId="77777777" w:rsidTr="00CA2C63">
        <w:trPr>
          <w:gridBefore w:val="1"/>
          <w:wBefore w:w="11" w:type="dxa"/>
        </w:trPr>
        <w:tc>
          <w:tcPr>
            <w:tcW w:w="4525" w:type="dxa"/>
            <w:vAlign w:val="center"/>
          </w:tcPr>
          <w:p w14:paraId="41A933F8" w14:textId="77777777" w:rsidR="00CA2C63" w:rsidRPr="00CA2C63" w:rsidRDefault="00CA2C63" w:rsidP="00CA2C63">
            <w:pPr>
              <w:spacing w:line="240" w:lineRule="auto"/>
              <w:rPr>
                <w:color w:val="000000"/>
                <w:sz w:val="20"/>
                <w:szCs w:val="20"/>
                <w:lang w:val="en-US"/>
              </w:rPr>
            </w:pPr>
            <w:r w:rsidRPr="00CA2C63">
              <w:rPr>
                <w:color w:val="000000"/>
                <w:sz w:val="20"/>
                <w:szCs w:val="20"/>
                <w:lang w:val="en-US"/>
              </w:rPr>
              <w:t xml:space="preserve">Number of studies </w:t>
            </w:r>
          </w:p>
        </w:tc>
        <w:tc>
          <w:tcPr>
            <w:tcW w:w="2410" w:type="dxa"/>
            <w:gridSpan w:val="2"/>
            <w:vAlign w:val="center"/>
          </w:tcPr>
          <w:p w14:paraId="133B8CCF" w14:textId="77777777" w:rsidR="00CA2C63" w:rsidRPr="00CA2C63" w:rsidRDefault="00CA2C63" w:rsidP="00CA2C63">
            <w:pPr>
              <w:spacing w:line="240" w:lineRule="auto"/>
              <w:jc w:val="center"/>
              <w:rPr>
                <w:color w:val="000000"/>
                <w:sz w:val="20"/>
                <w:szCs w:val="20"/>
                <w:highlight w:val="yellow"/>
                <w:lang w:val="en-US"/>
              </w:rPr>
            </w:pPr>
            <w:r w:rsidRPr="00CA2C63">
              <w:rPr>
                <w:rFonts w:eastAsia="Arial"/>
                <w:sz w:val="20"/>
                <w:szCs w:val="20"/>
                <w:lang w:val="en-US"/>
              </w:rPr>
              <w:t>129</w:t>
            </w:r>
          </w:p>
        </w:tc>
        <w:tc>
          <w:tcPr>
            <w:tcW w:w="2410" w:type="dxa"/>
            <w:gridSpan w:val="2"/>
          </w:tcPr>
          <w:p w14:paraId="6E95A143" w14:textId="77777777" w:rsidR="00CA2C63" w:rsidRPr="00CA2C63" w:rsidRDefault="00CA2C63" w:rsidP="00CA2C63">
            <w:pPr>
              <w:spacing w:line="240" w:lineRule="auto"/>
              <w:jc w:val="center"/>
              <w:rPr>
                <w:color w:val="000000"/>
                <w:sz w:val="20"/>
                <w:szCs w:val="20"/>
                <w:highlight w:val="yellow"/>
                <w:lang w:val="en-US"/>
              </w:rPr>
            </w:pPr>
            <w:r w:rsidRPr="00CA2C63">
              <w:rPr>
                <w:rFonts w:eastAsia="Arial"/>
                <w:sz w:val="20"/>
                <w:szCs w:val="20"/>
                <w:lang w:val="en-US"/>
              </w:rPr>
              <w:t>129</w:t>
            </w:r>
          </w:p>
        </w:tc>
      </w:tr>
      <w:tr w:rsidR="00CA2C63" w:rsidRPr="00CA2C63" w14:paraId="099697BF" w14:textId="77777777" w:rsidTr="00CA2C63">
        <w:trPr>
          <w:gridBefore w:val="1"/>
          <w:wBefore w:w="11" w:type="dxa"/>
        </w:trPr>
        <w:tc>
          <w:tcPr>
            <w:tcW w:w="4525" w:type="dxa"/>
            <w:tcBorders>
              <w:bottom w:val="single" w:sz="4" w:space="0" w:color="auto"/>
            </w:tcBorders>
            <w:vAlign w:val="center"/>
          </w:tcPr>
          <w:p w14:paraId="44527F7D" w14:textId="77777777" w:rsidR="00CA2C63" w:rsidRPr="00CA2C63" w:rsidRDefault="00CA2C63" w:rsidP="00CA2C63">
            <w:pPr>
              <w:spacing w:line="240" w:lineRule="auto"/>
              <w:rPr>
                <w:color w:val="000000"/>
                <w:sz w:val="20"/>
                <w:szCs w:val="20"/>
                <w:lang w:val="en-US"/>
              </w:rPr>
            </w:pPr>
            <w:r w:rsidRPr="00CA2C63">
              <w:rPr>
                <w:color w:val="000000"/>
                <w:sz w:val="20"/>
                <w:szCs w:val="20"/>
                <w:lang w:val="en-US"/>
              </w:rPr>
              <w:t>ICC</w:t>
            </w:r>
          </w:p>
        </w:tc>
        <w:tc>
          <w:tcPr>
            <w:tcW w:w="2410" w:type="dxa"/>
            <w:gridSpan w:val="2"/>
            <w:tcBorders>
              <w:bottom w:val="single" w:sz="4" w:space="0" w:color="auto"/>
            </w:tcBorders>
            <w:vAlign w:val="center"/>
          </w:tcPr>
          <w:p w14:paraId="2BF1ACDD" w14:textId="77777777" w:rsidR="00CA2C63" w:rsidRPr="00CA2C63" w:rsidRDefault="00CA2C63" w:rsidP="00CA2C63">
            <w:pPr>
              <w:spacing w:line="240" w:lineRule="auto"/>
              <w:jc w:val="center"/>
              <w:rPr>
                <w:color w:val="000000"/>
                <w:sz w:val="20"/>
                <w:szCs w:val="20"/>
                <w:highlight w:val="yellow"/>
                <w:lang w:val="en-US"/>
              </w:rPr>
            </w:pPr>
            <w:r w:rsidRPr="00CA2C63">
              <w:rPr>
                <w:rFonts w:eastAsia="Arial"/>
                <w:sz w:val="20"/>
                <w:szCs w:val="20"/>
                <w:lang w:val="en-US"/>
              </w:rPr>
              <w:t>.65</w:t>
            </w:r>
          </w:p>
        </w:tc>
        <w:tc>
          <w:tcPr>
            <w:tcW w:w="2410" w:type="dxa"/>
            <w:gridSpan w:val="2"/>
            <w:tcBorders>
              <w:bottom w:val="single" w:sz="4" w:space="0" w:color="auto"/>
            </w:tcBorders>
          </w:tcPr>
          <w:p w14:paraId="71815494" w14:textId="77777777" w:rsidR="00CA2C63" w:rsidRPr="00CA2C63" w:rsidRDefault="00CA2C63" w:rsidP="00CA2C63">
            <w:pPr>
              <w:spacing w:line="240" w:lineRule="auto"/>
              <w:jc w:val="center"/>
              <w:rPr>
                <w:color w:val="000000"/>
                <w:sz w:val="20"/>
                <w:szCs w:val="20"/>
                <w:highlight w:val="yellow"/>
                <w:lang w:val="en-US"/>
              </w:rPr>
            </w:pPr>
            <w:r w:rsidRPr="00CA2C63">
              <w:rPr>
                <w:rFonts w:eastAsia="Arial"/>
                <w:sz w:val="20"/>
                <w:szCs w:val="20"/>
                <w:lang w:val="en-US"/>
              </w:rPr>
              <w:t>.65</w:t>
            </w:r>
          </w:p>
        </w:tc>
      </w:tr>
    </w:tbl>
    <w:p w14:paraId="2AB25306" w14:textId="533AE366" w:rsidR="00CA2C63" w:rsidRPr="00CA2C63" w:rsidRDefault="00F168CD" w:rsidP="00CA2C63">
      <w:pPr>
        <w:spacing w:before="120" w:line="240" w:lineRule="auto"/>
        <w:rPr>
          <w:rFonts w:eastAsia="Arial" w:cs="Times New Roman"/>
          <w:sz w:val="20"/>
          <w:szCs w:val="20"/>
          <w:lang w:val="en-US"/>
        </w:rPr>
      </w:pPr>
      <w:r w:rsidRPr="00DB7887">
        <w:rPr>
          <w:rFonts w:eastAsia="Calibri" w:cs="Times New Roman"/>
          <w:bCs/>
          <w:sz w:val="20"/>
          <w:szCs w:val="20"/>
          <w:lang w:val="en-US"/>
        </w:rPr>
        <w:t>**</w:t>
      </w:r>
      <w:r w:rsidRPr="0041477D">
        <w:rPr>
          <w:i/>
          <w:sz w:val="20"/>
          <w:lang w:val="en-US"/>
        </w:rPr>
        <w:t>p</w:t>
      </w:r>
      <w:r w:rsidRPr="00DB7887">
        <w:rPr>
          <w:rFonts w:eastAsia="Calibri" w:cs="Times New Roman"/>
          <w:bCs/>
          <w:sz w:val="20"/>
          <w:szCs w:val="20"/>
          <w:lang w:val="en-US"/>
        </w:rPr>
        <w:t xml:space="preserve"> &lt; .01, *</w:t>
      </w:r>
      <w:r w:rsidRPr="0041477D">
        <w:rPr>
          <w:i/>
          <w:sz w:val="20"/>
          <w:lang w:val="en-US"/>
        </w:rPr>
        <w:t>p</w:t>
      </w:r>
      <w:r w:rsidRPr="00DB7887">
        <w:rPr>
          <w:rFonts w:eastAsia="Calibri" w:cs="Times New Roman"/>
          <w:bCs/>
          <w:sz w:val="20"/>
          <w:szCs w:val="20"/>
          <w:lang w:val="en-US"/>
        </w:rPr>
        <w:t xml:space="preserve"> &lt; .05, </w:t>
      </w:r>
      <w:r>
        <w:rPr>
          <w:rFonts w:eastAsia="Calibri" w:cs="Times New Roman"/>
          <w:bCs/>
          <w:sz w:val="20"/>
          <w:szCs w:val="20"/>
          <w:lang w:val="en-US"/>
        </w:rPr>
        <w:t>^</w:t>
      </w:r>
      <w:r w:rsidRPr="0041477D">
        <w:rPr>
          <w:i/>
          <w:sz w:val="20"/>
          <w:lang w:val="en-US"/>
        </w:rPr>
        <w:t>p</w:t>
      </w:r>
      <w:r w:rsidRPr="00DB7887">
        <w:rPr>
          <w:rFonts w:eastAsia="Calibri" w:cs="Times New Roman"/>
          <w:bCs/>
          <w:sz w:val="20"/>
          <w:szCs w:val="20"/>
          <w:lang w:val="en-US"/>
        </w:rPr>
        <w:t xml:space="preserve"> &lt; .10.</w:t>
      </w:r>
      <w:r w:rsidR="00CA2C63" w:rsidRPr="00CA2C63">
        <w:rPr>
          <w:rFonts w:eastAsia="Arial" w:cs="Times New Roman"/>
          <w:sz w:val="20"/>
          <w:szCs w:val="20"/>
          <w:lang w:val="en-US"/>
        </w:rPr>
        <w:t xml:space="preserve"> Significance is based on two-tailed tests with robust standard errors. </w:t>
      </w:r>
    </w:p>
    <w:p w14:paraId="1627D257" w14:textId="77777777" w:rsidR="00CA2C63" w:rsidRPr="00CA2C63" w:rsidRDefault="00CA2C63" w:rsidP="00CA2C63">
      <w:pPr>
        <w:spacing w:line="240" w:lineRule="auto"/>
        <w:rPr>
          <w:rFonts w:eastAsia="Arial" w:cs="Times New Roman"/>
          <w:sz w:val="20"/>
          <w:szCs w:val="20"/>
          <w:lang w:val="en-US"/>
        </w:rPr>
      </w:pPr>
      <w:r w:rsidRPr="00CA2C63">
        <w:rPr>
          <w:rFonts w:eastAsia="Arial" w:cs="Times New Roman"/>
          <w:sz w:val="20"/>
          <w:szCs w:val="20"/>
          <w:lang w:val="en-US"/>
        </w:rPr>
        <w:t xml:space="preserve">Notes: The dependent variable is the reliability-corrected correlation. </w:t>
      </w:r>
    </w:p>
    <w:p w14:paraId="3278AD5D" w14:textId="77777777" w:rsidR="00CA2C63" w:rsidRDefault="00CA2C63" w:rsidP="00CA2C63">
      <w:pPr>
        <w:spacing w:line="240" w:lineRule="auto"/>
        <w:rPr>
          <w:rFonts w:eastAsia="Arial" w:cs="Times New Roman"/>
          <w:sz w:val="20"/>
          <w:szCs w:val="20"/>
          <w:lang w:val="en-US"/>
        </w:rPr>
      </w:pPr>
      <w:r w:rsidRPr="00CA2C63">
        <w:rPr>
          <w:rFonts w:eastAsia="Arial" w:cs="Times New Roman"/>
          <w:sz w:val="20"/>
          <w:szCs w:val="20"/>
          <w:vertAlign w:val="superscript"/>
          <w:lang w:val="en-US"/>
        </w:rPr>
        <w:t>a</w:t>
      </w:r>
      <w:r w:rsidRPr="00CA2C63">
        <w:rPr>
          <w:rFonts w:eastAsia="Arial" w:cs="Times New Roman"/>
          <w:sz w:val="20"/>
          <w:szCs w:val="20"/>
          <w:lang w:val="en-US"/>
        </w:rPr>
        <w:t>“General,” “attitude,” and “text type: ad” are base categories.</w:t>
      </w:r>
    </w:p>
    <w:p w14:paraId="39B43701" w14:textId="77777777" w:rsidR="00CF453B" w:rsidRDefault="00CA2C63" w:rsidP="00CA2C63">
      <w:pPr>
        <w:spacing w:line="240" w:lineRule="auto"/>
        <w:rPr>
          <w:rFonts w:eastAsia="Arial" w:cs="Times New Roman"/>
          <w:sz w:val="20"/>
          <w:szCs w:val="20"/>
          <w:lang w:val="en-US"/>
        </w:rPr>
        <w:sectPr w:rsidR="00CF453B" w:rsidSect="00CA2C63">
          <w:pgSz w:w="12242" w:h="15842" w:code="1"/>
          <w:pgMar w:top="1440" w:right="1440" w:bottom="1440" w:left="1440" w:header="709" w:footer="709" w:gutter="0"/>
          <w:cols w:space="708"/>
          <w:docGrid w:linePitch="360"/>
        </w:sectPr>
      </w:pPr>
      <w:r w:rsidRPr="00CA2C63">
        <w:rPr>
          <w:rFonts w:eastAsia="Arial" w:cs="Times New Roman"/>
          <w:sz w:val="20"/>
          <w:szCs w:val="20"/>
          <w:vertAlign w:val="superscript"/>
          <w:lang w:val="en-US"/>
        </w:rPr>
        <w:t>b</w:t>
      </w:r>
      <w:r w:rsidRPr="00CA2C63">
        <w:rPr>
          <w:rFonts w:eastAsia="Arial" w:cs="Times New Roman"/>
          <w:sz w:val="20"/>
          <w:szCs w:val="20"/>
          <w:lang w:val="en-US"/>
        </w:rPr>
        <w:t>Percentages refer to the respective information processing category.</w:t>
      </w:r>
    </w:p>
    <w:p w14:paraId="51AEFF9F" w14:textId="64AD2763" w:rsidR="00CF453B" w:rsidRPr="002D2D8C" w:rsidRDefault="00CF453B" w:rsidP="00CF453B">
      <w:pPr>
        <w:pStyle w:val="Heading2"/>
        <w:jc w:val="center"/>
        <w:rPr>
          <w:rFonts w:eastAsia="Calibri"/>
          <w:lang w:val="en-US"/>
        </w:rPr>
      </w:pPr>
      <w:bookmarkStart w:id="19" w:name="_Toc185425568"/>
      <w:r w:rsidRPr="004A66FA">
        <w:rPr>
          <w:rFonts w:eastAsia="Calibri"/>
          <w:lang w:val="en-US"/>
        </w:rPr>
        <w:t xml:space="preserve">Web Appendix </w:t>
      </w:r>
      <w:r>
        <w:rPr>
          <w:rFonts w:eastAsia="Calibri"/>
          <w:lang w:val="en-US"/>
        </w:rPr>
        <w:t>A9</w:t>
      </w:r>
      <w:r w:rsidRPr="004A66FA">
        <w:rPr>
          <w:rFonts w:eastAsia="Calibri"/>
          <w:lang w:val="en-US"/>
        </w:rPr>
        <w:t xml:space="preserve">. </w:t>
      </w:r>
      <w:r w:rsidRPr="00CF453B">
        <w:rPr>
          <w:rFonts w:eastAsia="Calibri"/>
          <w:lang w:val="en-US"/>
        </w:rPr>
        <w:t>Conceptual framework</w:t>
      </w:r>
      <w:r>
        <w:rPr>
          <w:rFonts w:eastAsia="Calibri"/>
          <w:lang w:val="en-US"/>
        </w:rPr>
        <w:t xml:space="preserve"> with results</w:t>
      </w:r>
      <w:bookmarkEnd w:id="19"/>
    </w:p>
    <w:p w14:paraId="44B4C206" w14:textId="77777777" w:rsidR="00CF453B" w:rsidRPr="00DB7887" w:rsidRDefault="00CF453B" w:rsidP="00CF453B">
      <w:pPr>
        <w:jc w:val="center"/>
        <w:rPr>
          <w:lang w:val="en-US"/>
        </w:rPr>
      </w:pPr>
    </w:p>
    <w:p w14:paraId="65843931" w14:textId="5CF4FD1E" w:rsidR="00CF453B" w:rsidRPr="00DB7887" w:rsidRDefault="00CF453B" w:rsidP="00CF453B">
      <w:pPr>
        <w:spacing w:after="160" w:line="259" w:lineRule="auto"/>
        <w:jc w:val="center"/>
        <w:rPr>
          <w:rFonts w:eastAsiaTheme="majorEastAsia" w:cstheme="majorBidi"/>
          <w:b/>
          <w:szCs w:val="24"/>
          <w:lang w:val="en-US"/>
        </w:rPr>
      </w:pPr>
      <w:r>
        <w:rPr>
          <w:rFonts w:eastAsiaTheme="majorEastAsia" w:cstheme="majorBidi"/>
          <w:b/>
          <w:noProof/>
          <w:szCs w:val="24"/>
          <w:lang w:val="en-AU" w:eastAsia="en-AU"/>
        </w:rPr>
        <w:drawing>
          <wp:inline distT="0" distB="0" distL="0" distR="0" wp14:anchorId="0C6240E8" wp14:editId="3708FDA8">
            <wp:extent cx="7920000" cy="419299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20000" cy="4192999"/>
                    </a:xfrm>
                    <a:prstGeom prst="rect">
                      <a:avLst/>
                    </a:prstGeom>
                    <a:noFill/>
                  </pic:spPr>
                </pic:pic>
              </a:graphicData>
            </a:graphic>
          </wp:inline>
        </w:drawing>
      </w:r>
    </w:p>
    <w:p w14:paraId="1C9304EA" w14:textId="77777777" w:rsidR="00CF453B" w:rsidRPr="00DB7887" w:rsidRDefault="00CF453B" w:rsidP="00CF453B">
      <w:pPr>
        <w:spacing w:after="160" w:line="259" w:lineRule="auto"/>
        <w:rPr>
          <w:rFonts w:eastAsiaTheme="majorEastAsia" w:cstheme="majorBidi"/>
          <w:b/>
          <w:szCs w:val="24"/>
          <w:lang w:val="en-US"/>
        </w:rPr>
      </w:pPr>
    </w:p>
    <w:p w14:paraId="6C6DA113" w14:textId="77777777" w:rsidR="00CF453B" w:rsidRPr="00CF453B" w:rsidRDefault="00CF453B" w:rsidP="00CF453B">
      <w:pPr>
        <w:spacing w:after="160" w:line="259" w:lineRule="auto"/>
        <w:rPr>
          <w:rFonts w:eastAsia="Calibri"/>
          <w:bCs/>
          <w:sz w:val="20"/>
          <w:szCs w:val="20"/>
          <w:lang w:val="en-US"/>
        </w:rPr>
      </w:pPr>
      <w:r w:rsidRPr="00DB7887">
        <w:rPr>
          <w:rFonts w:eastAsia="Calibri" w:cs="Times New Roman"/>
          <w:bCs/>
          <w:sz w:val="20"/>
          <w:szCs w:val="20"/>
          <w:lang w:val="en-US"/>
        </w:rPr>
        <w:t xml:space="preserve">Notes: </w:t>
      </w:r>
      <w:r w:rsidRPr="00CF453B">
        <w:rPr>
          <w:rFonts w:eastAsia="Calibri"/>
          <w:bCs/>
          <w:sz w:val="20"/>
          <w:szCs w:val="20"/>
          <w:lang w:val="en-US"/>
        </w:rPr>
        <w:t>***</w:t>
      </w:r>
      <w:r w:rsidRPr="00CF453B">
        <w:rPr>
          <w:rFonts w:eastAsia="Calibri"/>
          <w:bCs/>
          <w:i/>
          <w:iCs/>
          <w:sz w:val="20"/>
          <w:szCs w:val="20"/>
          <w:lang w:val="en-US"/>
        </w:rPr>
        <w:t>p</w:t>
      </w:r>
      <w:r w:rsidRPr="00CF453B">
        <w:rPr>
          <w:rFonts w:eastAsia="Calibri"/>
          <w:bCs/>
          <w:sz w:val="20"/>
          <w:szCs w:val="20"/>
          <w:lang w:val="en-US"/>
        </w:rPr>
        <w:t xml:space="preserve"> &lt; .01, **</w:t>
      </w:r>
      <w:r w:rsidRPr="00CF453B">
        <w:rPr>
          <w:rFonts w:eastAsia="Calibri"/>
          <w:bCs/>
          <w:i/>
          <w:iCs/>
          <w:sz w:val="20"/>
          <w:szCs w:val="20"/>
          <w:lang w:val="en-US"/>
        </w:rPr>
        <w:t>p</w:t>
      </w:r>
      <w:r w:rsidRPr="00CF453B">
        <w:rPr>
          <w:rFonts w:eastAsia="Calibri"/>
          <w:bCs/>
          <w:sz w:val="20"/>
          <w:szCs w:val="20"/>
          <w:lang w:val="en-US"/>
        </w:rPr>
        <w:t xml:space="preserve"> &lt; .05, *</w:t>
      </w:r>
      <w:r w:rsidRPr="00CF453B">
        <w:rPr>
          <w:rFonts w:eastAsia="Calibri"/>
          <w:bCs/>
          <w:i/>
          <w:iCs/>
          <w:sz w:val="20"/>
          <w:szCs w:val="20"/>
          <w:lang w:val="en-US"/>
        </w:rPr>
        <w:t>p</w:t>
      </w:r>
      <w:r w:rsidRPr="00CF453B">
        <w:rPr>
          <w:rFonts w:eastAsia="Calibri"/>
          <w:bCs/>
          <w:sz w:val="20"/>
          <w:szCs w:val="20"/>
          <w:lang w:val="en-US"/>
        </w:rPr>
        <w:t xml:space="preserve"> &lt; .10. Significance is based on two-tailed tests.</w:t>
      </w:r>
    </w:p>
    <w:p w14:paraId="37201670" w14:textId="77777777" w:rsidR="00CF453B" w:rsidRPr="00CA2C63" w:rsidRDefault="00CF453B" w:rsidP="00CA2C63">
      <w:pPr>
        <w:spacing w:line="240" w:lineRule="auto"/>
        <w:rPr>
          <w:rFonts w:eastAsia="Arial" w:cs="Times New Roman"/>
          <w:sz w:val="20"/>
          <w:szCs w:val="20"/>
          <w:lang w:val="en-US"/>
        </w:rPr>
      </w:pPr>
    </w:p>
    <w:p w14:paraId="33822AC5" w14:textId="77777777" w:rsidR="00CA2C63" w:rsidRDefault="00CA2C63" w:rsidP="00CA2C63">
      <w:pPr>
        <w:pStyle w:val="Heading1"/>
        <w:rPr>
          <w:rFonts w:eastAsia="Calibri" w:cs="Times New Roman"/>
          <w:lang w:val="en-US"/>
        </w:rPr>
        <w:sectPr w:rsidR="00CA2C63" w:rsidSect="00CF453B">
          <w:pgSz w:w="15842" w:h="12242" w:orient="landscape" w:code="1"/>
          <w:pgMar w:top="1440" w:right="1440" w:bottom="1440" w:left="1440" w:header="709" w:footer="709" w:gutter="0"/>
          <w:cols w:space="708"/>
          <w:docGrid w:linePitch="360"/>
        </w:sectPr>
      </w:pPr>
    </w:p>
    <w:p w14:paraId="32427678" w14:textId="08A5A62B" w:rsidR="00A27A18" w:rsidRDefault="00A27A18" w:rsidP="00A27A18">
      <w:pPr>
        <w:pStyle w:val="Heading1"/>
        <w:rPr>
          <w:rFonts w:eastAsia="Calibri" w:cs="Times New Roman"/>
          <w:lang w:val="en-US"/>
        </w:rPr>
      </w:pPr>
      <w:bookmarkStart w:id="20" w:name="_Toc185425569"/>
      <w:r w:rsidRPr="00F50308">
        <w:rPr>
          <w:rFonts w:eastAsia="Calibri" w:cs="Times New Roman"/>
          <w:lang w:val="en-US"/>
        </w:rPr>
        <w:t xml:space="preserve">Web Appendix </w:t>
      </w:r>
      <w:r w:rsidR="007D6961">
        <w:rPr>
          <w:rFonts w:eastAsia="Calibri" w:cs="Times New Roman"/>
          <w:lang w:val="en-US"/>
        </w:rPr>
        <w:t>B</w:t>
      </w:r>
      <w:r w:rsidRPr="00F50308">
        <w:rPr>
          <w:rFonts w:eastAsia="Calibri" w:cs="Times New Roman"/>
          <w:lang w:val="en-US"/>
        </w:rPr>
        <w:t xml:space="preserve">. </w:t>
      </w:r>
      <w:r>
        <w:rPr>
          <w:rFonts w:eastAsia="Calibri" w:cs="Times New Roman"/>
          <w:lang w:val="en-US"/>
        </w:rPr>
        <w:t xml:space="preserve">Dominant themes in </w:t>
      </w:r>
      <w:r w:rsidRPr="00F50308">
        <w:rPr>
          <w:rFonts w:eastAsia="Calibri" w:cs="Times New Roman"/>
          <w:lang w:val="en-US"/>
        </w:rPr>
        <w:t>S</w:t>
      </w:r>
      <w:r>
        <w:rPr>
          <w:rFonts w:eastAsia="Calibri" w:cs="Times New Roman"/>
          <w:lang w:val="en-US"/>
        </w:rPr>
        <w:t>tudy 2</w:t>
      </w:r>
      <w:bookmarkEnd w:id="20"/>
    </w:p>
    <w:tbl>
      <w:tblPr>
        <w:tblStyle w:val="PlainTable211"/>
        <w:tblW w:w="9498" w:type="dxa"/>
        <w:tblLayout w:type="fixed"/>
        <w:tblCellMar>
          <w:top w:w="28" w:type="dxa"/>
          <w:left w:w="28" w:type="dxa"/>
          <w:bottom w:w="28" w:type="dxa"/>
          <w:right w:w="28" w:type="dxa"/>
        </w:tblCellMar>
        <w:tblLook w:val="06A0" w:firstRow="1" w:lastRow="0" w:firstColumn="1" w:lastColumn="0" w:noHBand="1" w:noVBand="1"/>
      </w:tblPr>
      <w:tblGrid>
        <w:gridCol w:w="2127"/>
        <w:gridCol w:w="1417"/>
        <w:gridCol w:w="5954"/>
      </w:tblGrid>
      <w:tr w:rsidR="00A27A18" w:rsidRPr="00EB3C05" w14:paraId="64F11AC2" w14:textId="77777777" w:rsidTr="00365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left w:val="nil"/>
              <w:bottom w:val="single" w:sz="4" w:space="0" w:color="auto"/>
              <w:right w:val="nil"/>
            </w:tcBorders>
            <w:hideMark/>
          </w:tcPr>
          <w:p w14:paraId="3AC79816" w14:textId="77777777" w:rsidR="00A27A18" w:rsidRPr="00EB3C05" w:rsidRDefault="00A27A18" w:rsidP="00365C29">
            <w:pPr>
              <w:spacing w:line="240" w:lineRule="auto"/>
              <w:rPr>
                <w:rFonts w:eastAsia="Calibri" w:cs="Times New Roman"/>
                <w:sz w:val="20"/>
                <w:szCs w:val="20"/>
                <w:lang w:val="en-US"/>
              </w:rPr>
            </w:pPr>
            <w:r>
              <w:rPr>
                <w:rFonts w:eastAsia="Calibri" w:cs="Times New Roman"/>
                <w:sz w:val="20"/>
                <w:szCs w:val="20"/>
                <w:lang w:val="en-US"/>
              </w:rPr>
              <w:t>Theme</w:t>
            </w:r>
          </w:p>
        </w:tc>
        <w:tc>
          <w:tcPr>
            <w:tcW w:w="1417" w:type="dxa"/>
            <w:tcBorders>
              <w:top w:val="single" w:sz="4" w:space="0" w:color="auto"/>
              <w:left w:val="nil"/>
              <w:bottom w:val="single" w:sz="4" w:space="0" w:color="auto"/>
              <w:right w:val="nil"/>
            </w:tcBorders>
            <w:hideMark/>
          </w:tcPr>
          <w:p w14:paraId="16224A34" w14:textId="77777777" w:rsidR="00A27A18" w:rsidRPr="00EB3C05" w:rsidRDefault="00A27A18" w:rsidP="00365C29">
            <w:pPr>
              <w:spacing w:line="240" w:lineRule="auto"/>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val="en-US"/>
              </w:rPr>
            </w:pPr>
            <w:r>
              <w:rPr>
                <w:rFonts w:eastAsia="Calibri" w:cs="Times New Roman"/>
                <w:sz w:val="20"/>
                <w:szCs w:val="20"/>
                <w:lang w:val="en-US"/>
              </w:rPr>
              <w:t>Frequency</w:t>
            </w:r>
          </w:p>
        </w:tc>
        <w:tc>
          <w:tcPr>
            <w:tcW w:w="5954" w:type="dxa"/>
            <w:tcBorders>
              <w:top w:val="single" w:sz="4" w:space="0" w:color="auto"/>
              <w:left w:val="nil"/>
              <w:bottom w:val="single" w:sz="4" w:space="0" w:color="auto"/>
              <w:right w:val="nil"/>
            </w:tcBorders>
            <w:hideMark/>
          </w:tcPr>
          <w:p w14:paraId="3C8567EF" w14:textId="77777777" w:rsidR="00A27A18" w:rsidRPr="00EB3C05" w:rsidRDefault="00A27A18" w:rsidP="00365C29">
            <w:pPr>
              <w:spacing w:line="240" w:lineRule="auto"/>
              <w:cnfStyle w:val="100000000000" w:firstRow="1" w:lastRow="0" w:firstColumn="0" w:lastColumn="0" w:oddVBand="0" w:evenVBand="0" w:oddHBand="0" w:evenHBand="0" w:firstRowFirstColumn="0" w:firstRowLastColumn="0" w:lastRowFirstColumn="0" w:lastRowLastColumn="0"/>
              <w:rPr>
                <w:rFonts w:eastAsia="Calibri" w:cs="Times New Roman"/>
                <w:sz w:val="20"/>
                <w:szCs w:val="20"/>
                <w:lang w:val="en-US"/>
              </w:rPr>
            </w:pPr>
            <w:r w:rsidRPr="00EB3C05">
              <w:rPr>
                <w:rFonts w:eastAsia="Calibri" w:cs="Times New Roman"/>
                <w:sz w:val="20"/>
                <w:szCs w:val="20"/>
                <w:lang w:val="en-US"/>
              </w:rPr>
              <w:t xml:space="preserve">Representative </w:t>
            </w:r>
            <w:r>
              <w:rPr>
                <w:rFonts w:eastAsia="Calibri" w:cs="Times New Roman"/>
                <w:sz w:val="20"/>
                <w:szCs w:val="20"/>
                <w:lang w:val="en-US"/>
              </w:rPr>
              <w:t>Quotes</w:t>
            </w:r>
          </w:p>
        </w:tc>
      </w:tr>
      <w:tr w:rsidR="00A27A18" w:rsidRPr="00EB3C05" w14:paraId="06905933" w14:textId="77777777" w:rsidTr="00365C29">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hideMark/>
          </w:tcPr>
          <w:p w14:paraId="109C63A4" w14:textId="77777777" w:rsidR="00A27A18" w:rsidRPr="00B638DA" w:rsidRDefault="00A27A18" w:rsidP="00365C29">
            <w:pPr>
              <w:spacing w:line="240" w:lineRule="auto"/>
              <w:rPr>
                <w:rFonts w:eastAsia="Calibri" w:cs="Times New Roman"/>
                <w:b w:val="0"/>
                <w:sz w:val="20"/>
                <w:szCs w:val="20"/>
                <w:lang w:val="en-US"/>
              </w:rPr>
            </w:pPr>
            <w:r>
              <w:rPr>
                <w:rFonts w:eastAsia="Calibri" w:cs="Times New Roman"/>
                <w:b w:val="0"/>
                <w:sz w:val="20"/>
                <w:szCs w:val="20"/>
                <w:lang w:val="en-AU"/>
              </w:rPr>
              <w:t>Blending analytical and narrative processing in the same message</w:t>
            </w:r>
          </w:p>
        </w:tc>
        <w:tc>
          <w:tcPr>
            <w:tcW w:w="1417" w:type="dxa"/>
            <w:tcBorders>
              <w:top w:val="nil"/>
              <w:left w:val="nil"/>
              <w:bottom w:val="nil"/>
              <w:right w:val="nil"/>
            </w:tcBorders>
            <w:hideMark/>
          </w:tcPr>
          <w:p w14:paraId="5AA731EA" w14:textId="77777777" w:rsidR="00A27A18" w:rsidRPr="00CD4BCF"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highlight w:val="cyan"/>
                <w:lang w:val="en-US"/>
              </w:rPr>
            </w:pPr>
            <w:r>
              <w:rPr>
                <w:rFonts w:eastAsia="Calibri" w:cs="Times New Roman"/>
                <w:sz w:val="20"/>
                <w:szCs w:val="20"/>
                <w:lang w:val="en-US"/>
              </w:rPr>
              <w:t>28%</w:t>
            </w:r>
          </w:p>
        </w:tc>
        <w:tc>
          <w:tcPr>
            <w:tcW w:w="5954" w:type="dxa"/>
            <w:tcBorders>
              <w:top w:val="nil"/>
              <w:left w:val="nil"/>
              <w:bottom w:val="nil"/>
              <w:right w:val="nil"/>
            </w:tcBorders>
          </w:tcPr>
          <w:p w14:paraId="5B32C5B5"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B638DA">
              <w:rPr>
                <w:rFonts w:eastAsia="Calibri" w:cs="Times New Roman"/>
                <w:sz w:val="20"/>
                <w:szCs w:val="20"/>
                <w:lang w:val="en-US"/>
              </w:rPr>
              <w:t>How do analytical and narrative messages play together and how can we utilize them to benefit each other?</w:t>
            </w:r>
          </w:p>
          <w:p w14:paraId="45D79994"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p w14:paraId="7B2BA106"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B638DA">
              <w:rPr>
                <w:rFonts w:eastAsia="Calibri" w:cs="Times New Roman"/>
                <w:sz w:val="20"/>
                <w:szCs w:val="20"/>
                <w:lang w:val="en-US"/>
              </w:rPr>
              <w:t>What is the ideal balance between conveying the analytical usefulness of a product/service without risking the loss of creating a narrative for that product? This is essential for marketing as a strong narrative attracts and persuades initially, but the analysis given thereafter influences whether a product is purchased or idea adopted.</w:t>
            </w:r>
          </w:p>
          <w:p w14:paraId="53CD5059" w14:textId="77777777" w:rsidR="00A27A18" w:rsidRPr="00EB3C05"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tc>
      </w:tr>
      <w:tr w:rsidR="00A27A18" w:rsidRPr="00EB3C05" w14:paraId="664D0B38" w14:textId="77777777" w:rsidTr="00365C29">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hideMark/>
          </w:tcPr>
          <w:p w14:paraId="6ABABE76" w14:textId="77777777" w:rsidR="00A27A18" w:rsidRPr="00B638DA" w:rsidRDefault="00A27A18" w:rsidP="00365C29">
            <w:pPr>
              <w:spacing w:line="240" w:lineRule="auto"/>
              <w:rPr>
                <w:rFonts w:eastAsia="Calibri" w:cs="Times New Roman"/>
                <w:b w:val="0"/>
                <w:sz w:val="20"/>
                <w:szCs w:val="20"/>
                <w:lang w:val="en-US"/>
              </w:rPr>
            </w:pPr>
            <w:r>
              <w:rPr>
                <w:rFonts w:eastAsia="Calibri" w:cs="Times New Roman"/>
                <w:b w:val="0"/>
                <w:sz w:val="20"/>
                <w:szCs w:val="20"/>
                <w:lang w:val="en-AU"/>
              </w:rPr>
              <w:t xml:space="preserve">Audience differences in </w:t>
            </w:r>
            <w:r w:rsidRPr="00B638DA">
              <w:rPr>
                <w:rFonts w:eastAsia="Calibri" w:cs="Times New Roman"/>
                <w:b w:val="0"/>
                <w:sz w:val="20"/>
                <w:szCs w:val="20"/>
                <w:lang w:val="en-AU"/>
              </w:rPr>
              <w:t xml:space="preserve"> analytical vs. narrative processing</w:t>
            </w:r>
          </w:p>
        </w:tc>
        <w:tc>
          <w:tcPr>
            <w:tcW w:w="1417" w:type="dxa"/>
            <w:tcBorders>
              <w:top w:val="nil"/>
              <w:left w:val="nil"/>
              <w:bottom w:val="nil"/>
              <w:right w:val="nil"/>
            </w:tcBorders>
            <w:hideMark/>
          </w:tcPr>
          <w:p w14:paraId="192992E8" w14:textId="77777777" w:rsidR="00A27A18" w:rsidRPr="00CD4BCF"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highlight w:val="cyan"/>
                <w:lang w:val="en-US"/>
              </w:rPr>
            </w:pPr>
            <w:r>
              <w:rPr>
                <w:rFonts w:eastAsia="Calibri" w:cs="Times New Roman"/>
                <w:sz w:val="20"/>
                <w:szCs w:val="20"/>
                <w:lang w:val="en-US"/>
              </w:rPr>
              <w:t>20%</w:t>
            </w:r>
          </w:p>
        </w:tc>
        <w:tc>
          <w:tcPr>
            <w:tcW w:w="5954" w:type="dxa"/>
            <w:tcBorders>
              <w:top w:val="nil"/>
              <w:left w:val="nil"/>
              <w:bottom w:val="nil"/>
              <w:right w:val="nil"/>
            </w:tcBorders>
          </w:tcPr>
          <w:p w14:paraId="6AF5802E"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B638DA">
              <w:rPr>
                <w:rFonts w:eastAsia="Calibri" w:cs="Times New Roman"/>
                <w:sz w:val="20"/>
                <w:szCs w:val="20"/>
                <w:lang w:val="en-US"/>
              </w:rPr>
              <w:t>I would like to know how different ages, ethnicities, genders process analytical vs narrative verbal messages and which is more effective to each group.</w:t>
            </w:r>
          </w:p>
          <w:p w14:paraId="674363DD"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p w14:paraId="1F5AF891"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243CA4">
              <w:rPr>
                <w:rFonts w:eastAsia="Calibri" w:cs="Times New Roman"/>
                <w:sz w:val="20"/>
                <w:szCs w:val="20"/>
                <w:lang w:val="en-US"/>
              </w:rPr>
              <w:t xml:space="preserve">How does the effectiveness of analytical vs. narrative processing vary across different consumer demographics (e.g., age, education level, cultural background)? </w:t>
            </w:r>
          </w:p>
          <w:p w14:paraId="7FFEA000" w14:textId="77777777" w:rsidR="00A27A18" w:rsidRPr="00EB3C05"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tc>
      </w:tr>
      <w:tr w:rsidR="00A27A18" w:rsidRPr="00EB3C05" w14:paraId="5B265B3A" w14:textId="77777777" w:rsidTr="00365C29">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tcPr>
          <w:p w14:paraId="34B460DA" w14:textId="77777777" w:rsidR="00A27A18" w:rsidRDefault="00A27A18" w:rsidP="00365C29">
            <w:pPr>
              <w:spacing w:line="240" w:lineRule="auto"/>
              <w:rPr>
                <w:rFonts w:eastAsia="Calibri" w:cs="Times New Roman"/>
                <w:b w:val="0"/>
                <w:sz w:val="20"/>
                <w:szCs w:val="20"/>
                <w:lang w:val="en-AU"/>
              </w:rPr>
            </w:pPr>
            <w:r>
              <w:rPr>
                <w:rFonts w:eastAsia="Calibri" w:cs="Times New Roman"/>
                <w:b w:val="0"/>
                <w:sz w:val="20"/>
                <w:szCs w:val="20"/>
                <w:lang w:val="en-AU"/>
              </w:rPr>
              <w:t>Boundary conditions</w:t>
            </w:r>
          </w:p>
        </w:tc>
        <w:tc>
          <w:tcPr>
            <w:tcW w:w="1417" w:type="dxa"/>
            <w:tcBorders>
              <w:top w:val="nil"/>
              <w:left w:val="nil"/>
              <w:bottom w:val="nil"/>
              <w:right w:val="nil"/>
            </w:tcBorders>
          </w:tcPr>
          <w:p w14:paraId="06F44831"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Pr>
                <w:rFonts w:eastAsia="Calibri" w:cs="Times New Roman"/>
                <w:sz w:val="20"/>
                <w:szCs w:val="20"/>
                <w:lang w:val="en-US"/>
              </w:rPr>
              <w:t>12%</w:t>
            </w:r>
          </w:p>
        </w:tc>
        <w:tc>
          <w:tcPr>
            <w:tcW w:w="5954" w:type="dxa"/>
            <w:tcBorders>
              <w:top w:val="nil"/>
              <w:left w:val="nil"/>
              <w:bottom w:val="nil"/>
              <w:right w:val="nil"/>
            </w:tcBorders>
          </w:tcPr>
          <w:p w14:paraId="64822DBB"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B638DA">
              <w:rPr>
                <w:rFonts w:eastAsia="Calibri" w:cs="Times New Roman"/>
                <w:sz w:val="20"/>
                <w:szCs w:val="20"/>
                <w:lang w:val="en-US"/>
              </w:rPr>
              <w:t>I would like to choose when I want something with audio or written.  That would make my job much easier.</w:t>
            </w:r>
          </w:p>
          <w:p w14:paraId="71214608"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p w14:paraId="24889EB6"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243CA4">
              <w:rPr>
                <w:rFonts w:eastAsia="Calibri" w:cs="Times New Roman"/>
                <w:sz w:val="20"/>
                <w:szCs w:val="20"/>
                <w:lang w:val="en-US"/>
              </w:rPr>
              <w:t>I'd like to learn more about which approach is more effective in terms of marketing specific products. This would help my clients fine-tune their messaging depending on the product.</w:t>
            </w:r>
          </w:p>
          <w:p w14:paraId="283D850F" w14:textId="77777777" w:rsidR="00A27A18" w:rsidRPr="00B638DA"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tc>
      </w:tr>
      <w:tr w:rsidR="00A27A18" w:rsidRPr="00EB3C05" w14:paraId="41E14623" w14:textId="77777777" w:rsidTr="00365C29">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nil"/>
              <w:right w:val="nil"/>
            </w:tcBorders>
            <w:hideMark/>
          </w:tcPr>
          <w:p w14:paraId="6986A48C" w14:textId="77777777" w:rsidR="00A27A18" w:rsidRPr="00B638DA" w:rsidRDefault="00A27A18" w:rsidP="00365C29">
            <w:pPr>
              <w:spacing w:line="240" w:lineRule="auto"/>
              <w:rPr>
                <w:rFonts w:eastAsia="Calibri" w:cs="Times New Roman"/>
                <w:b w:val="0"/>
                <w:sz w:val="20"/>
                <w:szCs w:val="20"/>
                <w:lang w:val="en-US"/>
              </w:rPr>
            </w:pPr>
            <w:r>
              <w:rPr>
                <w:rFonts w:eastAsia="Calibri" w:cs="Times New Roman"/>
                <w:b w:val="0"/>
                <w:sz w:val="20"/>
                <w:szCs w:val="20"/>
                <w:lang w:val="en-AU"/>
              </w:rPr>
              <w:t>Relative persuasiveness of analytical vs. narrative processing</w:t>
            </w:r>
          </w:p>
        </w:tc>
        <w:tc>
          <w:tcPr>
            <w:tcW w:w="1417" w:type="dxa"/>
            <w:tcBorders>
              <w:top w:val="nil"/>
              <w:left w:val="nil"/>
              <w:bottom w:val="nil"/>
              <w:right w:val="nil"/>
            </w:tcBorders>
            <w:hideMark/>
          </w:tcPr>
          <w:p w14:paraId="6D637EF3" w14:textId="77777777" w:rsidR="00A27A18" w:rsidRPr="00EB3C05" w:rsidRDefault="00A27A18" w:rsidP="00365C29">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Pr>
                <w:rFonts w:eastAsia="Calibri" w:cs="Times New Roman"/>
                <w:sz w:val="20"/>
                <w:szCs w:val="20"/>
                <w:lang w:val="en-US"/>
              </w:rPr>
              <w:t>9%</w:t>
            </w:r>
          </w:p>
        </w:tc>
        <w:tc>
          <w:tcPr>
            <w:tcW w:w="5954" w:type="dxa"/>
            <w:tcBorders>
              <w:top w:val="nil"/>
              <w:left w:val="nil"/>
              <w:bottom w:val="nil"/>
              <w:right w:val="nil"/>
            </w:tcBorders>
          </w:tcPr>
          <w:p w14:paraId="1D0A264B"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243CA4">
              <w:rPr>
                <w:rFonts w:eastAsia="Calibri" w:cs="Times New Roman"/>
                <w:sz w:val="20"/>
                <w:szCs w:val="20"/>
                <w:lang w:val="en-US"/>
              </w:rPr>
              <w:t>I would be interested to better understand the quantitative efficacy of messaging delivered with analytical vs narrative means. This would enable me to better direct the Creatives in their ideation.</w:t>
            </w:r>
          </w:p>
          <w:p w14:paraId="296BC205"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p w14:paraId="25FF0B31"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B638DA">
              <w:rPr>
                <w:rFonts w:eastAsia="Calibri" w:cs="Times New Roman"/>
                <w:sz w:val="20"/>
                <w:szCs w:val="20"/>
                <w:lang w:val="en-US"/>
              </w:rPr>
              <w:t>I want to know the rates of success between the two. I think that verbal messages can sometimes be very difficult because you get too analytical and you lose people, the lost people have no frame of reference and the deeper the conversation, the more convoluted. However, the more narrative processing, the more uninteresting it can potentially become or feel like a lot of ground was covered with little to no outcome. Knowing the success rate would help me either merge the two or be flexible.</w:t>
            </w:r>
          </w:p>
          <w:p w14:paraId="445D1451" w14:textId="77777777" w:rsidR="00A27A18" w:rsidRPr="00EB3C05"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tc>
      </w:tr>
      <w:tr w:rsidR="00A27A18" w:rsidRPr="00EB3C05" w14:paraId="7F10D212" w14:textId="77777777" w:rsidTr="00365C29">
        <w:tc>
          <w:tcPr>
            <w:cnfStyle w:val="001000000000" w:firstRow="0" w:lastRow="0" w:firstColumn="1" w:lastColumn="0" w:oddVBand="0" w:evenVBand="0" w:oddHBand="0" w:evenHBand="0" w:firstRowFirstColumn="0" w:firstRowLastColumn="0" w:lastRowFirstColumn="0" w:lastRowLastColumn="0"/>
            <w:tcW w:w="2127" w:type="dxa"/>
            <w:tcBorders>
              <w:top w:val="nil"/>
              <w:left w:val="nil"/>
              <w:bottom w:val="single" w:sz="4" w:space="0" w:color="auto"/>
              <w:right w:val="nil"/>
            </w:tcBorders>
            <w:hideMark/>
          </w:tcPr>
          <w:p w14:paraId="7A4C76F7" w14:textId="77777777" w:rsidR="00A27A18" w:rsidRPr="00B638DA" w:rsidRDefault="00A27A18" w:rsidP="00365C29">
            <w:pPr>
              <w:spacing w:line="240" w:lineRule="auto"/>
              <w:rPr>
                <w:rFonts w:eastAsia="Calibri" w:cs="Times New Roman"/>
                <w:b w:val="0"/>
                <w:sz w:val="20"/>
                <w:szCs w:val="20"/>
                <w:lang w:val="en-US"/>
              </w:rPr>
            </w:pPr>
            <w:r>
              <w:rPr>
                <w:rFonts w:eastAsia="Calibri" w:cs="Times New Roman"/>
                <w:b w:val="0"/>
                <w:sz w:val="20"/>
                <w:szCs w:val="20"/>
                <w:lang w:val="en-US"/>
              </w:rPr>
              <w:t>Other themes</w:t>
            </w:r>
          </w:p>
        </w:tc>
        <w:tc>
          <w:tcPr>
            <w:tcW w:w="1417" w:type="dxa"/>
            <w:tcBorders>
              <w:top w:val="nil"/>
              <w:left w:val="nil"/>
              <w:bottom w:val="single" w:sz="4" w:space="0" w:color="auto"/>
              <w:right w:val="nil"/>
            </w:tcBorders>
            <w:hideMark/>
          </w:tcPr>
          <w:p w14:paraId="627CE228" w14:textId="77777777" w:rsidR="00A27A18" w:rsidRPr="00EB3C05"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Pr>
                <w:rFonts w:eastAsia="Calibri" w:cs="Times New Roman"/>
                <w:sz w:val="20"/>
                <w:szCs w:val="20"/>
                <w:lang w:val="en-US" w:eastAsia="en-GB"/>
              </w:rPr>
              <w:t>31%</w:t>
            </w:r>
          </w:p>
        </w:tc>
        <w:tc>
          <w:tcPr>
            <w:tcW w:w="5954" w:type="dxa"/>
            <w:tcBorders>
              <w:top w:val="nil"/>
              <w:left w:val="nil"/>
              <w:bottom w:val="single" w:sz="4" w:space="0" w:color="auto"/>
              <w:right w:val="nil"/>
            </w:tcBorders>
          </w:tcPr>
          <w:p w14:paraId="6BFCFF41"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B638DA">
              <w:rPr>
                <w:rFonts w:eastAsia="Calibri" w:cs="Times New Roman"/>
                <w:sz w:val="20"/>
                <w:szCs w:val="20"/>
                <w:lang w:val="en-US"/>
              </w:rPr>
              <w:t>How do you effectively structure messaging that tells an interesting and appealing story about your company/product?</w:t>
            </w:r>
          </w:p>
          <w:p w14:paraId="63D961F0" w14:textId="77777777" w:rsidR="00A27A18"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p>
          <w:p w14:paraId="258F21CF" w14:textId="77777777" w:rsidR="00A27A18" w:rsidRPr="00EB3C05" w:rsidRDefault="00A27A18" w:rsidP="00365C29">
            <w:pPr>
              <w:spacing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0"/>
                <w:szCs w:val="20"/>
                <w:lang w:val="en-US"/>
              </w:rPr>
            </w:pPr>
            <w:r w:rsidRPr="002D6E96">
              <w:rPr>
                <w:rFonts w:eastAsia="Calibri" w:cs="Times New Roman"/>
                <w:sz w:val="20"/>
                <w:szCs w:val="20"/>
                <w:lang w:val="en-US"/>
              </w:rPr>
              <w:t>I've worked in the Marketing and communications for a decade in the past. The biggest challenge has been the identification of how technology is integrated with known patterns such as mode of delivery/age group/target group and more. In the past few years, technology has allowed the expansion of both analytical and narrative processing as well as the delivery of the information. The most pressing factors, in my opinion, involve the understanding of the effectiveness of newer technologically-driven/novel means of communications using data analysis.</w:t>
            </w:r>
          </w:p>
        </w:tc>
      </w:tr>
    </w:tbl>
    <w:p w14:paraId="6AA474A1" w14:textId="4357EE81" w:rsidR="00A27A18" w:rsidRDefault="00A27A18">
      <w:pPr>
        <w:spacing w:after="160" w:line="259" w:lineRule="auto"/>
        <w:rPr>
          <w:rFonts w:eastAsia="Calibri" w:cs="Times New Roman"/>
          <w:b/>
          <w:szCs w:val="32"/>
          <w:lang w:val="en-US"/>
        </w:rPr>
      </w:pPr>
    </w:p>
    <w:p w14:paraId="3A0038B7" w14:textId="5BA9B88B" w:rsidR="00CA2C63" w:rsidRDefault="00CA2C63" w:rsidP="00CA2C63">
      <w:pPr>
        <w:pStyle w:val="Heading1"/>
        <w:rPr>
          <w:rFonts w:eastAsia="Calibri" w:cs="Times New Roman"/>
          <w:lang w:val="en-US"/>
        </w:rPr>
      </w:pPr>
      <w:bookmarkStart w:id="21" w:name="_Toc185425570"/>
      <w:r w:rsidRPr="00F50308">
        <w:rPr>
          <w:rFonts w:eastAsia="Calibri" w:cs="Times New Roman"/>
          <w:lang w:val="en-US"/>
        </w:rPr>
        <w:t xml:space="preserve">Web Appendix </w:t>
      </w:r>
      <w:r w:rsidR="007D6961">
        <w:rPr>
          <w:rFonts w:eastAsia="Calibri" w:cs="Times New Roman"/>
          <w:lang w:val="en-US"/>
        </w:rPr>
        <w:t>C</w:t>
      </w:r>
      <w:r w:rsidRPr="00F50308">
        <w:rPr>
          <w:rFonts w:eastAsia="Calibri" w:cs="Times New Roman"/>
          <w:lang w:val="en-US"/>
        </w:rPr>
        <w:t xml:space="preserve">. </w:t>
      </w:r>
      <w:r w:rsidR="00367BBE">
        <w:rPr>
          <w:rFonts w:eastAsia="Calibri" w:cs="Times New Roman"/>
          <w:lang w:val="en-US"/>
        </w:rPr>
        <w:t>D</w:t>
      </w:r>
      <w:r w:rsidR="00060A3B" w:rsidRPr="00060A3B">
        <w:rPr>
          <w:rFonts w:eastAsia="Calibri" w:cs="Times New Roman"/>
          <w:lang w:val="en-US"/>
        </w:rPr>
        <w:t xml:space="preserve">etails for </w:t>
      </w:r>
      <w:r w:rsidRPr="00F50308">
        <w:rPr>
          <w:rFonts w:eastAsia="Calibri" w:cs="Times New Roman"/>
          <w:lang w:val="en-US"/>
        </w:rPr>
        <w:t>S</w:t>
      </w:r>
      <w:r>
        <w:rPr>
          <w:rFonts w:eastAsia="Calibri" w:cs="Times New Roman"/>
          <w:lang w:val="en-US"/>
        </w:rPr>
        <w:t>tudy 3</w:t>
      </w:r>
      <w:bookmarkEnd w:id="21"/>
    </w:p>
    <w:p w14:paraId="0BC2AAD3" w14:textId="05994805" w:rsidR="00CA2C63" w:rsidRPr="001557FA" w:rsidRDefault="00D07C87" w:rsidP="001557FA">
      <w:pPr>
        <w:pStyle w:val="Heading2"/>
      </w:pPr>
      <w:bookmarkStart w:id="22" w:name="_Hlk178884500"/>
      <w:bookmarkStart w:id="23" w:name="_Toc185425571"/>
      <w:r w:rsidRPr="001557FA">
        <w:t xml:space="preserve">Web Appendix </w:t>
      </w:r>
      <w:r w:rsidR="007D6961">
        <w:t>C</w:t>
      </w:r>
      <w:r w:rsidRPr="001557FA">
        <w:t>1. Stimuli</w:t>
      </w:r>
      <w:bookmarkEnd w:id="22"/>
      <w:bookmarkEnd w:id="23"/>
    </w:p>
    <w:p w14:paraId="134C66C1" w14:textId="43F453DC" w:rsidR="00D07C87" w:rsidRPr="00060A3B" w:rsidRDefault="00125F23" w:rsidP="00125F23">
      <w:pPr>
        <w:spacing w:line="240" w:lineRule="auto"/>
        <w:rPr>
          <w:rFonts w:cs="Times New Roman"/>
          <w:b/>
          <w:bCs/>
          <w:sz w:val="22"/>
          <w:u w:val="single"/>
          <w:lang w:val="en-US"/>
        </w:rPr>
      </w:pPr>
      <w:r w:rsidRPr="00060A3B">
        <w:rPr>
          <w:rFonts w:cs="Times New Roman"/>
          <w:b/>
          <w:bCs/>
          <w:sz w:val="22"/>
          <w:u w:val="single"/>
          <w:lang w:val="en-US"/>
        </w:rPr>
        <w:t>Analytical - Written</w:t>
      </w:r>
    </w:p>
    <w:p w14:paraId="79DD910B" w14:textId="77777777" w:rsidR="001557FA"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Running is a healthy and popular way to get outside. Most important for enjoying and excelling at this hobby is a great pair of shoes. Introducing, Westerly running shoes. These shoes are remarkably comfortable and secure on the foot.</w:t>
      </w:r>
    </w:p>
    <w:p w14:paraId="35596B7E" w14:textId="1262F855" w:rsidR="001557FA"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Facts about Westerly running shoes include:</w:t>
      </w:r>
    </w:p>
    <w:p w14:paraId="41260137" w14:textId="43948FB2" w:rsidR="00125F23"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Competition-beating comfort and quality that enhances run performance</w:t>
      </w:r>
    </w:p>
    <w:p w14:paraId="6A096E60" w14:textId="77777777" w:rsidR="00125F23"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A range of colorful, stylish designs, with advanced, reinforced shoelaces.</w:t>
      </w:r>
    </w:p>
    <w:p w14:paraId="06DC3916" w14:textId="77777777" w:rsidR="00125F23"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Water-resistant uppers that keep feet dry, even when splashing through puddles</w:t>
      </w:r>
    </w:p>
    <w:p w14:paraId="4D9C928D" w14:textId="77777777" w:rsidR="00125F23"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Westerly shoes have a 5-star approval rating from runnersworld.com and customers on Amazon</w:t>
      </w:r>
    </w:p>
    <w:p w14:paraId="5113A243" w14:textId="1072D0F8" w:rsidR="00125F23" w:rsidRPr="00060A3B" w:rsidRDefault="00125F23" w:rsidP="001557FA">
      <w:pPr>
        <w:spacing w:line="240" w:lineRule="auto"/>
        <w:rPr>
          <w:rFonts w:eastAsia="Times New Roman" w:cs="Times New Roman"/>
          <w:color w:val="000000"/>
          <w:sz w:val="22"/>
          <w:lang w:val="en-US"/>
        </w:rPr>
      </w:pPr>
      <w:r w:rsidRPr="00060A3B">
        <w:rPr>
          <w:rFonts w:eastAsia="Times New Roman" w:cs="Times New Roman"/>
          <w:color w:val="000000"/>
          <w:sz w:val="22"/>
          <w:lang w:val="en-US"/>
        </w:rPr>
        <w:t>Westerly running shoes really deliver on all fronts. Look and feel like a winner with Westerly!</w:t>
      </w:r>
    </w:p>
    <w:p w14:paraId="75B78CAE" w14:textId="77777777" w:rsidR="001557FA" w:rsidRPr="00060A3B" w:rsidRDefault="001557FA" w:rsidP="001557FA">
      <w:pPr>
        <w:spacing w:line="240" w:lineRule="auto"/>
        <w:rPr>
          <w:rFonts w:eastAsia="Times New Roman" w:cs="Times New Roman"/>
          <w:color w:val="000000"/>
          <w:sz w:val="22"/>
          <w:lang w:val="en-US"/>
        </w:rPr>
      </w:pPr>
    </w:p>
    <w:p w14:paraId="6D33AF60" w14:textId="6981855B" w:rsidR="00125F23" w:rsidRPr="00060A3B" w:rsidRDefault="00125F23" w:rsidP="00125F23">
      <w:pPr>
        <w:spacing w:line="240" w:lineRule="auto"/>
        <w:rPr>
          <w:rFonts w:cs="Times New Roman"/>
          <w:b/>
          <w:bCs/>
          <w:sz w:val="22"/>
          <w:u w:val="single"/>
          <w:lang w:val="en-US"/>
        </w:rPr>
      </w:pPr>
      <w:r w:rsidRPr="00060A3B">
        <w:rPr>
          <w:rFonts w:cs="Times New Roman"/>
          <w:b/>
          <w:bCs/>
          <w:sz w:val="22"/>
          <w:u w:val="single"/>
          <w:lang w:val="en-US"/>
        </w:rPr>
        <w:t>Narrative - Written</w:t>
      </w:r>
    </w:p>
    <w:p w14:paraId="42BC3944" w14:textId="7E8CBAEB" w:rsidR="00125F23" w:rsidRPr="00060A3B" w:rsidRDefault="00125F23" w:rsidP="00125F23">
      <w:pPr>
        <w:spacing w:line="240" w:lineRule="auto"/>
        <w:rPr>
          <w:rFonts w:cs="Times New Roman"/>
          <w:sz w:val="22"/>
          <w:lang w:val="en-US"/>
        </w:rPr>
      </w:pPr>
      <w:r w:rsidRPr="00060A3B">
        <w:rPr>
          <w:rFonts w:cs="Times New Roman"/>
          <w:sz w:val="22"/>
          <w:lang w:val="en-US"/>
        </w:rPr>
        <w:t>I’m an avid runner – it is one of my favorite hobbies and I’m pretty good at it. Let me tell you about a recent run of mine. Imagine yourself running through a shady, tree-lined park. As you warm up, you notice that your feet feel remarkably comfortable and secure. You look down and see a colorful pair of Westerly running shoes on your feet. You admire the advanced, reinforced shoelaces. You splash through a puddle –and notice your feet are still dry, courtesy of the water-resistant uppers. As you see the end of the tree line and return to the starting point, you marvel at the comfort and quality of your run. I rated Westerly shoes 5 stars on runnersworld.com and Amazon.</w:t>
      </w:r>
      <w:r w:rsidR="001557FA" w:rsidRPr="00060A3B">
        <w:rPr>
          <w:rFonts w:cs="Times New Roman"/>
          <w:sz w:val="22"/>
          <w:lang w:val="en-US"/>
        </w:rPr>
        <w:t xml:space="preserve"> </w:t>
      </w:r>
      <w:r w:rsidRPr="00060A3B">
        <w:rPr>
          <w:rFonts w:cs="Times New Roman"/>
          <w:sz w:val="22"/>
          <w:lang w:val="en-US"/>
        </w:rPr>
        <w:t>Next time I lace up to go for a run, I’m going to reach for my Westerly’s – I’ll look like and feel like a winner!</w:t>
      </w:r>
    </w:p>
    <w:p w14:paraId="0066F806" w14:textId="77777777" w:rsidR="00125F23" w:rsidRPr="00060A3B" w:rsidRDefault="00125F23" w:rsidP="00125F23">
      <w:pPr>
        <w:spacing w:line="240" w:lineRule="auto"/>
        <w:rPr>
          <w:rFonts w:cs="Times New Roman"/>
          <w:sz w:val="22"/>
          <w:lang w:val="en-US"/>
        </w:rPr>
      </w:pPr>
    </w:p>
    <w:p w14:paraId="3EEEC0CB" w14:textId="155F365A" w:rsidR="00125F23" w:rsidRPr="00060A3B" w:rsidRDefault="00125F23" w:rsidP="00125F23">
      <w:pPr>
        <w:spacing w:line="240" w:lineRule="auto"/>
        <w:rPr>
          <w:rFonts w:cs="Times New Roman"/>
          <w:b/>
          <w:bCs/>
          <w:sz w:val="22"/>
          <w:u w:val="single"/>
          <w:lang w:val="en-US"/>
        </w:rPr>
      </w:pPr>
      <w:r w:rsidRPr="00060A3B">
        <w:rPr>
          <w:rFonts w:cs="Times New Roman"/>
          <w:b/>
          <w:bCs/>
          <w:sz w:val="22"/>
          <w:u w:val="single"/>
          <w:lang w:val="en-US"/>
        </w:rPr>
        <w:t>Blended - Written</w:t>
      </w:r>
    </w:p>
    <w:p w14:paraId="32E3BD4D" w14:textId="65F6583D" w:rsidR="00125F23" w:rsidRPr="00060A3B" w:rsidRDefault="00125F23" w:rsidP="00125F23">
      <w:pPr>
        <w:spacing w:line="240" w:lineRule="auto"/>
        <w:rPr>
          <w:rFonts w:cs="Times New Roman"/>
          <w:sz w:val="22"/>
          <w:lang w:val="en-US"/>
        </w:rPr>
      </w:pPr>
      <w:r w:rsidRPr="00060A3B">
        <w:rPr>
          <w:rFonts w:cs="Times New Roman"/>
          <w:sz w:val="22"/>
          <w:lang w:val="en-US"/>
        </w:rPr>
        <w:t xml:space="preserve">I’m an avid runner - it is one of my favorite hobbies and I’m pretty good at it. Let me tell you about a recent run of mine. Imagine yourself running through a shady, tree-lined park. As you warm up, you look down and see a colorful pair of Westerly running shoes on your feet. You splash through a puddle –and notice your feet are still dry, courtesy of the water-resistant uppers. As you see the end of the tree line and return to the starting point, you marvel at the comfort and quality of your run. </w:t>
      </w:r>
    </w:p>
    <w:p w14:paraId="65E20D69" w14:textId="77777777" w:rsidR="00125F23" w:rsidRPr="00060A3B" w:rsidRDefault="00125F23" w:rsidP="00125F23">
      <w:pPr>
        <w:spacing w:line="240" w:lineRule="auto"/>
        <w:rPr>
          <w:rFonts w:cs="Times New Roman"/>
          <w:sz w:val="22"/>
          <w:lang w:val="en-US"/>
        </w:rPr>
      </w:pPr>
      <w:r w:rsidRPr="00060A3B">
        <w:rPr>
          <w:rFonts w:cs="Times New Roman"/>
          <w:sz w:val="22"/>
          <w:lang w:val="en-US"/>
        </w:rPr>
        <w:t>Other facts about Westerly running shoes include:</w:t>
      </w:r>
    </w:p>
    <w:p w14:paraId="2C295834" w14:textId="2D082DE9" w:rsidR="00125F23" w:rsidRPr="00060A3B" w:rsidRDefault="00125F23" w:rsidP="00125F23">
      <w:pPr>
        <w:spacing w:line="240" w:lineRule="auto"/>
        <w:rPr>
          <w:rFonts w:cs="Times New Roman"/>
          <w:sz w:val="22"/>
          <w:lang w:val="en-US"/>
        </w:rPr>
      </w:pPr>
      <w:r w:rsidRPr="00060A3B">
        <w:rPr>
          <w:rFonts w:cs="Times New Roman"/>
          <w:sz w:val="22"/>
          <w:lang w:val="en-US"/>
        </w:rPr>
        <w:t>Competition-beating comfort and quality that enhances run performance</w:t>
      </w:r>
    </w:p>
    <w:p w14:paraId="49297B50" w14:textId="07B20CB1" w:rsidR="00125F23" w:rsidRPr="00060A3B" w:rsidRDefault="00125F23" w:rsidP="00125F23">
      <w:pPr>
        <w:spacing w:line="240" w:lineRule="auto"/>
        <w:rPr>
          <w:rFonts w:cs="Times New Roman"/>
          <w:sz w:val="22"/>
          <w:lang w:val="en-US"/>
        </w:rPr>
      </w:pPr>
      <w:r w:rsidRPr="00060A3B">
        <w:rPr>
          <w:rFonts w:cs="Times New Roman"/>
          <w:sz w:val="22"/>
          <w:lang w:val="en-US"/>
        </w:rPr>
        <w:t>A range of colorful, stylish designs, with advanced, reinforced shoelaces.</w:t>
      </w:r>
    </w:p>
    <w:p w14:paraId="780F2F76" w14:textId="3CD2819A" w:rsidR="00125F23" w:rsidRPr="00060A3B" w:rsidRDefault="00125F23" w:rsidP="00125F23">
      <w:pPr>
        <w:spacing w:line="240" w:lineRule="auto"/>
        <w:rPr>
          <w:rFonts w:cs="Times New Roman"/>
          <w:sz w:val="22"/>
          <w:lang w:val="en-US"/>
        </w:rPr>
      </w:pPr>
      <w:r w:rsidRPr="00060A3B">
        <w:rPr>
          <w:rFonts w:cs="Times New Roman"/>
          <w:sz w:val="22"/>
          <w:lang w:val="en-US"/>
        </w:rPr>
        <w:t>Westerly shoes have a 5-star approval rating from runnersworld.com and customers on Amazon</w:t>
      </w:r>
    </w:p>
    <w:p w14:paraId="799CA8D1" w14:textId="77777777" w:rsidR="00125F23" w:rsidRPr="00060A3B" w:rsidRDefault="00125F23" w:rsidP="00125F23">
      <w:pPr>
        <w:spacing w:line="240" w:lineRule="auto"/>
        <w:rPr>
          <w:sz w:val="22"/>
          <w:szCs w:val="20"/>
          <w:lang w:val="en-US"/>
        </w:rPr>
      </w:pPr>
      <w:r w:rsidRPr="00060A3B">
        <w:rPr>
          <w:rFonts w:cs="Times New Roman"/>
          <w:sz w:val="22"/>
          <w:lang w:val="en-US"/>
        </w:rPr>
        <w:t>Westerly running shoes really deliver on all fronts. Look</w:t>
      </w:r>
      <w:r w:rsidRPr="00060A3B">
        <w:rPr>
          <w:sz w:val="22"/>
          <w:szCs w:val="20"/>
          <w:lang w:val="en-US"/>
        </w:rPr>
        <w:t xml:space="preserve"> and feel like a winner with Westerly!</w:t>
      </w:r>
    </w:p>
    <w:p w14:paraId="25D2EE35" w14:textId="77777777" w:rsidR="00B124F7" w:rsidRPr="00060A3B" w:rsidRDefault="00B124F7" w:rsidP="001557FA">
      <w:pPr>
        <w:spacing w:line="240" w:lineRule="auto"/>
        <w:rPr>
          <w:sz w:val="22"/>
          <w:szCs w:val="20"/>
          <w:lang w:val="en-US"/>
        </w:rPr>
      </w:pPr>
    </w:p>
    <w:p w14:paraId="12468806" w14:textId="4D572837" w:rsidR="00B124F7" w:rsidRPr="00060A3B" w:rsidRDefault="00B124F7" w:rsidP="001557FA">
      <w:pPr>
        <w:spacing w:line="240" w:lineRule="auto"/>
        <w:rPr>
          <w:sz w:val="22"/>
          <w:szCs w:val="20"/>
          <w:lang w:val="en-US"/>
        </w:rPr>
      </w:pPr>
      <w:r w:rsidRPr="00060A3B">
        <w:rPr>
          <w:b/>
          <w:bCs/>
          <w:sz w:val="22"/>
          <w:szCs w:val="20"/>
          <w:u w:val="single"/>
          <w:lang w:val="en-US"/>
        </w:rPr>
        <w:t>Analytical - Audio:</w:t>
      </w:r>
      <w:r w:rsidRPr="00060A3B">
        <w:rPr>
          <w:sz w:val="22"/>
          <w:szCs w:val="20"/>
          <w:lang w:val="en-US"/>
        </w:rPr>
        <w:t xml:space="preserve"> </w:t>
      </w:r>
      <w:hyperlink r:id="rId17" w:history="1">
        <w:r w:rsidRPr="00060A3B">
          <w:rPr>
            <w:rStyle w:val="Hyperlink"/>
            <w:sz w:val="22"/>
            <w:szCs w:val="20"/>
            <w:lang w:val="en-US"/>
          </w:rPr>
          <w:t>https://www.dropbox.com/scl/fi/go7j4zft3s5magqj48r9j/analytical.wav?rlkey=oij65az4fd18opcfbyn67ux4s&amp;st=ej3palhf&amp;dl=0</w:t>
        </w:r>
      </w:hyperlink>
    </w:p>
    <w:p w14:paraId="186B0C02" w14:textId="77777777" w:rsidR="00B124F7" w:rsidRPr="00060A3B" w:rsidRDefault="00B124F7" w:rsidP="001557FA">
      <w:pPr>
        <w:spacing w:line="240" w:lineRule="auto"/>
        <w:rPr>
          <w:sz w:val="22"/>
          <w:szCs w:val="20"/>
          <w:lang w:val="en-US"/>
        </w:rPr>
      </w:pPr>
    </w:p>
    <w:p w14:paraId="10EBAEB2" w14:textId="2F9D0E0E" w:rsidR="00B124F7" w:rsidRPr="00060A3B" w:rsidRDefault="00B124F7" w:rsidP="001557FA">
      <w:pPr>
        <w:spacing w:line="240" w:lineRule="auto"/>
        <w:rPr>
          <w:sz w:val="22"/>
          <w:szCs w:val="20"/>
          <w:lang w:val="en-US"/>
        </w:rPr>
      </w:pPr>
      <w:r w:rsidRPr="00060A3B">
        <w:rPr>
          <w:b/>
          <w:bCs/>
          <w:sz w:val="22"/>
          <w:szCs w:val="20"/>
          <w:u w:val="single"/>
          <w:lang w:val="en-US"/>
        </w:rPr>
        <w:t>Narrative - Audio:</w:t>
      </w:r>
      <w:r w:rsidRPr="00060A3B">
        <w:rPr>
          <w:sz w:val="22"/>
          <w:szCs w:val="20"/>
        </w:rPr>
        <w:t xml:space="preserve"> </w:t>
      </w:r>
      <w:hyperlink r:id="rId18" w:history="1">
        <w:r w:rsidRPr="00060A3B">
          <w:rPr>
            <w:rStyle w:val="Hyperlink"/>
            <w:sz w:val="22"/>
            <w:szCs w:val="20"/>
            <w:lang w:val="en-US"/>
          </w:rPr>
          <w:t>https://www.dropbox.com/scl/fi/fz0nfxmes2hj2btltcyl9/narrative.wav?rlkey=blq20p5c02scs5s5ktx7ju0ok&amp;st=xear2p2g&amp;dl=0</w:t>
        </w:r>
      </w:hyperlink>
    </w:p>
    <w:p w14:paraId="7C4AB33A" w14:textId="77777777" w:rsidR="00B124F7" w:rsidRPr="00060A3B" w:rsidRDefault="00B124F7" w:rsidP="001557FA">
      <w:pPr>
        <w:spacing w:line="240" w:lineRule="auto"/>
        <w:rPr>
          <w:sz w:val="22"/>
          <w:szCs w:val="20"/>
          <w:lang w:val="en-US"/>
        </w:rPr>
      </w:pPr>
    </w:p>
    <w:p w14:paraId="2CD40952" w14:textId="03BB6FF3" w:rsidR="00B124F7" w:rsidRPr="00060A3B" w:rsidRDefault="00B124F7" w:rsidP="001557FA">
      <w:pPr>
        <w:spacing w:line="240" w:lineRule="auto"/>
        <w:rPr>
          <w:sz w:val="22"/>
          <w:szCs w:val="20"/>
          <w:lang w:val="en-US"/>
        </w:rPr>
      </w:pPr>
      <w:r w:rsidRPr="00060A3B">
        <w:rPr>
          <w:b/>
          <w:bCs/>
          <w:sz w:val="22"/>
          <w:szCs w:val="20"/>
          <w:u w:val="single"/>
          <w:lang w:val="en-US"/>
        </w:rPr>
        <w:t>Blended - Audio:</w:t>
      </w:r>
      <w:r w:rsidRPr="00060A3B">
        <w:rPr>
          <w:sz w:val="22"/>
          <w:szCs w:val="20"/>
          <w:lang w:val="en-US"/>
        </w:rPr>
        <w:t xml:space="preserve"> </w:t>
      </w:r>
      <w:hyperlink r:id="rId19" w:history="1">
        <w:r w:rsidRPr="00060A3B">
          <w:rPr>
            <w:rStyle w:val="Hyperlink"/>
            <w:sz w:val="22"/>
            <w:szCs w:val="20"/>
            <w:lang w:val="en-US"/>
          </w:rPr>
          <w:t>https://www.dropbox.com/scl/fi/hqf7b80992v2dgi1ynisz/Blended.wav?rlkey=jp3jtvz78mjl7jevjgxo9tceg&amp;st=7ewsvx9j&amp;dl=0</w:t>
        </w:r>
      </w:hyperlink>
    </w:p>
    <w:p w14:paraId="45C1ABE8" w14:textId="77777777" w:rsidR="00B124F7" w:rsidRPr="00060A3B" w:rsidRDefault="00B124F7" w:rsidP="001557FA">
      <w:pPr>
        <w:spacing w:line="240" w:lineRule="auto"/>
        <w:rPr>
          <w:sz w:val="22"/>
          <w:szCs w:val="20"/>
          <w:lang w:val="en-US"/>
        </w:rPr>
      </w:pPr>
    </w:p>
    <w:p w14:paraId="32E379F0" w14:textId="17F19E5D" w:rsidR="00B124F7" w:rsidRDefault="00B124F7" w:rsidP="001557FA">
      <w:pPr>
        <w:spacing w:line="240" w:lineRule="auto"/>
        <w:rPr>
          <w:lang w:val="en-US"/>
        </w:rPr>
        <w:sectPr w:rsidR="00B124F7" w:rsidSect="00CA2C63">
          <w:pgSz w:w="12242" w:h="15842" w:code="1"/>
          <w:pgMar w:top="1440" w:right="1440" w:bottom="1440" w:left="1440" w:header="709" w:footer="709" w:gutter="0"/>
          <w:cols w:space="708"/>
          <w:docGrid w:linePitch="360"/>
        </w:sectPr>
      </w:pPr>
    </w:p>
    <w:p w14:paraId="5BC9BD69" w14:textId="33833575" w:rsidR="00D07C87" w:rsidRPr="002D2D8C" w:rsidRDefault="00D07C87" w:rsidP="00D07C87">
      <w:pPr>
        <w:pStyle w:val="Heading2"/>
        <w:jc w:val="center"/>
        <w:rPr>
          <w:rFonts w:eastAsia="Calibri"/>
          <w:lang w:val="en-US"/>
        </w:rPr>
      </w:pPr>
      <w:bookmarkStart w:id="24" w:name="_Toc185425572"/>
      <w:r w:rsidRPr="004A66FA">
        <w:rPr>
          <w:rFonts w:eastAsia="Calibri"/>
          <w:lang w:val="en-US"/>
        </w:rPr>
        <w:t xml:space="preserve">Web Appendix </w:t>
      </w:r>
      <w:r w:rsidR="007D6961">
        <w:rPr>
          <w:rFonts w:eastAsia="Calibri"/>
          <w:lang w:val="en-US"/>
        </w:rPr>
        <w:t>C</w:t>
      </w:r>
      <w:r>
        <w:rPr>
          <w:rFonts w:eastAsia="Calibri"/>
          <w:lang w:val="en-US"/>
        </w:rPr>
        <w:t>2</w:t>
      </w:r>
      <w:r w:rsidRPr="004A66FA">
        <w:rPr>
          <w:rFonts w:eastAsia="Calibri"/>
          <w:lang w:val="en-US"/>
        </w:rPr>
        <w:t xml:space="preserve">. </w:t>
      </w:r>
      <w:r w:rsidR="00367BBE">
        <w:rPr>
          <w:rFonts w:eastAsia="Calibri"/>
          <w:lang w:val="en-US"/>
        </w:rPr>
        <w:t>M</w:t>
      </w:r>
      <w:r w:rsidRPr="00D07C87">
        <w:rPr>
          <w:rFonts w:eastAsia="Calibri"/>
          <w:lang w:val="en-US"/>
        </w:rPr>
        <w:t>anipulation and attention checks</w:t>
      </w:r>
      <w:bookmarkEnd w:id="24"/>
    </w:p>
    <w:p w14:paraId="1D1C6595" w14:textId="703D9BD8" w:rsidR="00D07C87" w:rsidRPr="00D07C87" w:rsidRDefault="00D07C87" w:rsidP="00E81E4A">
      <w:pPr>
        <w:spacing w:line="240" w:lineRule="auto"/>
        <w:ind w:firstLine="567"/>
        <w:rPr>
          <w:rFonts w:cs="Times New Roman"/>
          <w:szCs w:val="24"/>
        </w:rPr>
      </w:pPr>
      <w:r w:rsidRPr="00D07C87">
        <w:rPr>
          <w:rFonts w:cs="Times New Roman"/>
          <w:szCs w:val="24"/>
        </w:rPr>
        <w:t>An ANOVA revealed a significant difference in perceptions of analytical processing (</w:t>
      </w:r>
      <w:r w:rsidRPr="00125F23">
        <w:rPr>
          <w:rFonts w:cs="Times New Roman"/>
          <w:i/>
          <w:iCs/>
          <w:szCs w:val="24"/>
        </w:rPr>
        <w:t>F</w:t>
      </w:r>
      <w:r w:rsidRPr="00D07C87">
        <w:rPr>
          <w:rFonts w:cs="Times New Roman"/>
          <w:szCs w:val="24"/>
        </w:rPr>
        <w:t xml:space="preserve">(2, 447) = 38.14, </w:t>
      </w:r>
      <w:r w:rsidRPr="00D07C87">
        <w:rPr>
          <w:rFonts w:cs="Times New Roman"/>
          <w:i/>
          <w:szCs w:val="24"/>
        </w:rPr>
        <w:t>p</w:t>
      </w:r>
      <w:r w:rsidRPr="00D07C87">
        <w:rPr>
          <w:rFonts w:cs="Times New Roman"/>
          <w:szCs w:val="24"/>
        </w:rPr>
        <w:t xml:space="preserve"> &lt; .001), such that analytical messages were perceived as more analytical than both narrative (</w:t>
      </w:r>
      <w:r w:rsidRPr="00D07C87">
        <w:rPr>
          <w:rFonts w:cs="Times New Roman"/>
          <w:i/>
          <w:szCs w:val="24"/>
        </w:rPr>
        <w:t>M</w:t>
      </w:r>
      <w:r w:rsidRPr="00D07C87">
        <w:rPr>
          <w:rFonts w:cs="Times New Roman"/>
          <w:szCs w:val="24"/>
          <w:vertAlign w:val="subscript"/>
        </w:rPr>
        <w:t xml:space="preserve">analytical </w:t>
      </w:r>
      <w:r w:rsidRPr="00D07C87">
        <w:rPr>
          <w:rFonts w:cs="Times New Roman"/>
          <w:szCs w:val="24"/>
        </w:rPr>
        <w:t xml:space="preserve">= 5.53, </w:t>
      </w:r>
      <w:r w:rsidRPr="00F53832">
        <w:rPr>
          <w:rFonts w:cs="Times New Roman"/>
          <w:szCs w:val="24"/>
        </w:rPr>
        <w:t>SD</w:t>
      </w:r>
      <w:r w:rsidRPr="00D07C87">
        <w:rPr>
          <w:rFonts w:cs="Times New Roman"/>
          <w:szCs w:val="24"/>
        </w:rPr>
        <w:t xml:space="preserve"> = 1.28, </w:t>
      </w:r>
      <w:r w:rsidRPr="001B4CB9">
        <w:rPr>
          <w:rFonts w:cs="Times New Roman"/>
          <w:i/>
          <w:iCs/>
          <w:szCs w:val="24"/>
        </w:rPr>
        <w:t>N</w:t>
      </w:r>
      <w:r w:rsidRPr="00D07C87">
        <w:rPr>
          <w:rFonts w:cs="Times New Roman"/>
          <w:szCs w:val="24"/>
        </w:rPr>
        <w:t xml:space="preserve"> = 148 vs. </w:t>
      </w:r>
      <w:r w:rsidRPr="00D07C87">
        <w:rPr>
          <w:rFonts w:cs="Times New Roman"/>
          <w:i/>
          <w:szCs w:val="24"/>
        </w:rPr>
        <w:t>M</w:t>
      </w:r>
      <w:r w:rsidRPr="00D07C87">
        <w:rPr>
          <w:rFonts w:cs="Times New Roman"/>
          <w:szCs w:val="24"/>
          <w:vertAlign w:val="subscript"/>
        </w:rPr>
        <w:t xml:space="preserve">narrative </w:t>
      </w:r>
      <w:r w:rsidRPr="00D07C87">
        <w:rPr>
          <w:rFonts w:cs="Times New Roman"/>
          <w:szCs w:val="24"/>
        </w:rPr>
        <w:t xml:space="preserve">= 4.00, </w:t>
      </w:r>
      <w:r w:rsidRPr="00F53832">
        <w:rPr>
          <w:rFonts w:cs="Times New Roman"/>
          <w:szCs w:val="24"/>
        </w:rPr>
        <w:t>SD</w:t>
      </w:r>
      <w:r w:rsidRPr="00D07C87">
        <w:rPr>
          <w:rFonts w:cs="Times New Roman"/>
          <w:szCs w:val="24"/>
        </w:rPr>
        <w:t xml:space="preserve"> = 1.78, </w:t>
      </w:r>
      <w:r w:rsidRPr="001B4CB9">
        <w:rPr>
          <w:rFonts w:cs="Times New Roman"/>
          <w:i/>
          <w:iCs/>
          <w:szCs w:val="24"/>
        </w:rPr>
        <w:t>N</w:t>
      </w:r>
      <w:r w:rsidRPr="00D07C87">
        <w:rPr>
          <w:rFonts w:cs="Times New Roman"/>
          <w:szCs w:val="24"/>
        </w:rPr>
        <w:t xml:space="preserve"> = 147; </w:t>
      </w:r>
      <w:r w:rsidRPr="00D07C87">
        <w:rPr>
          <w:rFonts w:cs="Times New Roman"/>
          <w:i/>
          <w:iCs/>
          <w:szCs w:val="24"/>
        </w:rPr>
        <w:t>t</w:t>
      </w:r>
      <w:r w:rsidRPr="00D07C87">
        <w:rPr>
          <w:rFonts w:cs="Times New Roman"/>
          <w:szCs w:val="24"/>
        </w:rPr>
        <w:t xml:space="preserve">(449) = 8.71, </w:t>
      </w:r>
      <w:r w:rsidRPr="00D07C87">
        <w:rPr>
          <w:rFonts w:cs="Times New Roman"/>
          <w:i/>
          <w:szCs w:val="24"/>
        </w:rPr>
        <w:t>p</w:t>
      </w:r>
      <w:r w:rsidRPr="00D07C87">
        <w:rPr>
          <w:rFonts w:cs="Times New Roman"/>
          <w:szCs w:val="24"/>
        </w:rPr>
        <w:t xml:space="preserve"> &lt; .001, </w:t>
      </w:r>
      <w:r w:rsidRPr="00D07C87">
        <w:rPr>
          <w:rFonts w:cs="Times New Roman"/>
          <w:i/>
          <w:szCs w:val="24"/>
        </w:rPr>
        <w:t>d</w:t>
      </w:r>
      <w:r w:rsidRPr="00D07C87">
        <w:rPr>
          <w:rFonts w:cs="Times New Roman"/>
          <w:szCs w:val="24"/>
        </w:rPr>
        <w:t xml:space="preserve"> = .99) and blended messages (</w:t>
      </w:r>
      <w:r w:rsidRPr="00D07C87">
        <w:rPr>
          <w:rFonts w:cs="Times New Roman"/>
          <w:i/>
          <w:szCs w:val="24"/>
        </w:rPr>
        <w:t>M</w:t>
      </w:r>
      <w:r w:rsidRPr="00D07C87">
        <w:rPr>
          <w:rFonts w:cs="Times New Roman"/>
          <w:szCs w:val="24"/>
          <w:vertAlign w:val="subscript"/>
        </w:rPr>
        <w:t>blended</w:t>
      </w:r>
      <w:r w:rsidRPr="00D07C87">
        <w:rPr>
          <w:rFonts w:cs="Times New Roman"/>
          <w:szCs w:val="24"/>
        </w:rPr>
        <w:t xml:space="preserve"> = 4.67, </w:t>
      </w:r>
      <w:r w:rsidRPr="00F53832">
        <w:rPr>
          <w:rFonts w:cs="Times New Roman"/>
          <w:szCs w:val="24"/>
        </w:rPr>
        <w:t>SD</w:t>
      </w:r>
      <w:r w:rsidRPr="00D07C87">
        <w:rPr>
          <w:rFonts w:cs="Times New Roman"/>
          <w:szCs w:val="24"/>
        </w:rPr>
        <w:t xml:space="preserve"> = 1.42, </w:t>
      </w:r>
      <w:r w:rsidRPr="001B4CB9">
        <w:rPr>
          <w:rFonts w:cs="Times New Roman"/>
          <w:i/>
          <w:iCs/>
          <w:szCs w:val="24"/>
        </w:rPr>
        <w:t>N</w:t>
      </w:r>
      <w:r w:rsidRPr="00D07C87">
        <w:rPr>
          <w:rFonts w:cs="Times New Roman"/>
          <w:szCs w:val="24"/>
        </w:rPr>
        <w:t xml:space="preserve"> = 155; </w:t>
      </w:r>
      <w:r w:rsidRPr="00D07C87">
        <w:rPr>
          <w:rFonts w:cs="Times New Roman"/>
          <w:i/>
          <w:iCs/>
          <w:szCs w:val="24"/>
        </w:rPr>
        <w:t>t</w:t>
      </w:r>
      <w:r w:rsidRPr="00D07C87">
        <w:rPr>
          <w:rFonts w:cs="Times New Roman"/>
          <w:szCs w:val="24"/>
        </w:rPr>
        <w:t xml:space="preserve">(449) = 4.95, </w:t>
      </w:r>
      <w:r w:rsidRPr="00D07C87">
        <w:rPr>
          <w:rFonts w:cs="Times New Roman"/>
          <w:i/>
          <w:szCs w:val="24"/>
        </w:rPr>
        <w:t>p</w:t>
      </w:r>
      <w:r w:rsidRPr="00D07C87">
        <w:rPr>
          <w:rFonts w:cs="Times New Roman"/>
          <w:szCs w:val="24"/>
        </w:rPr>
        <w:t xml:space="preserve"> &lt; .001, </w:t>
      </w:r>
      <w:r w:rsidRPr="00D07C87">
        <w:rPr>
          <w:rFonts w:cs="Times New Roman"/>
          <w:i/>
          <w:szCs w:val="24"/>
        </w:rPr>
        <w:t>d</w:t>
      </w:r>
      <w:r w:rsidRPr="00D07C87">
        <w:rPr>
          <w:rFonts w:cs="Times New Roman"/>
          <w:szCs w:val="24"/>
        </w:rPr>
        <w:t xml:space="preserve"> = .67). The difference between narrative and blended messages was also significant, with blended messages perceived to be more analytical than narrative messages (</w:t>
      </w:r>
      <w:r w:rsidRPr="00D07C87">
        <w:rPr>
          <w:rFonts w:cs="Times New Roman"/>
          <w:i/>
          <w:iCs/>
          <w:szCs w:val="24"/>
        </w:rPr>
        <w:t>t</w:t>
      </w:r>
      <w:r w:rsidRPr="00D07C87">
        <w:rPr>
          <w:rFonts w:cs="Times New Roman"/>
          <w:szCs w:val="24"/>
        </w:rPr>
        <w:t xml:space="preserve">(449) = 3.87, </w:t>
      </w:r>
      <w:r w:rsidRPr="00D07C87">
        <w:rPr>
          <w:rFonts w:cs="Times New Roman"/>
          <w:i/>
          <w:szCs w:val="24"/>
        </w:rPr>
        <w:t>p</w:t>
      </w:r>
      <w:r w:rsidRPr="00D07C87">
        <w:rPr>
          <w:rFonts w:cs="Times New Roman"/>
          <w:szCs w:val="24"/>
        </w:rPr>
        <w:t xml:space="preserve"> &lt; .001). </w:t>
      </w:r>
    </w:p>
    <w:p w14:paraId="6571C4F7" w14:textId="72BC6BE3" w:rsidR="00D07C87" w:rsidRDefault="00D07C87" w:rsidP="00E81E4A">
      <w:pPr>
        <w:spacing w:line="240" w:lineRule="auto"/>
        <w:ind w:firstLine="567"/>
        <w:rPr>
          <w:rFonts w:cs="Times New Roman"/>
          <w:szCs w:val="24"/>
        </w:rPr>
      </w:pPr>
      <w:r w:rsidRPr="00D07C87">
        <w:rPr>
          <w:rFonts w:cs="Times New Roman"/>
          <w:szCs w:val="24"/>
        </w:rPr>
        <w:t xml:space="preserve">The same ANOVA revealed a significant difference in perceptions of narrative processing (F(2, 447) = 94.82, </w:t>
      </w:r>
      <w:r w:rsidRPr="00D07C87">
        <w:rPr>
          <w:rFonts w:cs="Times New Roman"/>
          <w:i/>
          <w:szCs w:val="24"/>
        </w:rPr>
        <w:t>p</w:t>
      </w:r>
      <w:r w:rsidRPr="00D07C87">
        <w:rPr>
          <w:rFonts w:cs="Times New Roman"/>
          <w:szCs w:val="24"/>
        </w:rPr>
        <w:t xml:space="preserve"> &lt; .001), such that narrative messages were perceived as more narrative than both analytical (</w:t>
      </w:r>
      <w:r w:rsidRPr="00D07C87">
        <w:rPr>
          <w:rFonts w:cs="Times New Roman"/>
          <w:i/>
          <w:szCs w:val="24"/>
        </w:rPr>
        <w:t>M</w:t>
      </w:r>
      <w:r w:rsidRPr="00D07C87">
        <w:rPr>
          <w:rFonts w:cs="Times New Roman"/>
          <w:szCs w:val="24"/>
          <w:vertAlign w:val="subscript"/>
        </w:rPr>
        <w:t>narrative</w:t>
      </w:r>
      <w:r w:rsidRPr="00D07C87">
        <w:rPr>
          <w:rFonts w:cs="Times New Roman"/>
          <w:szCs w:val="24"/>
        </w:rPr>
        <w:t xml:space="preserve">= 6.13, </w:t>
      </w:r>
      <w:r w:rsidRPr="00F53832">
        <w:rPr>
          <w:rFonts w:cs="Times New Roman"/>
          <w:szCs w:val="24"/>
        </w:rPr>
        <w:t>SD</w:t>
      </w:r>
      <w:r w:rsidRPr="00D07C87">
        <w:rPr>
          <w:rFonts w:cs="Times New Roman"/>
          <w:szCs w:val="24"/>
        </w:rPr>
        <w:t xml:space="preserve"> = 1.11, </w:t>
      </w:r>
      <w:r w:rsidRPr="001B4CB9">
        <w:rPr>
          <w:rFonts w:cs="Times New Roman"/>
          <w:i/>
          <w:iCs/>
          <w:szCs w:val="24"/>
        </w:rPr>
        <w:t>N</w:t>
      </w:r>
      <w:r w:rsidRPr="00D07C87">
        <w:rPr>
          <w:rFonts w:cs="Times New Roman"/>
          <w:szCs w:val="24"/>
        </w:rPr>
        <w:t xml:space="preserve"> = 147 vs. </w:t>
      </w:r>
      <w:r w:rsidRPr="00D07C87">
        <w:rPr>
          <w:rFonts w:cs="Times New Roman"/>
          <w:i/>
          <w:szCs w:val="24"/>
        </w:rPr>
        <w:t>M</w:t>
      </w:r>
      <w:r w:rsidRPr="00D07C87">
        <w:rPr>
          <w:rFonts w:cs="Times New Roman"/>
          <w:szCs w:val="24"/>
          <w:vertAlign w:val="subscript"/>
        </w:rPr>
        <w:t>analytical</w:t>
      </w:r>
      <w:r w:rsidRPr="00D07C87">
        <w:rPr>
          <w:rFonts w:cs="Times New Roman"/>
          <w:szCs w:val="24"/>
        </w:rPr>
        <w:t xml:space="preserve">= 4.10, </w:t>
      </w:r>
      <w:r w:rsidRPr="00F53832">
        <w:rPr>
          <w:rFonts w:cs="Times New Roman"/>
          <w:szCs w:val="24"/>
        </w:rPr>
        <w:t>SD</w:t>
      </w:r>
      <w:r w:rsidRPr="00D07C87">
        <w:rPr>
          <w:rFonts w:cs="Times New Roman"/>
          <w:szCs w:val="24"/>
        </w:rPr>
        <w:t xml:space="preserve"> = 1.84, </w:t>
      </w:r>
      <w:r w:rsidRPr="001B4CB9">
        <w:rPr>
          <w:rFonts w:cs="Times New Roman"/>
          <w:i/>
          <w:iCs/>
          <w:szCs w:val="24"/>
        </w:rPr>
        <w:t>N</w:t>
      </w:r>
      <w:r w:rsidRPr="00D07C87">
        <w:rPr>
          <w:rFonts w:cs="Times New Roman"/>
          <w:szCs w:val="24"/>
        </w:rPr>
        <w:t xml:space="preserve"> = 148; </w:t>
      </w:r>
      <w:r w:rsidRPr="00D07C87">
        <w:rPr>
          <w:rFonts w:cs="Times New Roman"/>
          <w:i/>
          <w:iCs/>
          <w:szCs w:val="24"/>
        </w:rPr>
        <w:t>t</w:t>
      </w:r>
      <w:r w:rsidRPr="00D07C87">
        <w:rPr>
          <w:rFonts w:cs="Times New Roman"/>
          <w:szCs w:val="24"/>
        </w:rPr>
        <w:t xml:space="preserve">(449) = 12.53, </w:t>
      </w:r>
      <w:r w:rsidRPr="00D07C87">
        <w:rPr>
          <w:rFonts w:cs="Times New Roman"/>
          <w:i/>
          <w:szCs w:val="24"/>
        </w:rPr>
        <w:t>p</w:t>
      </w:r>
      <w:r w:rsidRPr="00D07C87">
        <w:rPr>
          <w:rFonts w:cs="Times New Roman"/>
          <w:szCs w:val="24"/>
        </w:rPr>
        <w:t xml:space="preserve"> &lt; .001, </w:t>
      </w:r>
      <w:r w:rsidRPr="00D07C87">
        <w:rPr>
          <w:rFonts w:cs="Times New Roman"/>
          <w:i/>
          <w:szCs w:val="24"/>
        </w:rPr>
        <w:t>d</w:t>
      </w:r>
      <w:r w:rsidRPr="00D07C87">
        <w:rPr>
          <w:rFonts w:cs="Times New Roman"/>
          <w:szCs w:val="24"/>
        </w:rPr>
        <w:t xml:space="preserve"> = 1.34) and blended messages (</w:t>
      </w:r>
      <w:r w:rsidRPr="00D07C87">
        <w:rPr>
          <w:rFonts w:cs="Times New Roman"/>
          <w:i/>
          <w:szCs w:val="24"/>
        </w:rPr>
        <w:t>M</w:t>
      </w:r>
      <w:r w:rsidRPr="00D07C87">
        <w:rPr>
          <w:rFonts w:cs="Times New Roman"/>
          <w:szCs w:val="24"/>
          <w:vertAlign w:val="subscript"/>
        </w:rPr>
        <w:t>blended</w:t>
      </w:r>
      <w:r w:rsidRPr="00D07C87">
        <w:rPr>
          <w:rFonts w:cs="Times New Roman"/>
          <w:szCs w:val="24"/>
        </w:rPr>
        <w:t xml:space="preserve"> = 5.90, </w:t>
      </w:r>
      <w:r w:rsidRPr="00F53832">
        <w:rPr>
          <w:rFonts w:cs="Times New Roman"/>
          <w:szCs w:val="24"/>
        </w:rPr>
        <w:t>SD</w:t>
      </w:r>
      <w:r w:rsidRPr="001B4CB9">
        <w:rPr>
          <w:rFonts w:cs="Times New Roman"/>
          <w:i/>
          <w:iCs/>
          <w:szCs w:val="24"/>
        </w:rPr>
        <w:t xml:space="preserve"> </w:t>
      </w:r>
      <w:r w:rsidRPr="00D07C87">
        <w:rPr>
          <w:rFonts w:cs="Times New Roman"/>
          <w:szCs w:val="24"/>
        </w:rPr>
        <w:t xml:space="preserve">= 1.09, </w:t>
      </w:r>
      <w:r w:rsidRPr="001B4CB9">
        <w:rPr>
          <w:rFonts w:cs="Times New Roman"/>
          <w:i/>
          <w:iCs/>
          <w:szCs w:val="24"/>
        </w:rPr>
        <w:t>N</w:t>
      </w:r>
      <w:r w:rsidRPr="00D07C87">
        <w:rPr>
          <w:rFonts w:cs="Times New Roman"/>
          <w:szCs w:val="24"/>
        </w:rPr>
        <w:t xml:space="preserve"> = 155; </w:t>
      </w:r>
      <w:r w:rsidRPr="00D07C87">
        <w:rPr>
          <w:rFonts w:cs="Times New Roman"/>
          <w:i/>
          <w:iCs/>
          <w:szCs w:val="24"/>
        </w:rPr>
        <w:t>t</w:t>
      </w:r>
      <w:r w:rsidRPr="00D07C87">
        <w:rPr>
          <w:rFonts w:cs="Times New Roman"/>
          <w:szCs w:val="24"/>
        </w:rPr>
        <w:t xml:space="preserve">(449) = 1.83, </w:t>
      </w:r>
      <w:r w:rsidRPr="00D07C87">
        <w:rPr>
          <w:rFonts w:cs="Times New Roman"/>
          <w:i/>
          <w:szCs w:val="24"/>
        </w:rPr>
        <w:t>p</w:t>
      </w:r>
      <w:r w:rsidRPr="00D07C87">
        <w:rPr>
          <w:rFonts w:cs="Times New Roman"/>
          <w:szCs w:val="24"/>
        </w:rPr>
        <w:t xml:space="preserve"> = .068, </w:t>
      </w:r>
      <w:r w:rsidRPr="00D07C87">
        <w:rPr>
          <w:rFonts w:cs="Times New Roman"/>
          <w:i/>
          <w:szCs w:val="24"/>
        </w:rPr>
        <w:t>d</w:t>
      </w:r>
      <w:r w:rsidRPr="00D07C87">
        <w:rPr>
          <w:rFonts w:cs="Times New Roman"/>
          <w:szCs w:val="24"/>
        </w:rPr>
        <w:t xml:space="preserve"> = .21). The difference between analytical and blended messages was also significant, with blended messages perceived to be more narrative than analytical messages (</w:t>
      </w:r>
      <w:r w:rsidRPr="00D07C87">
        <w:rPr>
          <w:rFonts w:cs="Times New Roman"/>
          <w:i/>
          <w:iCs/>
          <w:szCs w:val="24"/>
        </w:rPr>
        <w:t>t</w:t>
      </w:r>
      <w:r w:rsidRPr="00D07C87">
        <w:rPr>
          <w:rFonts w:cs="Times New Roman"/>
          <w:szCs w:val="24"/>
        </w:rPr>
        <w:t xml:space="preserve">(449) = 11.25, </w:t>
      </w:r>
      <w:r w:rsidRPr="00D07C87">
        <w:rPr>
          <w:rFonts w:cs="Times New Roman"/>
          <w:i/>
          <w:szCs w:val="24"/>
        </w:rPr>
        <w:t>p</w:t>
      </w:r>
      <w:r w:rsidRPr="00D07C87">
        <w:rPr>
          <w:rFonts w:cs="Times New Roman"/>
          <w:szCs w:val="24"/>
        </w:rPr>
        <w:t xml:space="preserve"> &lt; .001, </w:t>
      </w:r>
      <w:r w:rsidRPr="00D07C87">
        <w:rPr>
          <w:rFonts w:cs="Times New Roman"/>
          <w:i/>
          <w:szCs w:val="24"/>
        </w:rPr>
        <w:t>d</w:t>
      </w:r>
      <w:r w:rsidRPr="00D07C87">
        <w:rPr>
          <w:rFonts w:cs="Times New Roman"/>
          <w:szCs w:val="24"/>
        </w:rPr>
        <w:t xml:space="preserve"> = 1.19). Hence, manipulation checks were successful. Attention checks aimed at probing whether participants could recall the modality of the message received returned a 100% accuracy score.</w:t>
      </w:r>
      <w:r>
        <w:rPr>
          <w:rFonts w:cs="Times New Roman"/>
          <w:szCs w:val="24"/>
        </w:rPr>
        <w:t xml:space="preserve"> </w:t>
      </w:r>
    </w:p>
    <w:p w14:paraId="287D4312" w14:textId="77777777" w:rsidR="00D07C87" w:rsidRDefault="00D07C87" w:rsidP="00CA2C63">
      <w:pPr>
        <w:rPr>
          <w:lang w:val="en-US"/>
        </w:rPr>
        <w:sectPr w:rsidR="00D07C87" w:rsidSect="00CA2C63">
          <w:pgSz w:w="12242" w:h="15842" w:code="1"/>
          <w:pgMar w:top="1440" w:right="1440" w:bottom="1440" w:left="1440" w:header="709" w:footer="709" w:gutter="0"/>
          <w:cols w:space="708"/>
          <w:docGrid w:linePitch="360"/>
        </w:sectPr>
      </w:pPr>
    </w:p>
    <w:p w14:paraId="6882D537" w14:textId="502ED729" w:rsidR="00D07C87" w:rsidRPr="002D2D8C" w:rsidRDefault="00D07C87" w:rsidP="00D07C87">
      <w:pPr>
        <w:pStyle w:val="Heading2"/>
        <w:jc w:val="center"/>
        <w:rPr>
          <w:rFonts w:eastAsia="Calibri"/>
          <w:lang w:val="en-US"/>
        </w:rPr>
      </w:pPr>
      <w:bookmarkStart w:id="25" w:name="_Toc185425573"/>
      <w:r w:rsidRPr="004A66FA">
        <w:rPr>
          <w:rFonts w:eastAsia="Calibri"/>
          <w:lang w:val="en-US"/>
        </w:rPr>
        <w:t xml:space="preserve">Web Appendix </w:t>
      </w:r>
      <w:r w:rsidR="007D6961">
        <w:rPr>
          <w:rFonts w:eastAsia="Calibri"/>
          <w:lang w:val="en-US"/>
        </w:rPr>
        <w:t>C</w:t>
      </w:r>
      <w:r>
        <w:rPr>
          <w:rFonts w:eastAsia="Calibri"/>
          <w:lang w:val="en-US"/>
        </w:rPr>
        <w:t>3</w:t>
      </w:r>
      <w:r w:rsidRPr="004A66FA">
        <w:rPr>
          <w:rFonts w:eastAsia="Calibri"/>
          <w:lang w:val="en-US"/>
        </w:rPr>
        <w:t>.</w:t>
      </w:r>
      <w:r w:rsidR="00AE051D">
        <w:rPr>
          <w:rFonts w:eastAsia="Calibri"/>
          <w:lang w:val="en-US"/>
        </w:rPr>
        <w:t xml:space="preserve"> </w:t>
      </w:r>
      <w:r w:rsidR="00367BBE">
        <w:rPr>
          <w:rFonts w:eastAsia="Calibri"/>
          <w:lang w:val="en-US"/>
        </w:rPr>
        <w:t>Additional</w:t>
      </w:r>
      <w:r w:rsidR="00AE051D">
        <w:rPr>
          <w:rFonts w:eastAsia="Calibri"/>
          <w:lang w:val="en-US"/>
        </w:rPr>
        <w:t xml:space="preserve"> analys</w:t>
      </w:r>
      <w:r w:rsidR="00367BBE">
        <w:rPr>
          <w:rFonts w:eastAsia="Calibri"/>
          <w:lang w:val="en-US"/>
        </w:rPr>
        <w:t>e</w:t>
      </w:r>
      <w:r w:rsidR="00AE051D">
        <w:rPr>
          <w:rFonts w:eastAsia="Calibri"/>
          <w:lang w:val="en-US"/>
        </w:rPr>
        <w:t>s</w:t>
      </w:r>
      <w:bookmarkEnd w:id="25"/>
    </w:p>
    <w:p w14:paraId="2095EEDA" w14:textId="77E2DC7A" w:rsidR="00AE051D" w:rsidRDefault="00AE051D" w:rsidP="00E81E4A">
      <w:pPr>
        <w:spacing w:line="240" w:lineRule="auto"/>
        <w:ind w:firstLine="567"/>
        <w:rPr>
          <w:rFonts w:eastAsia="Times New Roman" w:cs="Times New Roman"/>
          <w:bCs/>
          <w:szCs w:val="24"/>
        </w:rPr>
      </w:pPr>
      <w:r>
        <w:rPr>
          <w:rFonts w:eastAsia="Times New Roman" w:cs="Times New Roman"/>
          <w:bCs/>
          <w:szCs w:val="24"/>
        </w:rPr>
        <w:t xml:space="preserve">The table below reports the means and standard deviations for the individual conditions in </w:t>
      </w:r>
      <w:r w:rsidR="00F70B1F">
        <w:rPr>
          <w:rFonts w:eastAsia="Times New Roman" w:cs="Times New Roman"/>
          <w:bCs/>
          <w:szCs w:val="24"/>
        </w:rPr>
        <w:t xml:space="preserve">our analysis examining the effect of modality and message format on </w:t>
      </w:r>
      <w:r>
        <w:rPr>
          <w:rFonts w:eastAsia="Times New Roman" w:cs="Times New Roman"/>
          <w:bCs/>
          <w:szCs w:val="24"/>
        </w:rPr>
        <w:t xml:space="preserve">willingness to </w:t>
      </w:r>
      <w:r w:rsidR="001B4CB9">
        <w:rPr>
          <w:rFonts w:eastAsia="Times New Roman" w:cs="Times New Roman"/>
          <w:bCs/>
          <w:szCs w:val="24"/>
        </w:rPr>
        <w:t>buy</w:t>
      </w:r>
      <w:r>
        <w:rPr>
          <w:rFonts w:eastAsia="Times New Roman" w:cs="Times New Roman"/>
          <w:bCs/>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2250"/>
        <w:gridCol w:w="2160"/>
        <w:gridCol w:w="2250"/>
      </w:tblGrid>
      <w:tr w:rsidR="00AE051D" w14:paraId="452DE8EB" w14:textId="77777777" w:rsidTr="004B519C">
        <w:tc>
          <w:tcPr>
            <w:tcW w:w="2155" w:type="dxa"/>
            <w:tcBorders>
              <w:top w:val="single" w:sz="4" w:space="0" w:color="auto"/>
              <w:bottom w:val="single" w:sz="4" w:space="0" w:color="auto"/>
            </w:tcBorders>
          </w:tcPr>
          <w:p w14:paraId="6EED53F1" w14:textId="77777777" w:rsidR="00AE051D" w:rsidRDefault="00AE051D" w:rsidP="00AE051D">
            <w:pPr>
              <w:spacing w:line="240" w:lineRule="auto"/>
              <w:rPr>
                <w:rFonts w:eastAsia="Times New Roman" w:cs="Times New Roman"/>
                <w:bCs/>
                <w:szCs w:val="24"/>
              </w:rPr>
            </w:pPr>
          </w:p>
        </w:tc>
        <w:tc>
          <w:tcPr>
            <w:tcW w:w="2250" w:type="dxa"/>
            <w:tcBorders>
              <w:top w:val="single" w:sz="4" w:space="0" w:color="auto"/>
              <w:bottom w:val="single" w:sz="4" w:space="0" w:color="auto"/>
            </w:tcBorders>
          </w:tcPr>
          <w:p w14:paraId="21BA2536" w14:textId="5728238C" w:rsidR="00AE051D" w:rsidRPr="004B519C" w:rsidRDefault="00AE051D" w:rsidP="004B519C">
            <w:pPr>
              <w:spacing w:line="240" w:lineRule="auto"/>
              <w:jc w:val="center"/>
              <w:rPr>
                <w:rFonts w:eastAsia="Times New Roman" w:cs="Times New Roman"/>
                <w:b/>
                <w:szCs w:val="24"/>
              </w:rPr>
            </w:pPr>
            <w:r w:rsidRPr="004B519C">
              <w:rPr>
                <w:rFonts w:eastAsia="Times New Roman" w:cs="Times New Roman"/>
                <w:b/>
                <w:szCs w:val="24"/>
              </w:rPr>
              <w:t>Analytical</w:t>
            </w:r>
          </w:p>
        </w:tc>
        <w:tc>
          <w:tcPr>
            <w:tcW w:w="2160" w:type="dxa"/>
            <w:tcBorders>
              <w:top w:val="single" w:sz="4" w:space="0" w:color="auto"/>
              <w:bottom w:val="single" w:sz="4" w:space="0" w:color="auto"/>
            </w:tcBorders>
          </w:tcPr>
          <w:p w14:paraId="7D32483A" w14:textId="5F43ADB2" w:rsidR="00AE051D" w:rsidRPr="004B519C" w:rsidRDefault="00AE051D" w:rsidP="004B519C">
            <w:pPr>
              <w:spacing w:line="240" w:lineRule="auto"/>
              <w:jc w:val="center"/>
              <w:rPr>
                <w:rFonts w:eastAsia="Times New Roman" w:cs="Times New Roman"/>
                <w:b/>
                <w:szCs w:val="24"/>
              </w:rPr>
            </w:pPr>
            <w:r w:rsidRPr="004B519C">
              <w:rPr>
                <w:rFonts w:eastAsia="Times New Roman" w:cs="Times New Roman"/>
                <w:b/>
                <w:szCs w:val="24"/>
              </w:rPr>
              <w:t>Narrative</w:t>
            </w:r>
          </w:p>
        </w:tc>
        <w:tc>
          <w:tcPr>
            <w:tcW w:w="2250" w:type="dxa"/>
            <w:tcBorders>
              <w:top w:val="single" w:sz="4" w:space="0" w:color="auto"/>
              <w:bottom w:val="single" w:sz="4" w:space="0" w:color="auto"/>
            </w:tcBorders>
          </w:tcPr>
          <w:p w14:paraId="0D09E171" w14:textId="249F9161" w:rsidR="00AE051D" w:rsidRPr="004B519C" w:rsidRDefault="00AE051D" w:rsidP="004B519C">
            <w:pPr>
              <w:spacing w:line="240" w:lineRule="auto"/>
              <w:jc w:val="center"/>
              <w:rPr>
                <w:rFonts w:eastAsia="Times New Roman" w:cs="Times New Roman"/>
                <w:b/>
                <w:szCs w:val="24"/>
              </w:rPr>
            </w:pPr>
            <w:r w:rsidRPr="004B519C">
              <w:rPr>
                <w:rFonts w:eastAsia="Times New Roman" w:cs="Times New Roman"/>
                <w:b/>
                <w:szCs w:val="24"/>
              </w:rPr>
              <w:t>Blended</w:t>
            </w:r>
          </w:p>
        </w:tc>
      </w:tr>
      <w:tr w:rsidR="00AE051D" w14:paraId="53735169" w14:textId="77777777" w:rsidTr="004B519C">
        <w:tc>
          <w:tcPr>
            <w:tcW w:w="2155" w:type="dxa"/>
            <w:tcBorders>
              <w:top w:val="single" w:sz="4" w:space="0" w:color="auto"/>
            </w:tcBorders>
          </w:tcPr>
          <w:p w14:paraId="0D4D5013" w14:textId="6C3B05DC" w:rsidR="00AE051D" w:rsidRDefault="00AE051D" w:rsidP="00AE051D">
            <w:pPr>
              <w:spacing w:line="240" w:lineRule="auto"/>
              <w:rPr>
                <w:rFonts w:eastAsia="Times New Roman" w:cs="Times New Roman"/>
                <w:bCs/>
                <w:szCs w:val="24"/>
              </w:rPr>
            </w:pPr>
            <w:r>
              <w:rPr>
                <w:rFonts w:eastAsia="Times New Roman" w:cs="Times New Roman"/>
                <w:bCs/>
                <w:szCs w:val="24"/>
              </w:rPr>
              <w:t>Written</w:t>
            </w:r>
          </w:p>
        </w:tc>
        <w:tc>
          <w:tcPr>
            <w:tcW w:w="2250" w:type="dxa"/>
            <w:tcBorders>
              <w:top w:val="single" w:sz="4" w:space="0" w:color="auto"/>
            </w:tcBorders>
          </w:tcPr>
          <w:p w14:paraId="6A058E11" w14:textId="6C57305D" w:rsidR="00AE051D" w:rsidRDefault="00AE051D" w:rsidP="004B519C">
            <w:pPr>
              <w:spacing w:line="240" w:lineRule="auto"/>
              <w:jc w:val="center"/>
              <w:rPr>
                <w:rFonts w:eastAsia="Times New Roman" w:cs="Times New Roman"/>
                <w:bCs/>
                <w:szCs w:val="24"/>
              </w:rPr>
            </w:pPr>
            <w:r>
              <w:rPr>
                <w:rFonts w:eastAsia="Times New Roman" w:cs="Times New Roman"/>
                <w:bCs/>
                <w:szCs w:val="24"/>
              </w:rPr>
              <w:t>4.81 (1.37)</w:t>
            </w:r>
          </w:p>
        </w:tc>
        <w:tc>
          <w:tcPr>
            <w:tcW w:w="2160" w:type="dxa"/>
            <w:tcBorders>
              <w:top w:val="single" w:sz="4" w:space="0" w:color="auto"/>
            </w:tcBorders>
          </w:tcPr>
          <w:p w14:paraId="7227FF9C" w14:textId="0D303D70" w:rsidR="00AE051D" w:rsidRDefault="00AE051D" w:rsidP="004B519C">
            <w:pPr>
              <w:spacing w:line="240" w:lineRule="auto"/>
              <w:jc w:val="center"/>
              <w:rPr>
                <w:rFonts w:eastAsia="Times New Roman" w:cs="Times New Roman"/>
                <w:bCs/>
                <w:szCs w:val="24"/>
              </w:rPr>
            </w:pPr>
            <w:r>
              <w:rPr>
                <w:rFonts w:eastAsia="Times New Roman" w:cs="Times New Roman"/>
                <w:bCs/>
                <w:szCs w:val="24"/>
              </w:rPr>
              <w:t>5.24 (1.53)</w:t>
            </w:r>
          </w:p>
        </w:tc>
        <w:tc>
          <w:tcPr>
            <w:tcW w:w="2250" w:type="dxa"/>
            <w:tcBorders>
              <w:top w:val="single" w:sz="4" w:space="0" w:color="auto"/>
            </w:tcBorders>
          </w:tcPr>
          <w:p w14:paraId="0385F0EC" w14:textId="799D6B37" w:rsidR="00AE051D" w:rsidRDefault="00AE051D" w:rsidP="004B519C">
            <w:pPr>
              <w:spacing w:line="240" w:lineRule="auto"/>
              <w:jc w:val="center"/>
              <w:rPr>
                <w:rFonts w:eastAsia="Times New Roman" w:cs="Times New Roman"/>
                <w:bCs/>
                <w:szCs w:val="24"/>
              </w:rPr>
            </w:pPr>
            <w:r>
              <w:rPr>
                <w:rFonts w:eastAsia="Times New Roman" w:cs="Times New Roman"/>
                <w:bCs/>
                <w:szCs w:val="24"/>
              </w:rPr>
              <w:t>5.63 (1.26)</w:t>
            </w:r>
          </w:p>
        </w:tc>
      </w:tr>
      <w:tr w:rsidR="00AE051D" w14:paraId="1DA924EA" w14:textId="77777777" w:rsidTr="004B519C">
        <w:tc>
          <w:tcPr>
            <w:tcW w:w="2155" w:type="dxa"/>
            <w:tcBorders>
              <w:bottom w:val="single" w:sz="4" w:space="0" w:color="auto"/>
            </w:tcBorders>
          </w:tcPr>
          <w:p w14:paraId="0A070BAE" w14:textId="06703765" w:rsidR="00AE051D" w:rsidRDefault="00AE051D" w:rsidP="00AE051D">
            <w:pPr>
              <w:spacing w:line="240" w:lineRule="auto"/>
              <w:rPr>
                <w:rFonts w:eastAsia="Times New Roman" w:cs="Times New Roman"/>
                <w:bCs/>
                <w:szCs w:val="24"/>
              </w:rPr>
            </w:pPr>
            <w:r>
              <w:rPr>
                <w:rFonts w:eastAsia="Times New Roman" w:cs="Times New Roman"/>
                <w:bCs/>
                <w:szCs w:val="24"/>
              </w:rPr>
              <w:t>Audio</w:t>
            </w:r>
          </w:p>
        </w:tc>
        <w:tc>
          <w:tcPr>
            <w:tcW w:w="2250" w:type="dxa"/>
            <w:tcBorders>
              <w:bottom w:val="single" w:sz="4" w:space="0" w:color="auto"/>
            </w:tcBorders>
          </w:tcPr>
          <w:p w14:paraId="4B57C037" w14:textId="632072EE" w:rsidR="00AE051D" w:rsidRDefault="00AE051D" w:rsidP="004B519C">
            <w:pPr>
              <w:spacing w:line="240" w:lineRule="auto"/>
              <w:jc w:val="center"/>
              <w:rPr>
                <w:rFonts w:eastAsia="Times New Roman" w:cs="Times New Roman"/>
                <w:bCs/>
                <w:szCs w:val="24"/>
              </w:rPr>
            </w:pPr>
            <w:r>
              <w:rPr>
                <w:rFonts w:eastAsia="Times New Roman" w:cs="Times New Roman"/>
                <w:bCs/>
                <w:szCs w:val="24"/>
              </w:rPr>
              <w:t>5.01 (1.48)</w:t>
            </w:r>
          </w:p>
        </w:tc>
        <w:tc>
          <w:tcPr>
            <w:tcW w:w="2160" w:type="dxa"/>
            <w:tcBorders>
              <w:bottom w:val="single" w:sz="4" w:space="0" w:color="auto"/>
            </w:tcBorders>
          </w:tcPr>
          <w:p w14:paraId="0075EC0E" w14:textId="1AF34658" w:rsidR="00AE051D" w:rsidRDefault="00AE051D" w:rsidP="004B519C">
            <w:pPr>
              <w:spacing w:line="240" w:lineRule="auto"/>
              <w:jc w:val="center"/>
              <w:rPr>
                <w:rFonts w:eastAsia="Times New Roman" w:cs="Times New Roman"/>
                <w:bCs/>
                <w:szCs w:val="24"/>
              </w:rPr>
            </w:pPr>
            <w:r>
              <w:rPr>
                <w:rFonts w:eastAsia="Times New Roman" w:cs="Times New Roman"/>
                <w:bCs/>
                <w:szCs w:val="24"/>
              </w:rPr>
              <w:t>4.61 (1.74)</w:t>
            </w:r>
          </w:p>
        </w:tc>
        <w:tc>
          <w:tcPr>
            <w:tcW w:w="2250" w:type="dxa"/>
            <w:tcBorders>
              <w:bottom w:val="single" w:sz="4" w:space="0" w:color="auto"/>
            </w:tcBorders>
          </w:tcPr>
          <w:p w14:paraId="46ED820B" w14:textId="4031DE8B" w:rsidR="00AE051D" w:rsidRDefault="00AE051D" w:rsidP="004B519C">
            <w:pPr>
              <w:spacing w:line="240" w:lineRule="auto"/>
              <w:jc w:val="center"/>
              <w:rPr>
                <w:rFonts w:eastAsia="Times New Roman" w:cs="Times New Roman"/>
                <w:bCs/>
                <w:szCs w:val="24"/>
              </w:rPr>
            </w:pPr>
            <w:r>
              <w:rPr>
                <w:rFonts w:eastAsia="Times New Roman" w:cs="Times New Roman"/>
                <w:bCs/>
                <w:szCs w:val="24"/>
              </w:rPr>
              <w:t>5.08 (1.53)</w:t>
            </w:r>
          </w:p>
        </w:tc>
      </w:tr>
    </w:tbl>
    <w:p w14:paraId="50A47400" w14:textId="77777777" w:rsidR="00AE051D" w:rsidRDefault="00AE051D" w:rsidP="00627F23">
      <w:pPr>
        <w:rPr>
          <w:rFonts w:eastAsia="Times New Roman" w:cs="Times New Roman"/>
          <w:bCs/>
          <w:szCs w:val="24"/>
        </w:rPr>
      </w:pPr>
    </w:p>
    <w:p w14:paraId="497A7895" w14:textId="5433572E" w:rsidR="00D07C87" w:rsidRPr="00926EC9" w:rsidRDefault="00D07C87" w:rsidP="00E81E4A">
      <w:pPr>
        <w:spacing w:line="240" w:lineRule="auto"/>
        <w:ind w:firstLine="567"/>
        <w:rPr>
          <w:rFonts w:eastAsia="Times New Roman" w:cs="Times New Roman"/>
          <w:bCs/>
          <w:szCs w:val="24"/>
        </w:rPr>
      </w:pPr>
      <w:r w:rsidRPr="00926EC9">
        <w:rPr>
          <w:rFonts w:eastAsia="Times New Roman" w:cs="Times New Roman"/>
          <w:bCs/>
          <w:szCs w:val="24"/>
        </w:rPr>
        <w:t xml:space="preserve">We used PROCESS model 8 to explore the mediated effects, treating message format as the independent variable, modality as the moderator, willingness to buy as the dependent variable, and elaboration, narrative transportation, and processing fluency as mediators. </w:t>
      </w:r>
    </w:p>
    <w:p w14:paraId="7A70B8C7" w14:textId="32568CAE" w:rsidR="00D07C87" w:rsidRPr="00926EC9" w:rsidRDefault="00D07C87" w:rsidP="00E81E4A">
      <w:pPr>
        <w:spacing w:line="240" w:lineRule="auto"/>
        <w:ind w:firstLine="567"/>
        <w:rPr>
          <w:rFonts w:eastAsia="Times New Roman" w:cs="Times New Roman"/>
          <w:bCs/>
          <w:szCs w:val="24"/>
        </w:rPr>
      </w:pPr>
      <w:r w:rsidRPr="00926EC9">
        <w:rPr>
          <w:rFonts w:eastAsia="Times New Roman" w:cs="Times New Roman"/>
          <w:bCs/>
          <w:szCs w:val="24"/>
        </w:rPr>
        <w:t>We first consider the indirect effects of format in the written modality, examining the effects of each individual format separately. The effect of narrative versus analytical written messages on persuasion was mediated by transportation (</w:t>
      </w:r>
      <w:r w:rsidRPr="00926EC9">
        <w:rPr>
          <w:rFonts w:eastAsia="Times New Roman" w:cs="Times New Roman"/>
          <w:bCs/>
          <w:i/>
          <w:iCs/>
          <w:szCs w:val="24"/>
        </w:rPr>
        <w:t xml:space="preserve">b </w:t>
      </w:r>
      <w:r w:rsidRPr="00926EC9">
        <w:rPr>
          <w:rFonts w:eastAsia="Times New Roman" w:cs="Times New Roman"/>
          <w:bCs/>
          <w:szCs w:val="24"/>
        </w:rPr>
        <w:t xml:space="preserve">= .41, </w:t>
      </w:r>
      <w:r w:rsidRPr="001B4CB9">
        <w:rPr>
          <w:rFonts w:eastAsia="Times New Roman" w:cs="Times New Roman"/>
          <w:bCs/>
          <w:i/>
          <w:iCs/>
          <w:szCs w:val="24"/>
        </w:rPr>
        <w:t>SE</w:t>
      </w:r>
      <w:r w:rsidRPr="00926EC9">
        <w:rPr>
          <w:rFonts w:eastAsia="Times New Roman" w:cs="Times New Roman"/>
          <w:bCs/>
          <w:szCs w:val="24"/>
        </w:rPr>
        <w:t xml:space="preserve"> = .13, </w:t>
      </w:r>
      <w:r w:rsidRPr="001B4CB9">
        <w:rPr>
          <w:rFonts w:eastAsia="Times New Roman" w:cs="Times New Roman"/>
          <w:bCs/>
          <w:i/>
          <w:iCs/>
          <w:szCs w:val="24"/>
        </w:rPr>
        <w:t>95% CI</w:t>
      </w:r>
      <w:r w:rsidRPr="00926EC9">
        <w:rPr>
          <w:rFonts w:eastAsia="Times New Roman" w:cs="Times New Roman"/>
          <w:bCs/>
          <w:szCs w:val="24"/>
        </w:rPr>
        <w:t>: .1664, .6701), but not elaboration or fluency. The effect of blended written message versus analytical written message was also mediated by transportation (</w:t>
      </w:r>
      <w:r w:rsidRPr="00926EC9">
        <w:rPr>
          <w:rFonts w:eastAsia="Times New Roman" w:cs="Times New Roman"/>
          <w:bCs/>
          <w:i/>
          <w:iCs/>
          <w:szCs w:val="24"/>
        </w:rPr>
        <w:t xml:space="preserve">b </w:t>
      </w:r>
      <w:r w:rsidRPr="00926EC9">
        <w:rPr>
          <w:rFonts w:eastAsia="Times New Roman" w:cs="Times New Roman"/>
          <w:bCs/>
          <w:szCs w:val="24"/>
        </w:rPr>
        <w:t xml:space="preserve">= .32, </w:t>
      </w:r>
      <w:r w:rsidRPr="001B4CB9">
        <w:rPr>
          <w:rFonts w:eastAsia="Times New Roman" w:cs="Times New Roman"/>
          <w:bCs/>
          <w:i/>
          <w:iCs/>
          <w:szCs w:val="24"/>
        </w:rPr>
        <w:t>SE</w:t>
      </w:r>
      <w:r w:rsidRPr="00926EC9">
        <w:rPr>
          <w:rFonts w:eastAsia="Times New Roman" w:cs="Times New Roman"/>
          <w:bCs/>
          <w:szCs w:val="24"/>
        </w:rPr>
        <w:t xml:space="preserve"> = .12, </w:t>
      </w:r>
      <w:r w:rsidRPr="001B4CB9">
        <w:rPr>
          <w:rFonts w:eastAsia="Times New Roman" w:cs="Times New Roman"/>
          <w:bCs/>
          <w:i/>
          <w:iCs/>
          <w:szCs w:val="24"/>
        </w:rPr>
        <w:t>95% CI</w:t>
      </w:r>
      <w:r w:rsidRPr="00926EC9">
        <w:rPr>
          <w:rFonts w:eastAsia="Times New Roman" w:cs="Times New Roman"/>
          <w:bCs/>
          <w:szCs w:val="24"/>
        </w:rPr>
        <w:t>: .0972, .5652) but not fluency or elaboration. The effect of the blended versus narrative written messages was not explained through any significant difference of the mediators</w:t>
      </w:r>
      <w:r w:rsidR="00125F23">
        <w:rPr>
          <w:rFonts w:eastAsia="Times New Roman" w:cs="Times New Roman"/>
          <w:bCs/>
          <w:szCs w:val="24"/>
        </w:rPr>
        <w:t>.</w:t>
      </w:r>
    </w:p>
    <w:p w14:paraId="516DA387" w14:textId="77777777" w:rsidR="00D07C87" w:rsidRDefault="00D07C87" w:rsidP="00E81E4A">
      <w:pPr>
        <w:spacing w:line="240" w:lineRule="auto"/>
        <w:ind w:firstLine="567"/>
        <w:rPr>
          <w:rFonts w:eastAsia="Times New Roman" w:cs="Times New Roman"/>
          <w:bCs/>
          <w:szCs w:val="24"/>
        </w:rPr>
      </w:pPr>
      <w:r w:rsidRPr="00926EC9">
        <w:rPr>
          <w:rFonts w:eastAsia="Times New Roman" w:cs="Times New Roman"/>
          <w:bCs/>
          <w:szCs w:val="24"/>
        </w:rPr>
        <w:t>We next consider the indirect effects in the audio modality, again considering the effects of each individual format separately. The effect of the narrative versus analytical audio message on persuasion through fluency were marginally significant (</w:t>
      </w:r>
      <w:r w:rsidRPr="00926EC9">
        <w:rPr>
          <w:rFonts w:eastAsia="Times New Roman" w:cs="Times New Roman"/>
          <w:bCs/>
          <w:i/>
          <w:iCs/>
          <w:szCs w:val="24"/>
        </w:rPr>
        <w:t xml:space="preserve">b </w:t>
      </w:r>
      <w:r w:rsidRPr="00926EC9">
        <w:rPr>
          <w:rFonts w:eastAsia="Times New Roman" w:cs="Times New Roman"/>
          <w:bCs/>
          <w:szCs w:val="24"/>
        </w:rPr>
        <w:t xml:space="preserve">= -.07, </w:t>
      </w:r>
      <w:r w:rsidRPr="001B4CB9">
        <w:rPr>
          <w:rFonts w:eastAsia="Times New Roman" w:cs="Times New Roman"/>
          <w:bCs/>
          <w:i/>
          <w:iCs/>
          <w:szCs w:val="24"/>
        </w:rPr>
        <w:t>SE</w:t>
      </w:r>
      <w:r w:rsidRPr="00926EC9">
        <w:rPr>
          <w:rFonts w:eastAsia="Times New Roman" w:cs="Times New Roman"/>
          <w:bCs/>
          <w:szCs w:val="24"/>
        </w:rPr>
        <w:t xml:space="preserve"> = .05, </w:t>
      </w:r>
      <w:r w:rsidRPr="001B4CB9">
        <w:rPr>
          <w:rFonts w:eastAsia="Times New Roman" w:cs="Times New Roman"/>
          <w:bCs/>
          <w:i/>
          <w:iCs/>
          <w:szCs w:val="24"/>
        </w:rPr>
        <w:t>95% CI:</w:t>
      </w:r>
      <w:r w:rsidRPr="00926EC9">
        <w:rPr>
          <w:rFonts w:eastAsia="Times New Roman" w:cs="Times New Roman"/>
          <w:bCs/>
          <w:szCs w:val="24"/>
        </w:rPr>
        <w:t xml:space="preserve"> -.1774, .0070), such that analytical message enhanced fluency relative to the narrative message, and non-significant for transportation and elaboration. The effect of the analytical versus blended audio message on persuasion through fluency was also significant (</w:t>
      </w:r>
      <w:r w:rsidRPr="00926EC9">
        <w:rPr>
          <w:rFonts w:eastAsia="Times New Roman" w:cs="Times New Roman"/>
          <w:bCs/>
          <w:i/>
          <w:iCs/>
          <w:szCs w:val="24"/>
        </w:rPr>
        <w:t xml:space="preserve">b </w:t>
      </w:r>
      <w:r w:rsidRPr="00926EC9">
        <w:rPr>
          <w:rFonts w:eastAsia="Times New Roman" w:cs="Times New Roman"/>
          <w:bCs/>
          <w:szCs w:val="24"/>
        </w:rPr>
        <w:t xml:space="preserve">= .07, </w:t>
      </w:r>
      <w:r w:rsidRPr="001B4CB9">
        <w:rPr>
          <w:rFonts w:eastAsia="Times New Roman" w:cs="Times New Roman"/>
          <w:bCs/>
          <w:i/>
          <w:iCs/>
          <w:szCs w:val="24"/>
        </w:rPr>
        <w:t xml:space="preserve">SE </w:t>
      </w:r>
      <w:r w:rsidRPr="00926EC9">
        <w:rPr>
          <w:rFonts w:eastAsia="Times New Roman" w:cs="Times New Roman"/>
          <w:bCs/>
          <w:szCs w:val="24"/>
        </w:rPr>
        <w:t xml:space="preserve">= .04, </w:t>
      </w:r>
      <w:r w:rsidRPr="001B4CB9">
        <w:rPr>
          <w:rFonts w:eastAsia="Times New Roman" w:cs="Times New Roman"/>
          <w:bCs/>
          <w:i/>
          <w:iCs/>
          <w:szCs w:val="24"/>
        </w:rPr>
        <w:t>95% CI</w:t>
      </w:r>
      <w:r w:rsidRPr="00926EC9">
        <w:rPr>
          <w:rFonts w:eastAsia="Times New Roman" w:cs="Times New Roman"/>
          <w:bCs/>
          <w:szCs w:val="24"/>
        </w:rPr>
        <w:t>: .0016, .1750), such that the analytical message enhanced fluency relative to the blended message, but not transportation or elaboration. The effect of the blended versus narrative audio messages was not explained through any of the mediators.</w:t>
      </w:r>
      <w:r>
        <w:rPr>
          <w:rFonts w:eastAsia="Times New Roman" w:cs="Times New Roman"/>
          <w:bCs/>
          <w:szCs w:val="24"/>
        </w:rPr>
        <w:t xml:space="preserve"> </w:t>
      </w:r>
    </w:p>
    <w:p w14:paraId="6456B32D" w14:textId="77777777" w:rsidR="0019163E" w:rsidRDefault="0019163E" w:rsidP="00E81E4A">
      <w:pPr>
        <w:spacing w:line="240" w:lineRule="auto"/>
        <w:ind w:firstLine="567"/>
        <w:rPr>
          <w:rFonts w:eastAsia="Times New Roman" w:cs="Times New Roman"/>
          <w:szCs w:val="24"/>
        </w:rPr>
      </w:pPr>
      <w:r w:rsidRPr="0019163E">
        <w:rPr>
          <w:rFonts w:eastAsia="Times New Roman" w:cs="Times New Roman"/>
          <w:szCs w:val="24"/>
        </w:rPr>
        <w:t xml:space="preserve">The blended message evoked more transportation than the analytical message. While our analysis yielded no significant processes to explain the effects of narrative versus blended messages, this may be due to the fact that the persuasive effects of written blended and narrative messages were similar (yielding minimal variance to be explained by process variables). Alternatively, it is possible that the persuasive efficacy of blended written versus narrative written messages is explained through other processes that we did not measure, such as perceptions of message “balance” or credibility. The indirect effects of the analytical versus narrative audio modality through fluency, while marginal, support our original proposal that the </w:t>
      </w:r>
      <w:r w:rsidRPr="0019163E">
        <w:rPr>
          <w:lang w:val="en-US"/>
        </w:rPr>
        <w:t xml:space="preserve">relatively easier-to-encode modality of audio favors analytical processing. This also appears to be the case for blended messages: the analytical audio messages enhanced fluency relative to blended audio messages. The effects of the blended versus narrative audio messages also were not explained through any of the process variables, which again may be due to either decreased variance to explain in the willingness to buy outcome, or the operation of processes that we did not measure. </w:t>
      </w:r>
    </w:p>
    <w:p w14:paraId="7594A849" w14:textId="77777777" w:rsidR="00926EC9" w:rsidRDefault="00926EC9" w:rsidP="00926EC9">
      <w:pPr>
        <w:ind w:firstLine="567"/>
        <w:rPr>
          <w:rFonts w:eastAsia="Times New Roman" w:cs="Times New Roman"/>
          <w:bCs/>
          <w:szCs w:val="24"/>
        </w:rPr>
      </w:pPr>
    </w:p>
    <w:p w14:paraId="5DFD28CF" w14:textId="77777777" w:rsidR="00CA2C63" w:rsidRDefault="00CA2C63" w:rsidP="004D6D7E">
      <w:pPr>
        <w:spacing w:before="120" w:line="240" w:lineRule="auto"/>
        <w:rPr>
          <w:rFonts w:eastAsia="Arial" w:cs="Times New Roman"/>
          <w:sz w:val="20"/>
          <w:szCs w:val="20"/>
          <w:lang w:val="en-US"/>
        </w:rPr>
        <w:sectPr w:rsidR="00CA2C63" w:rsidSect="00CA2C63">
          <w:pgSz w:w="12242" w:h="15842" w:code="1"/>
          <w:pgMar w:top="1440" w:right="1440" w:bottom="1440" w:left="1440" w:header="709" w:footer="709" w:gutter="0"/>
          <w:cols w:space="708"/>
          <w:docGrid w:linePitch="360"/>
        </w:sectPr>
      </w:pPr>
    </w:p>
    <w:p w14:paraId="5413702E" w14:textId="28B3DE2D" w:rsidR="00CA2C63" w:rsidRDefault="00CA2C63" w:rsidP="00CA2C63">
      <w:pPr>
        <w:pStyle w:val="Heading1"/>
        <w:rPr>
          <w:rFonts w:eastAsia="Calibri" w:cs="Times New Roman"/>
          <w:lang w:val="en-US"/>
        </w:rPr>
      </w:pPr>
      <w:bookmarkStart w:id="26" w:name="_Toc185425574"/>
      <w:r w:rsidRPr="00F50308">
        <w:rPr>
          <w:rFonts w:eastAsia="Calibri" w:cs="Times New Roman"/>
          <w:lang w:val="en-US"/>
        </w:rPr>
        <w:t xml:space="preserve">Web Appendix </w:t>
      </w:r>
      <w:r w:rsidR="007D6961">
        <w:rPr>
          <w:rFonts w:eastAsia="Calibri" w:cs="Times New Roman"/>
          <w:lang w:val="en-US"/>
        </w:rPr>
        <w:t>D</w:t>
      </w:r>
      <w:r w:rsidRPr="00F50308">
        <w:rPr>
          <w:rFonts w:eastAsia="Calibri" w:cs="Times New Roman"/>
          <w:lang w:val="en-US"/>
        </w:rPr>
        <w:t xml:space="preserve">. </w:t>
      </w:r>
      <w:r>
        <w:rPr>
          <w:rFonts w:eastAsia="Calibri" w:cs="Times New Roman"/>
          <w:lang w:val="en-US"/>
        </w:rPr>
        <w:t>S</w:t>
      </w:r>
      <w:r w:rsidRPr="00CA2C63">
        <w:rPr>
          <w:rFonts w:eastAsia="Calibri" w:cs="Times New Roman"/>
          <w:lang w:val="en-US"/>
        </w:rPr>
        <w:t xml:space="preserve">urvey of </w:t>
      </w:r>
      <w:r w:rsidR="006274D9">
        <w:rPr>
          <w:rFonts w:eastAsia="Calibri" w:cs="Times New Roman"/>
          <w:lang w:val="en-US"/>
        </w:rPr>
        <w:t>se</w:t>
      </w:r>
      <w:r w:rsidR="006274D9" w:rsidRPr="00CA2C63">
        <w:rPr>
          <w:rFonts w:eastAsia="Calibri" w:cs="Times New Roman"/>
          <w:lang w:val="en-US"/>
        </w:rPr>
        <w:t xml:space="preserve">nior </w:t>
      </w:r>
      <w:r w:rsidR="006274D9">
        <w:rPr>
          <w:rFonts w:eastAsia="Calibri" w:cs="Times New Roman"/>
          <w:lang w:val="en-US"/>
        </w:rPr>
        <w:t>m</w:t>
      </w:r>
      <w:r w:rsidR="006274D9" w:rsidRPr="00CA2C63">
        <w:rPr>
          <w:rFonts w:eastAsia="Calibri" w:cs="Times New Roman"/>
          <w:lang w:val="en-US"/>
        </w:rPr>
        <w:t xml:space="preserve">arketing </w:t>
      </w:r>
      <w:r w:rsidR="006274D9">
        <w:rPr>
          <w:rFonts w:eastAsia="Calibri" w:cs="Times New Roman"/>
          <w:lang w:val="en-US"/>
        </w:rPr>
        <w:t>m</w:t>
      </w:r>
      <w:r w:rsidR="006274D9" w:rsidRPr="00CA2C63">
        <w:rPr>
          <w:rFonts w:eastAsia="Calibri" w:cs="Times New Roman"/>
          <w:lang w:val="en-US"/>
        </w:rPr>
        <w:t>anagers</w:t>
      </w:r>
      <w:bookmarkEnd w:id="26"/>
    </w:p>
    <w:p w14:paraId="5071E153" w14:textId="77777777" w:rsidR="00DF6C31" w:rsidRPr="00CE1A49" w:rsidRDefault="00491165" w:rsidP="00CE1A49">
      <w:pPr>
        <w:spacing w:after="120" w:line="240" w:lineRule="auto"/>
        <w:contextualSpacing/>
        <w:rPr>
          <w:sz w:val="22"/>
          <w:szCs w:val="20"/>
          <w:lang w:val="en-US"/>
        </w:rPr>
      </w:pPr>
      <w:r w:rsidRPr="00CE1A49">
        <w:rPr>
          <w:sz w:val="22"/>
          <w:szCs w:val="20"/>
          <w:lang w:val="en-US"/>
        </w:rPr>
        <w:t xml:space="preserve">Our study differentiates between analytical messages, which present facts and rational arguments, and narrative messages, which use storytelling. </w:t>
      </w:r>
    </w:p>
    <w:p w14:paraId="0028099C" w14:textId="773BE94B" w:rsidR="00491165" w:rsidRPr="00CE1A49" w:rsidRDefault="00491165" w:rsidP="00CE1A49">
      <w:pPr>
        <w:pStyle w:val="ListParagraph"/>
        <w:numPr>
          <w:ilvl w:val="0"/>
          <w:numId w:val="20"/>
        </w:numPr>
        <w:spacing w:after="120"/>
        <w:rPr>
          <w:sz w:val="22"/>
          <w:szCs w:val="20"/>
          <w:lang w:val="en-US"/>
        </w:rPr>
      </w:pPr>
      <w:r w:rsidRPr="00CE1A49">
        <w:rPr>
          <w:sz w:val="22"/>
          <w:szCs w:val="20"/>
          <w:lang w:val="en-US"/>
        </w:rPr>
        <w:t>Considering the customer communication of your organization or your clients, how much of it (in percent) use analytical messages and narrative messages?</w:t>
      </w:r>
    </w:p>
    <w:p w14:paraId="35C72028" w14:textId="27FA2A76" w:rsidR="00491165" w:rsidRPr="00CE1A49" w:rsidRDefault="00491165" w:rsidP="00CE1A49">
      <w:pPr>
        <w:pStyle w:val="ListParagraph"/>
        <w:numPr>
          <w:ilvl w:val="0"/>
          <w:numId w:val="20"/>
        </w:numPr>
        <w:spacing w:after="120"/>
        <w:rPr>
          <w:sz w:val="22"/>
          <w:szCs w:val="20"/>
          <w:lang w:val="en-US"/>
        </w:rPr>
      </w:pPr>
      <w:r w:rsidRPr="00CE1A49">
        <w:rPr>
          <w:sz w:val="22"/>
          <w:szCs w:val="20"/>
          <w:lang w:val="en-US"/>
        </w:rPr>
        <w:t>In your experience, which type of message is generally more successful in persuading customer for your organization or your clients?</w:t>
      </w:r>
    </w:p>
    <w:p w14:paraId="4462CB0E" w14:textId="77777777" w:rsidR="00CE1A49" w:rsidRPr="00CE1A49" w:rsidRDefault="00CE1A49" w:rsidP="00CE1A49">
      <w:pPr>
        <w:spacing w:after="120" w:line="240" w:lineRule="auto"/>
        <w:contextualSpacing/>
        <w:rPr>
          <w:sz w:val="22"/>
          <w:szCs w:val="20"/>
          <w:lang w:val="en-US"/>
        </w:rPr>
      </w:pPr>
      <w:r w:rsidRPr="00CE1A49">
        <w:rPr>
          <w:sz w:val="22"/>
          <w:szCs w:val="20"/>
          <w:lang w:val="en-US"/>
        </w:rPr>
        <w:t>Messages can be communicated in different ways or modalities (written communication such as print, outdoor, or blogs vs. audio communication such as radio or podcast).</w:t>
      </w:r>
    </w:p>
    <w:p w14:paraId="291F436F" w14:textId="3E81BCB1" w:rsidR="00CA2C63" w:rsidRPr="00CE1A49" w:rsidRDefault="00CE1A49" w:rsidP="00CE1A49">
      <w:pPr>
        <w:pStyle w:val="ListParagraph"/>
        <w:numPr>
          <w:ilvl w:val="0"/>
          <w:numId w:val="20"/>
        </w:numPr>
        <w:spacing w:after="120"/>
        <w:rPr>
          <w:sz w:val="22"/>
          <w:szCs w:val="20"/>
          <w:lang w:val="en-US"/>
        </w:rPr>
      </w:pPr>
      <w:r w:rsidRPr="00CE1A49">
        <w:rPr>
          <w:sz w:val="22"/>
          <w:szCs w:val="20"/>
          <w:lang w:val="en-US"/>
        </w:rPr>
        <w:t>In your experience, does the modality (written vs. audio) change the effectiveness of analytical and/or narrative messages?</w:t>
      </w:r>
    </w:p>
    <w:p w14:paraId="7D470C51" w14:textId="24BE0CFC"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If Yes: Please explain to us how and why.</w:t>
      </w:r>
    </w:p>
    <w:p w14:paraId="74182738" w14:textId="77777777" w:rsidR="00CE1A49" w:rsidRPr="00CE1A49" w:rsidRDefault="00CE1A49" w:rsidP="00CE1A49">
      <w:pPr>
        <w:spacing w:after="120" w:line="240" w:lineRule="auto"/>
        <w:contextualSpacing/>
        <w:rPr>
          <w:sz w:val="22"/>
          <w:szCs w:val="20"/>
          <w:lang w:val="en-US"/>
        </w:rPr>
      </w:pPr>
      <w:r w:rsidRPr="00CE1A49">
        <w:rPr>
          <w:sz w:val="22"/>
          <w:szCs w:val="20"/>
          <w:lang w:val="en-US"/>
        </w:rPr>
        <w:t>We found that analytical messages are more effective when conveyed in audio modality, and narrative messages are more effective in written modality.</w:t>
      </w:r>
    </w:p>
    <w:p w14:paraId="339D7E50" w14:textId="77777777"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How does this evidence influence the way you work?</w:t>
      </w:r>
    </w:p>
    <w:p w14:paraId="2E427A4E" w14:textId="3C03A093" w:rsidR="00CA2C63" w:rsidRPr="00CE1A49" w:rsidRDefault="00CE1A49" w:rsidP="00CE1A49">
      <w:pPr>
        <w:pStyle w:val="ListParagraph"/>
        <w:numPr>
          <w:ilvl w:val="0"/>
          <w:numId w:val="20"/>
        </w:numPr>
        <w:spacing w:after="120"/>
        <w:rPr>
          <w:sz w:val="22"/>
          <w:szCs w:val="20"/>
          <w:lang w:val="en-US"/>
        </w:rPr>
      </w:pPr>
      <w:r w:rsidRPr="00CE1A49">
        <w:rPr>
          <w:sz w:val="22"/>
          <w:szCs w:val="20"/>
          <w:lang w:val="en-US"/>
        </w:rPr>
        <w:t>Would you adapt or change anything based on this finding?</w:t>
      </w:r>
    </w:p>
    <w:p w14:paraId="47BCD587" w14:textId="7C27E2D0" w:rsidR="00CE1A49" w:rsidRPr="00CE1A49" w:rsidRDefault="00CE1A49" w:rsidP="00CE1A49">
      <w:pPr>
        <w:spacing w:after="120" w:line="240" w:lineRule="auto"/>
        <w:contextualSpacing/>
        <w:rPr>
          <w:sz w:val="22"/>
          <w:szCs w:val="20"/>
          <w:lang w:val="en-US"/>
        </w:rPr>
      </w:pPr>
      <w:r w:rsidRPr="00CE1A49">
        <w:rPr>
          <w:sz w:val="22"/>
          <w:szCs w:val="20"/>
          <w:lang w:val="en-US"/>
        </w:rPr>
        <w:t>Messages can be communicated for hedonic products (which provide pleasure and sensory gratification, appealing to emotions) and utilitarian products (which fulfil practical needs, emphasizing functionality and efficiency).</w:t>
      </w:r>
    </w:p>
    <w:p w14:paraId="207D4CAF" w14:textId="325876A2"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In your experience, does the type of product (hedonic vs. utilitarian) change the effectiveness of analytical and/or narrative messages?</w:t>
      </w:r>
    </w:p>
    <w:p w14:paraId="5FAC961D" w14:textId="04E7D6F7"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If Yes: Please explain to us how and why.</w:t>
      </w:r>
    </w:p>
    <w:p w14:paraId="564BDAD1" w14:textId="39C7F84D" w:rsidR="00CE1A49" w:rsidRPr="00CE1A49" w:rsidRDefault="00CE1A49" w:rsidP="00CE1A49">
      <w:pPr>
        <w:spacing w:after="120" w:line="240" w:lineRule="auto"/>
        <w:contextualSpacing/>
        <w:rPr>
          <w:sz w:val="22"/>
          <w:szCs w:val="20"/>
          <w:lang w:val="en-US"/>
        </w:rPr>
      </w:pPr>
      <w:r w:rsidRPr="00CE1A49">
        <w:rPr>
          <w:sz w:val="22"/>
          <w:szCs w:val="20"/>
          <w:lang w:val="en-US"/>
        </w:rPr>
        <w:t>We found that promoting utilitarian product is more effective using analytical messages, whereas promoting hedonic products is more effective using narrative messages.</w:t>
      </w:r>
    </w:p>
    <w:p w14:paraId="37166FAC" w14:textId="77777777"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How does this evidence influence the way you work?</w:t>
      </w:r>
    </w:p>
    <w:p w14:paraId="70497144" w14:textId="72C6FAF7"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Would you adapt or change anything based on this finding?</w:t>
      </w:r>
    </w:p>
    <w:p w14:paraId="60B972C9" w14:textId="4738573C" w:rsidR="00CE1A49" w:rsidRPr="00CE1A49" w:rsidRDefault="00CE1A49" w:rsidP="00CE1A49">
      <w:pPr>
        <w:spacing w:after="120" w:line="240" w:lineRule="auto"/>
        <w:contextualSpacing/>
        <w:rPr>
          <w:sz w:val="22"/>
          <w:szCs w:val="20"/>
          <w:lang w:val="en-US"/>
        </w:rPr>
      </w:pPr>
      <w:r w:rsidRPr="00CE1A49">
        <w:rPr>
          <w:sz w:val="22"/>
          <w:szCs w:val="20"/>
          <w:lang w:val="en-US"/>
        </w:rPr>
        <w:t>We also explored the effect of marketing messages that blend analytical and narrative elements by providing both factual information and engaging in storytelling to capture customers.</w:t>
      </w:r>
    </w:p>
    <w:p w14:paraId="771CC68C" w14:textId="45757C8F"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In your organization or for your clients, do you combine analytical and narrative elements in marketing messages?</w:t>
      </w:r>
    </w:p>
    <w:p w14:paraId="28B75F4C" w14:textId="77777777"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If Yes: Please explain to us how and why.</w:t>
      </w:r>
    </w:p>
    <w:p w14:paraId="728D1E12" w14:textId="0975A576" w:rsidR="00CE1A49" w:rsidRPr="00CE1A49" w:rsidRDefault="00CE1A49" w:rsidP="00CE1A49">
      <w:pPr>
        <w:spacing w:after="120" w:line="240" w:lineRule="auto"/>
        <w:contextualSpacing/>
        <w:rPr>
          <w:sz w:val="22"/>
          <w:szCs w:val="20"/>
          <w:lang w:val="en-US"/>
        </w:rPr>
      </w:pPr>
      <w:r w:rsidRPr="00CE1A49">
        <w:rPr>
          <w:sz w:val="22"/>
          <w:szCs w:val="20"/>
          <w:lang w:val="en-US"/>
        </w:rPr>
        <w:t>We found that blending narrative and analytical elements in a marketing message maximizes its persuasive impact, but only when they are delivered in written form (not in audio form).</w:t>
      </w:r>
    </w:p>
    <w:p w14:paraId="2AC79812" w14:textId="77777777"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How does this evidence influence the way you work?</w:t>
      </w:r>
    </w:p>
    <w:p w14:paraId="5B8F6F8D" w14:textId="4621A402"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Would you adapt or change anything based on this finding?</w:t>
      </w:r>
    </w:p>
    <w:p w14:paraId="1624D6A8" w14:textId="724ED209" w:rsidR="00CE1A49" w:rsidRPr="00CE1A49" w:rsidRDefault="00CE1A49" w:rsidP="00CE1A49">
      <w:pPr>
        <w:spacing w:after="120" w:line="240" w:lineRule="auto"/>
        <w:contextualSpacing/>
        <w:rPr>
          <w:sz w:val="22"/>
          <w:szCs w:val="20"/>
          <w:lang w:val="en-US"/>
        </w:rPr>
      </w:pPr>
      <w:r w:rsidRPr="00CE1A49">
        <w:rPr>
          <w:sz w:val="22"/>
          <w:szCs w:val="20"/>
          <w:lang w:val="en-US"/>
        </w:rPr>
        <w:t>Finally, please provide us with some information about yourself.</w:t>
      </w:r>
    </w:p>
    <w:p w14:paraId="57546427" w14:textId="2BC67E9B"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What is your position? Please briefly describe your responsibilities with regards to (marketing) communication:</w:t>
      </w:r>
    </w:p>
    <w:p w14:paraId="2E69F6DD" w14:textId="03D4DCAB" w:rsidR="00CE1A49" w:rsidRPr="00CE1A49" w:rsidRDefault="00CE1A49" w:rsidP="00CE1A49">
      <w:pPr>
        <w:pStyle w:val="ListParagraph"/>
        <w:numPr>
          <w:ilvl w:val="0"/>
          <w:numId w:val="20"/>
        </w:numPr>
        <w:spacing w:after="120"/>
        <w:rPr>
          <w:sz w:val="22"/>
          <w:szCs w:val="20"/>
          <w:lang w:val="en-US"/>
        </w:rPr>
      </w:pPr>
      <w:r w:rsidRPr="00CE1A49">
        <w:rPr>
          <w:sz w:val="22"/>
          <w:szCs w:val="20"/>
          <w:lang w:val="en-US"/>
        </w:rPr>
        <w:t>Years of experience in the (marketing) communication area.</w:t>
      </w:r>
    </w:p>
    <w:p w14:paraId="66201F8D" w14:textId="77777777" w:rsidR="007D6961" w:rsidRDefault="007D6961" w:rsidP="00CE1A49">
      <w:pPr>
        <w:spacing w:after="120" w:line="240" w:lineRule="auto"/>
        <w:contextualSpacing/>
        <w:rPr>
          <w:sz w:val="22"/>
          <w:szCs w:val="20"/>
          <w:lang w:val="en-US"/>
        </w:rPr>
        <w:sectPr w:rsidR="007D6961" w:rsidSect="00CA2C63">
          <w:pgSz w:w="12242" w:h="15842" w:code="1"/>
          <w:pgMar w:top="1440" w:right="1440" w:bottom="1440" w:left="1440" w:header="709" w:footer="709" w:gutter="0"/>
          <w:cols w:space="708"/>
          <w:docGrid w:linePitch="360"/>
        </w:sectPr>
      </w:pPr>
    </w:p>
    <w:p w14:paraId="79675762" w14:textId="02A5027C" w:rsidR="007D6961" w:rsidRPr="002D2D8C" w:rsidRDefault="00C85950" w:rsidP="007D6961">
      <w:pPr>
        <w:pStyle w:val="Heading1"/>
        <w:rPr>
          <w:rFonts w:eastAsia="Calibri"/>
          <w:lang w:val="en-US"/>
        </w:rPr>
      </w:pPr>
      <w:bookmarkStart w:id="27" w:name="_Hlk180419505"/>
      <w:bookmarkStart w:id="28" w:name="_Toc185425575"/>
      <w:r>
        <w:rPr>
          <w:rFonts w:eastAsia="Calibri"/>
          <w:lang w:val="en-US"/>
        </w:rPr>
        <w:t>Supplementa</w:t>
      </w:r>
      <w:r w:rsidR="00624CCA">
        <w:rPr>
          <w:rFonts w:eastAsia="Calibri"/>
          <w:lang w:val="en-US"/>
        </w:rPr>
        <w:t>ry</w:t>
      </w:r>
      <w:r>
        <w:rPr>
          <w:rFonts w:eastAsia="Calibri"/>
          <w:lang w:val="en-US"/>
        </w:rPr>
        <w:t xml:space="preserve"> </w:t>
      </w:r>
      <w:r w:rsidR="00803067" w:rsidRPr="00803067">
        <w:rPr>
          <w:rFonts w:eastAsia="Calibri"/>
          <w:lang w:val="en-US"/>
        </w:rPr>
        <w:t>Web Appendix</w:t>
      </w:r>
      <w:bookmarkEnd w:id="27"/>
      <w:r w:rsidR="00803067" w:rsidRPr="00803067">
        <w:rPr>
          <w:rFonts w:eastAsia="Calibri"/>
          <w:lang w:val="en-US"/>
        </w:rPr>
        <w:t xml:space="preserve">. </w:t>
      </w:r>
      <w:r w:rsidR="007D6961" w:rsidRPr="00F50308">
        <w:rPr>
          <w:rFonts w:eastAsia="Calibri"/>
          <w:lang w:val="en-US"/>
        </w:rPr>
        <w:t xml:space="preserve">Papers </w:t>
      </w:r>
      <w:r w:rsidR="006274D9">
        <w:rPr>
          <w:rFonts w:eastAsia="Calibri"/>
          <w:lang w:val="en-US"/>
        </w:rPr>
        <w:t>i</w:t>
      </w:r>
      <w:r w:rsidR="006274D9" w:rsidRPr="00F50308">
        <w:rPr>
          <w:rFonts w:eastAsia="Calibri"/>
          <w:lang w:val="en-US"/>
        </w:rPr>
        <w:t xml:space="preserve">ncluded in the </w:t>
      </w:r>
      <w:r w:rsidR="006274D9">
        <w:rPr>
          <w:rFonts w:eastAsia="Calibri"/>
          <w:lang w:val="en-US"/>
        </w:rPr>
        <w:t>m</w:t>
      </w:r>
      <w:r w:rsidR="006274D9" w:rsidRPr="00F50308">
        <w:rPr>
          <w:rFonts w:eastAsia="Calibri"/>
          <w:lang w:val="en-US"/>
        </w:rPr>
        <w:t>eta-analysis</w:t>
      </w:r>
      <w:bookmarkEnd w:id="28"/>
    </w:p>
    <w:p w14:paraId="0C9051C7" w14:textId="77777777" w:rsidR="007D6961" w:rsidRPr="0093281B" w:rsidRDefault="007D6961" w:rsidP="007D6961">
      <w:pPr>
        <w:pStyle w:val="EndNoteBibliography"/>
        <w:ind w:left="567" w:hanging="426"/>
      </w:pPr>
      <w:r w:rsidRPr="0093281B">
        <w:t xml:space="preserve">Aaker, J. L., &amp; Maheswaran, D. (1997). The effect of cultural orientation on persuasion. </w:t>
      </w:r>
      <w:r w:rsidRPr="0093281B">
        <w:rPr>
          <w:i/>
        </w:rPr>
        <w:t>Journal of Consumer Research</w:t>
      </w:r>
      <w:r w:rsidRPr="0093281B">
        <w:t>,</w:t>
      </w:r>
      <w:r w:rsidRPr="0093281B">
        <w:rPr>
          <w:i/>
        </w:rPr>
        <w:t xml:space="preserve"> 24</w:t>
      </w:r>
      <w:r w:rsidRPr="0093281B">
        <w:t xml:space="preserve">(3), 315-328. </w:t>
      </w:r>
    </w:p>
    <w:p w14:paraId="179DE67C" w14:textId="77777777" w:rsidR="007D6961" w:rsidRPr="0093281B" w:rsidRDefault="007D6961" w:rsidP="007D6961">
      <w:pPr>
        <w:pStyle w:val="EndNoteBibliography"/>
        <w:ind w:left="567" w:hanging="426"/>
      </w:pPr>
      <w:r w:rsidRPr="0093281B">
        <w:t xml:space="preserve">Aaker, J. L., &amp; Sengupta, J. (2000). Additivity versus attenuation: The role of culture in the resolution of information incongruity. </w:t>
      </w:r>
      <w:r w:rsidRPr="0093281B">
        <w:rPr>
          <w:i/>
        </w:rPr>
        <w:t>Journal of Consumer Psychology</w:t>
      </w:r>
      <w:r w:rsidRPr="0093281B">
        <w:t>,</w:t>
      </w:r>
      <w:r w:rsidRPr="0093281B">
        <w:rPr>
          <w:i/>
        </w:rPr>
        <w:t xml:space="preserve"> 9</w:t>
      </w:r>
      <w:r w:rsidRPr="0093281B">
        <w:t xml:space="preserve">(2), 67-82. </w:t>
      </w:r>
    </w:p>
    <w:p w14:paraId="1F9FD673" w14:textId="77777777" w:rsidR="007D6961" w:rsidRPr="0093281B" w:rsidRDefault="007D6961" w:rsidP="007D6961">
      <w:pPr>
        <w:pStyle w:val="EndNoteBibliography"/>
        <w:ind w:left="567" w:hanging="426"/>
      </w:pPr>
      <w:r w:rsidRPr="0093281B">
        <w:t xml:space="preserve">Agrawal, N., &amp; Maheswaran, D. (2005). Motivated reasoning in outcome-bias effects. </w:t>
      </w:r>
      <w:r w:rsidRPr="0093281B">
        <w:rPr>
          <w:i/>
        </w:rPr>
        <w:t>Journal of Consumer Research</w:t>
      </w:r>
      <w:r w:rsidRPr="0093281B">
        <w:t>,</w:t>
      </w:r>
      <w:r w:rsidRPr="0093281B">
        <w:rPr>
          <w:i/>
        </w:rPr>
        <w:t xml:space="preserve"> 31</w:t>
      </w:r>
      <w:r w:rsidRPr="0093281B">
        <w:t xml:space="preserve">(4), 798-805. </w:t>
      </w:r>
    </w:p>
    <w:p w14:paraId="51F2C47B" w14:textId="77777777" w:rsidR="007D6961" w:rsidRPr="0093281B" w:rsidRDefault="007D6961" w:rsidP="007D6961">
      <w:pPr>
        <w:pStyle w:val="EndNoteBibliography"/>
        <w:ind w:left="567" w:hanging="426"/>
      </w:pPr>
      <w:r w:rsidRPr="0093281B">
        <w:t xml:space="preserve">Ahluwalia, R. (2008). How far can a brand stretch? Understanding the role of self-construal. </w:t>
      </w:r>
      <w:r w:rsidRPr="0093281B">
        <w:rPr>
          <w:i/>
        </w:rPr>
        <w:t>Journal of Marketing Research</w:t>
      </w:r>
      <w:r w:rsidRPr="0093281B">
        <w:t>,</w:t>
      </w:r>
      <w:r w:rsidRPr="0093281B">
        <w:rPr>
          <w:i/>
        </w:rPr>
        <w:t xml:space="preserve"> 45</w:t>
      </w:r>
      <w:r w:rsidRPr="0093281B">
        <w:t xml:space="preserve">(3), 337-350. </w:t>
      </w:r>
    </w:p>
    <w:p w14:paraId="69688031" w14:textId="77777777" w:rsidR="007D6961" w:rsidRPr="0093281B" w:rsidRDefault="007D6961" w:rsidP="007D6961">
      <w:pPr>
        <w:pStyle w:val="EndNoteBibliography"/>
        <w:ind w:left="567" w:hanging="426"/>
      </w:pPr>
      <w:r w:rsidRPr="0093281B">
        <w:t xml:space="preserve">Ahluwalia, R., Burnkrant, R. E., &amp; Unnava, H. R. (2000). Consumer response to negative publicity: The moderating role of commitment. </w:t>
      </w:r>
      <w:r w:rsidRPr="0093281B">
        <w:rPr>
          <w:i/>
        </w:rPr>
        <w:t>Journal of Marketing Research</w:t>
      </w:r>
      <w:r w:rsidRPr="0093281B">
        <w:t>,</w:t>
      </w:r>
      <w:r w:rsidRPr="0093281B">
        <w:rPr>
          <w:i/>
        </w:rPr>
        <w:t xml:space="preserve"> 37</w:t>
      </w:r>
      <w:r w:rsidRPr="0093281B">
        <w:t xml:space="preserve">(2), 203-214. </w:t>
      </w:r>
    </w:p>
    <w:p w14:paraId="690ACC03" w14:textId="77777777" w:rsidR="007D6961" w:rsidRPr="0093281B" w:rsidRDefault="007D6961" w:rsidP="007D6961">
      <w:pPr>
        <w:pStyle w:val="EndNoteBibliography"/>
        <w:ind w:left="567" w:hanging="426"/>
      </w:pPr>
      <w:r w:rsidRPr="0093281B">
        <w:t xml:space="preserve">Ahluwalia, R., Unnava, H. R., &amp; Burnkrant, R. E. (2001). The moderating role of commitment on the spillover effect of marketing communications. </w:t>
      </w:r>
      <w:r w:rsidRPr="0093281B">
        <w:rPr>
          <w:i/>
        </w:rPr>
        <w:t>Journal of Marketing Research</w:t>
      </w:r>
      <w:r w:rsidRPr="0093281B">
        <w:t>,</w:t>
      </w:r>
      <w:r w:rsidRPr="0093281B">
        <w:rPr>
          <w:i/>
        </w:rPr>
        <w:t xml:space="preserve"> 38</w:t>
      </w:r>
      <w:r w:rsidRPr="0093281B">
        <w:t xml:space="preserve">(4), 458-470. </w:t>
      </w:r>
    </w:p>
    <w:p w14:paraId="5E4184BA" w14:textId="77777777" w:rsidR="007D6961" w:rsidRPr="0093281B" w:rsidRDefault="007D6961" w:rsidP="007D6961">
      <w:pPr>
        <w:pStyle w:val="EndNoteBibliography"/>
        <w:ind w:left="567" w:hanging="426"/>
      </w:pPr>
      <w:r w:rsidRPr="0093281B">
        <w:t xml:space="preserve">Albinsson, P. A. (2009). </w:t>
      </w:r>
      <w:r w:rsidRPr="0093281B">
        <w:rPr>
          <w:i/>
        </w:rPr>
        <w:t>Consumer reactions to emotional appeals and rhetorical devices in preventive health promotions</w:t>
      </w:r>
      <w:r w:rsidRPr="0093281B">
        <w:t xml:space="preserve"> (Publication Number 3367539) [Doctoral dissertation, New Mexico State University]. ProQuest Dissertations &amp; Theses Global. Las Cruces, NM 88003. </w:t>
      </w:r>
      <w:r w:rsidRPr="00523389">
        <w:t>https://www.proquest.com/dissertations-theses/consumer-reactions-emotional-appeals-rhetorical/docview/304947843/se-2?accountid=11862</w:t>
      </w:r>
    </w:p>
    <w:p w14:paraId="128DB428" w14:textId="77777777" w:rsidR="007D6961" w:rsidRPr="0093281B" w:rsidRDefault="007D6961" w:rsidP="007D6961">
      <w:pPr>
        <w:pStyle w:val="EndNoteBibliography"/>
        <w:ind w:left="567" w:hanging="426"/>
      </w:pPr>
      <w:r w:rsidRPr="0093281B">
        <w:t xml:space="preserve">Andrews, J. C., &amp; Shimp, T. A. (1990). Effects of involvement, argument strength, and source characteristics on central and peripheral processing of advertising. </w:t>
      </w:r>
      <w:r w:rsidRPr="0093281B">
        <w:rPr>
          <w:i/>
        </w:rPr>
        <w:t>Psychology &amp; Marketing</w:t>
      </w:r>
      <w:r w:rsidRPr="0093281B">
        <w:t>,</w:t>
      </w:r>
      <w:r w:rsidRPr="0093281B">
        <w:rPr>
          <w:i/>
        </w:rPr>
        <w:t xml:space="preserve"> 7</w:t>
      </w:r>
      <w:r w:rsidRPr="0093281B">
        <w:t xml:space="preserve">(3), 195-214. </w:t>
      </w:r>
    </w:p>
    <w:p w14:paraId="61451B2D" w14:textId="77777777" w:rsidR="007D6961" w:rsidRPr="0093281B" w:rsidRDefault="007D6961" w:rsidP="007D6961">
      <w:pPr>
        <w:pStyle w:val="EndNoteBibliography"/>
        <w:ind w:left="567" w:hanging="426"/>
      </w:pPr>
      <w:r w:rsidRPr="0093281B">
        <w:t xml:space="preserve">Antonetti, P., Baines, P., &amp; Jain, S. (2018). The persuasiveness of guilt appeals over time: Pathways to delayed compliance. </w:t>
      </w:r>
      <w:r w:rsidRPr="0093281B">
        <w:rPr>
          <w:i/>
        </w:rPr>
        <w:t>Journal of Business Research</w:t>
      </w:r>
      <w:r w:rsidRPr="0093281B">
        <w:t>,</w:t>
      </w:r>
      <w:r w:rsidRPr="0093281B">
        <w:rPr>
          <w:i/>
        </w:rPr>
        <w:t xml:space="preserve"> 90</w:t>
      </w:r>
      <w:r w:rsidRPr="0093281B">
        <w:t xml:space="preserve">, 14-25. </w:t>
      </w:r>
    </w:p>
    <w:p w14:paraId="3330737A" w14:textId="77777777" w:rsidR="007D6961" w:rsidRPr="00A04F0F" w:rsidRDefault="007D6961" w:rsidP="007D6961">
      <w:pPr>
        <w:pStyle w:val="EndNoteBibliography"/>
        <w:ind w:left="567" w:hanging="426"/>
        <w:rPr>
          <w:lang w:val="nl-NL"/>
        </w:rPr>
      </w:pPr>
      <w:r w:rsidRPr="0093281B">
        <w:t xml:space="preserve">Appel, M., &amp; Mengelkamp, C. (2022). Watching videos on a smartphone: Do small screens impair narrative transportation? </w:t>
      </w:r>
      <w:r w:rsidRPr="00A04F0F">
        <w:rPr>
          <w:i/>
          <w:lang w:val="nl-NL"/>
        </w:rPr>
        <w:t>Media Psychology</w:t>
      </w:r>
      <w:r w:rsidRPr="00A04F0F">
        <w:rPr>
          <w:lang w:val="nl-NL"/>
        </w:rPr>
        <w:t>,</w:t>
      </w:r>
      <w:r w:rsidRPr="00A04F0F">
        <w:rPr>
          <w:i/>
          <w:lang w:val="nl-NL"/>
        </w:rPr>
        <w:t xml:space="preserve"> 25</w:t>
      </w:r>
      <w:r w:rsidRPr="00A04F0F">
        <w:rPr>
          <w:lang w:val="nl-NL"/>
        </w:rPr>
        <w:t xml:space="preserve">(5), 653-674. </w:t>
      </w:r>
    </w:p>
    <w:p w14:paraId="64CAD8E6" w14:textId="77777777" w:rsidR="007D6961" w:rsidRPr="0093281B" w:rsidRDefault="007D6961" w:rsidP="007D6961">
      <w:pPr>
        <w:pStyle w:val="EndNoteBibliography"/>
        <w:ind w:left="567" w:hanging="426"/>
      </w:pPr>
      <w:r w:rsidRPr="00A04F0F">
        <w:rPr>
          <w:lang w:val="nl-NL"/>
        </w:rPr>
        <w:t xml:space="preserve">Argo, J. J., Zhu, R., &amp; Dahl, D. W. (2008). </w:t>
      </w:r>
      <w:r w:rsidRPr="0093281B">
        <w:t xml:space="preserve">Fact or fiction: An investigation of empathy differences in response to emotional melodramatic entertainment. </w:t>
      </w:r>
      <w:r w:rsidRPr="0093281B">
        <w:rPr>
          <w:i/>
        </w:rPr>
        <w:t>Journal of Consumer Research</w:t>
      </w:r>
      <w:r w:rsidRPr="0093281B">
        <w:t>,</w:t>
      </w:r>
      <w:r w:rsidRPr="0093281B">
        <w:rPr>
          <w:i/>
        </w:rPr>
        <w:t xml:space="preserve"> 34</w:t>
      </w:r>
      <w:r w:rsidRPr="0093281B">
        <w:t xml:space="preserve">(5), 614-623. </w:t>
      </w:r>
    </w:p>
    <w:p w14:paraId="54EFD7A1" w14:textId="77777777" w:rsidR="007D6961" w:rsidRPr="0093281B" w:rsidRDefault="007D6961" w:rsidP="007D6961">
      <w:pPr>
        <w:pStyle w:val="EndNoteBibliography"/>
        <w:ind w:left="567" w:hanging="426"/>
      </w:pPr>
      <w:r w:rsidRPr="0093281B">
        <w:t xml:space="preserve">Avnet, T., Laufer, D., &amp; Higgins, E. T. (2013). Are all experiences of fit created equal? Two paths to persuasion. </w:t>
      </w:r>
      <w:r w:rsidRPr="0093281B">
        <w:rPr>
          <w:i/>
        </w:rPr>
        <w:t>Journal of Consumer Psychology</w:t>
      </w:r>
      <w:r w:rsidRPr="0093281B">
        <w:t>,</w:t>
      </w:r>
      <w:r w:rsidRPr="0093281B">
        <w:rPr>
          <w:i/>
        </w:rPr>
        <w:t xml:space="preserve"> 23</w:t>
      </w:r>
      <w:r w:rsidRPr="0093281B">
        <w:t xml:space="preserve">(3), 301-316. </w:t>
      </w:r>
    </w:p>
    <w:p w14:paraId="103020CB" w14:textId="77777777" w:rsidR="007D6961" w:rsidRPr="0093281B" w:rsidRDefault="007D6961" w:rsidP="007D6961">
      <w:pPr>
        <w:pStyle w:val="EndNoteBibliography"/>
        <w:ind w:left="567" w:hanging="426"/>
      </w:pPr>
      <w:r w:rsidRPr="0093281B">
        <w:t xml:space="preserve">Avramova, Y. R., De Pelsmacker, P., &amp; Dens, N. (2017). Brand placement repetition in a fictional text. </w:t>
      </w:r>
      <w:r w:rsidRPr="0093281B">
        <w:rPr>
          <w:i/>
        </w:rPr>
        <w:t>International Journal of Advertising</w:t>
      </w:r>
      <w:r w:rsidRPr="0093281B">
        <w:t>,</w:t>
      </w:r>
      <w:r w:rsidRPr="0093281B">
        <w:rPr>
          <w:i/>
        </w:rPr>
        <w:t xml:space="preserve"> 36</w:t>
      </w:r>
      <w:r w:rsidRPr="0093281B">
        <w:t xml:space="preserve">(1), 38-59. </w:t>
      </w:r>
    </w:p>
    <w:p w14:paraId="2166D567" w14:textId="77777777" w:rsidR="007D6961" w:rsidRPr="0093281B" w:rsidRDefault="007D6961" w:rsidP="007D6961">
      <w:pPr>
        <w:pStyle w:val="EndNoteBibliography"/>
        <w:ind w:left="567" w:hanging="426"/>
      </w:pPr>
      <w:r w:rsidRPr="0093281B">
        <w:t xml:space="preserve">Barden, J., &amp; Petty, R. E. (2008). The mere perception of elaboration creates attitude certainty: Exploring the thoughtfulness heuristic. </w:t>
      </w:r>
      <w:r w:rsidRPr="0093281B">
        <w:rPr>
          <w:i/>
        </w:rPr>
        <w:t>Journal of Personality and Social Psychology</w:t>
      </w:r>
      <w:r w:rsidRPr="0093281B">
        <w:t>,</w:t>
      </w:r>
      <w:r w:rsidRPr="0093281B">
        <w:rPr>
          <w:i/>
        </w:rPr>
        <w:t xml:space="preserve"> 95</w:t>
      </w:r>
      <w:r w:rsidRPr="0093281B">
        <w:t xml:space="preserve">(3), 489-509. </w:t>
      </w:r>
    </w:p>
    <w:p w14:paraId="0115991A" w14:textId="77777777" w:rsidR="007D6961" w:rsidRPr="0093281B" w:rsidRDefault="007D6961" w:rsidP="007D6961">
      <w:pPr>
        <w:pStyle w:val="EndNoteBibliography"/>
        <w:ind w:left="567" w:hanging="426"/>
      </w:pPr>
      <w:r w:rsidRPr="0093281B">
        <w:t xml:space="preserve">Barden, J. C. (2005). </w:t>
      </w:r>
      <w:r w:rsidRPr="0093281B">
        <w:rPr>
          <w:i/>
        </w:rPr>
        <w:t>A comprehensive process from antecedents of elaboration to strength consequences: Mediation by the perception of the extent of elaboration</w:t>
      </w:r>
      <w:r w:rsidRPr="0093281B">
        <w:t xml:space="preserve"> [Unpublished doctoral dissertation, Ohio State University]. Columbus, OH 43210. </w:t>
      </w:r>
    </w:p>
    <w:p w14:paraId="349F3544" w14:textId="77777777" w:rsidR="007D6961" w:rsidRPr="0093281B" w:rsidRDefault="007D6961" w:rsidP="007D6961">
      <w:pPr>
        <w:pStyle w:val="EndNoteBibliography"/>
        <w:ind w:left="567" w:hanging="426"/>
      </w:pPr>
      <w:r w:rsidRPr="0093281B">
        <w:t xml:space="preserve">Batra, R., &amp; Stayman, D. M. (1990). The role of mood in advertising effectiveness. </w:t>
      </w:r>
      <w:r w:rsidRPr="0093281B">
        <w:rPr>
          <w:i/>
        </w:rPr>
        <w:t>Journal of Consumer Research</w:t>
      </w:r>
      <w:r w:rsidRPr="0093281B">
        <w:t>,</w:t>
      </w:r>
      <w:r w:rsidRPr="0093281B">
        <w:rPr>
          <w:i/>
        </w:rPr>
        <w:t xml:space="preserve"> 17</w:t>
      </w:r>
      <w:r w:rsidRPr="0093281B">
        <w:t xml:space="preserve">(2), 203-214. </w:t>
      </w:r>
    </w:p>
    <w:p w14:paraId="5ACB3BBB" w14:textId="77777777" w:rsidR="007D6961" w:rsidRPr="0093281B" w:rsidRDefault="007D6961" w:rsidP="007D6961">
      <w:pPr>
        <w:pStyle w:val="EndNoteBibliography"/>
        <w:ind w:left="567" w:hanging="426"/>
      </w:pPr>
      <w:r w:rsidRPr="0093281B">
        <w:t xml:space="preserve">Becker-Olsen, K. L., Cudmore, B. A., &amp; Hill, R. P. (2006). The impact of perceived corporate social responsibility on consumer behavior. </w:t>
      </w:r>
      <w:r w:rsidRPr="0093281B">
        <w:rPr>
          <w:i/>
        </w:rPr>
        <w:t>Journal of Business Research</w:t>
      </w:r>
      <w:r w:rsidRPr="0093281B">
        <w:t>,</w:t>
      </w:r>
      <w:r w:rsidRPr="0093281B">
        <w:rPr>
          <w:i/>
        </w:rPr>
        <w:t xml:space="preserve"> 59</w:t>
      </w:r>
      <w:r w:rsidRPr="0093281B">
        <w:t xml:space="preserve">(1), 46-53. </w:t>
      </w:r>
    </w:p>
    <w:p w14:paraId="41BF6BF5" w14:textId="77777777" w:rsidR="007D6961" w:rsidRPr="0093281B" w:rsidRDefault="007D6961" w:rsidP="007D6961">
      <w:pPr>
        <w:pStyle w:val="EndNoteBibliography"/>
        <w:ind w:left="567" w:hanging="426"/>
      </w:pPr>
      <w:r w:rsidRPr="0093281B">
        <w:t xml:space="preserve">Berger, I. E., Cunningham, P. H., &amp; Kozinets, R. V. (1999). Consumer persuasion through cause-related advertising. </w:t>
      </w:r>
      <w:r w:rsidRPr="0093281B">
        <w:rPr>
          <w:i/>
        </w:rPr>
        <w:t>ACR North American Advances</w:t>
      </w:r>
      <w:r w:rsidRPr="0093281B">
        <w:t>,</w:t>
      </w:r>
      <w:r w:rsidRPr="0093281B">
        <w:rPr>
          <w:i/>
        </w:rPr>
        <w:t xml:space="preserve"> 26</w:t>
      </w:r>
      <w:r w:rsidRPr="0093281B">
        <w:t xml:space="preserve">(1), 491-497. </w:t>
      </w:r>
    </w:p>
    <w:p w14:paraId="679D7144" w14:textId="77777777" w:rsidR="007D6961" w:rsidRPr="0093281B" w:rsidRDefault="007D6961" w:rsidP="007D6961">
      <w:pPr>
        <w:pStyle w:val="EndNoteBibliography"/>
        <w:ind w:left="567" w:hanging="426"/>
      </w:pPr>
      <w:r w:rsidRPr="0093281B">
        <w:t xml:space="preserve">Bezdek, M. A., &amp; Gerrig, R. J. (2017). When narrative transportation narrows attention: Changes in attentional focus during suspenseful film viewing. </w:t>
      </w:r>
      <w:r w:rsidRPr="0093281B">
        <w:rPr>
          <w:i/>
        </w:rPr>
        <w:t>Media Psychology</w:t>
      </w:r>
      <w:r w:rsidRPr="0093281B">
        <w:t>,</w:t>
      </w:r>
      <w:r w:rsidRPr="0093281B">
        <w:rPr>
          <w:i/>
        </w:rPr>
        <w:t xml:space="preserve"> 20</w:t>
      </w:r>
      <w:r w:rsidRPr="0093281B">
        <w:t xml:space="preserve">(1), 60-89. </w:t>
      </w:r>
    </w:p>
    <w:p w14:paraId="1E0F20B0" w14:textId="77777777" w:rsidR="007D6961" w:rsidRPr="0093281B" w:rsidRDefault="007D6961" w:rsidP="007D6961">
      <w:pPr>
        <w:pStyle w:val="EndNoteBibliography"/>
        <w:ind w:left="567" w:hanging="426"/>
      </w:pPr>
      <w:r w:rsidRPr="0093281B">
        <w:t xml:space="preserve">Bi, S., Liu, Z., &amp; Usman, K. (2017). The influence of online information on investing decisions of reward-based crowdfunding. </w:t>
      </w:r>
      <w:r w:rsidRPr="0093281B">
        <w:rPr>
          <w:i/>
        </w:rPr>
        <w:t>Journal of Business Research</w:t>
      </w:r>
      <w:r w:rsidRPr="0093281B">
        <w:t>,</w:t>
      </w:r>
      <w:r w:rsidRPr="0093281B">
        <w:rPr>
          <w:i/>
        </w:rPr>
        <w:t xml:space="preserve"> 71</w:t>
      </w:r>
      <w:r w:rsidRPr="0093281B">
        <w:t xml:space="preserve">, 10-18. </w:t>
      </w:r>
    </w:p>
    <w:p w14:paraId="4565B164" w14:textId="77777777" w:rsidR="007D6961" w:rsidRPr="0093281B" w:rsidRDefault="007D6961" w:rsidP="007D6961">
      <w:pPr>
        <w:pStyle w:val="EndNoteBibliography"/>
        <w:ind w:left="567" w:hanging="426"/>
      </w:pPr>
      <w:r w:rsidRPr="0093281B">
        <w:t xml:space="preserve">Blankenship, K. L., &amp; Craig, T. Y. (2006). Rhetorical question use and resistance to persuasion: An attitude strength analysis. </w:t>
      </w:r>
      <w:r w:rsidRPr="0093281B">
        <w:rPr>
          <w:i/>
        </w:rPr>
        <w:t>Journal of Language and Social Psychology</w:t>
      </w:r>
      <w:r w:rsidRPr="0093281B">
        <w:t>,</w:t>
      </w:r>
      <w:r w:rsidRPr="0093281B">
        <w:rPr>
          <w:i/>
        </w:rPr>
        <w:t xml:space="preserve"> 25</w:t>
      </w:r>
      <w:r w:rsidRPr="0093281B">
        <w:t xml:space="preserve">(2), 111-128. </w:t>
      </w:r>
    </w:p>
    <w:p w14:paraId="69531EAB" w14:textId="77777777" w:rsidR="007D6961" w:rsidRPr="0093281B" w:rsidRDefault="007D6961" w:rsidP="007D6961">
      <w:pPr>
        <w:pStyle w:val="EndNoteBibliography"/>
        <w:ind w:left="567" w:hanging="426"/>
      </w:pPr>
      <w:r w:rsidRPr="0093281B">
        <w:t xml:space="preserve">Bless, H., Mackie, D. M., &amp; Schwarz, N. (1992). Mood effects on attitude judgments: Independent effects of mood before and after message elaboration. </w:t>
      </w:r>
      <w:r w:rsidRPr="0093281B">
        <w:rPr>
          <w:i/>
        </w:rPr>
        <w:t>Journal of Personality and Social Psychology</w:t>
      </w:r>
      <w:r w:rsidRPr="0093281B">
        <w:t>,</w:t>
      </w:r>
      <w:r w:rsidRPr="0093281B">
        <w:rPr>
          <w:i/>
        </w:rPr>
        <w:t xml:space="preserve"> 63</w:t>
      </w:r>
      <w:r w:rsidRPr="0093281B">
        <w:t xml:space="preserve">(4), 585-595. </w:t>
      </w:r>
    </w:p>
    <w:p w14:paraId="34CC820E" w14:textId="77777777" w:rsidR="007D6961" w:rsidRPr="0093281B" w:rsidRDefault="007D6961" w:rsidP="007D6961">
      <w:pPr>
        <w:pStyle w:val="EndNoteBibliography"/>
        <w:ind w:left="567" w:hanging="426"/>
      </w:pPr>
      <w:r w:rsidRPr="0093281B">
        <w:t xml:space="preserve">Bohner, G., Einwiller, S., Erb, H. P., &amp; Siebler, F. (2003). When small means comfortable: Relations between product attributes in two‐sided advertising. </w:t>
      </w:r>
      <w:r w:rsidRPr="0093281B">
        <w:rPr>
          <w:i/>
        </w:rPr>
        <w:t>Journal of Consumer Psychology</w:t>
      </w:r>
      <w:r w:rsidRPr="0093281B">
        <w:t>,</w:t>
      </w:r>
      <w:r w:rsidRPr="0093281B">
        <w:rPr>
          <w:i/>
        </w:rPr>
        <w:t xml:space="preserve"> 13</w:t>
      </w:r>
      <w:r w:rsidRPr="0093281B">
        <w:t xml:space="preserve">(4), 454-463. </w:t>
      </w:r>
    </w:p>
    <w:p w14:paraId="24A61733" w14:textId="77777777" w:rsidR="007D6961" w:rsidRPr="0093281B" w:rsidRDefault="007D6961" w:rsidP="007D6961">
      <w:pPr>
        <w:pStyle w:val="EndNoteBibliography"/>
        <w:ind w:left="567" w:hanging="426"/>
      </w:pPr>
      <w:r w:rsidRPr="0093281B">
        <w:t xml:space="preserve">Book, L. A., Tanford, S., &amp; Chang, W. (2018). Customer reviews are not always informative: The impact of effortful versus heuristic processing. </w:t>
      </w:r>
      <w:r w:rsidRPr="0093281B">
        <w:rPr>
          <w:i/>
        </w:rPr>
        <w:t>Journal of Retailing and Consumer Services</w:t>
      </w:r>
      <w:r w:rsidRPr="0093281B">
        <w:t>,</w:t>
      </w:r>
      <w:r w:rsidRPr="0093281B">
        <w:rPr>
          <w:i/>
        </w:rPr>
        <w:t xml:space="preserve"> 41</w:t>
      </w:r>
      <w:r w:rsidRPr="0093281B">
        <w:t xml:space="preserve">, 272-280. </w:t>
      </w:r>
    </w:p>
    <w:p w14:paraId="12D4B747" w14:textId="77777777" w:rsidR="007D6961" w:rsidRPr="0093281B" w:rsidRDefault="007D6961" w:rsidP="007D6961">
      <w:pPr>
        <w:pStyle w:val="EndNoteBibliography"/>
        <w:ind w:left="567" w:hanging="426"/>
      </w:pPr>
      <w:r w:rsidRPr="0093281B">
        <w:t xml:space="preserve">Bradley, S. D., &amp; Meeds, R. (2004). The effects of sentence‐level context, prior word knowledge, and need for cognition on information processing of technical language in print ads. </w:t>
      </w:r>
      <w:r w:rsidRPr="0093281B">
        <w:rPr>
          <w:i/>
        </w:rPr>
        <w:t>Journal of Consumer Psychology</w:t>
      </w:r>
      <w:r w:rsidRPr="0093281B">
        <w:t>,</w:t>
      </w:r>
      <w:r w:rsidRPr="0093281B">
        <w:rPr>
          <w:i/>
        </w:rPr>
        <w:t xml:space="preserve"> 14</w:t>
      </w:r>
      <w:r w:rsidRPr="0093281B">
        <w:t xml:space="preserve">(3), 291-302. </w:t>
      </w:r>
    </w:p>
    <w:p w14:paraId="0587D7AB" w14:textId="77777777" w:rsidR="007D6961" w:rsidRPr="0093281B" w:rsidRDefault="007D6961" w:rsidP="007D6961">
      <w:pPr>
        <w:pStyle w:val="EndNoteBibliography"/>
        <w:ind w:left="567" w:hanging="426"/>
      </w:pPr>
      <w:r w:rsidRPr="0093281B">
        <w:t xml:space="preserve">Brannon, L. A., &amp; Brock, T. C. (2001). Scarcity claims elicit extreme responding to persuasive messages: Role of cognitive elaboration. </w:t>
      </w:r>
      <w:r w:rsidRPr="0093281B">
        <w:rPr>
          <w:i/>
        </w:rPr>
        <w:t>Personality and Social Psychology Bulletin</w:t>
      </w:r>
      <w:r w:rsidRPr="0093281B">
        <w:t>,</w:t>
      </w:r>
      <w:r w:rsidRPr="0093281B">
        <w:rPr>
          <w:i/>
        </w:rPr>
        <w:t xml:space="preserve"> 27</w:t>
      </w:r>
      <w:r w:rsidRPr="0093281B">
        <w:t xml:space="preserve">(3), 365-375. </w:t>
      </w:r>
    </w:p>
    <w:p w14:paraId="4769696D" w14:textId="77777777" w:rsidR="007D6961" w:rsidRPr="0093281B" w:rsidRDefault="007D6961" w:rsidP="007D6961">
      <w:pPr>
        <w:pStyle w:val="EndNoteBibliography"/>
        <w:ind w:left="567" w:hanging="426"/>
      </w:pPr>
      <w:r w:rsidRPr="0093281B">
        <w:t xml:space="preserve">Braverman, J. (2008). Testimonials versus informational persuasive messages: The moderating effect of delivery mode and personal involvement. </w:t>
      </w:r>
      <w:r w:rsidRPr="0093281B">
        <w:rPr>
          <w:i/>
        </w:rPr>
        <w:t>Communication Research</w:t>
      </w:r>
      <w:r w:rsidRPr="0093281B">
        <w:t>,</w:t>
      </w:r>
      <w:r w:rsidRPr="0093281B">
        <w:rPr>
          <w:i/>
        </w:rPr>
        <w:t xml:space="preserve"> 35</w:t>
      </w:r>
      <w:r w:rsidRPr="0093281B">
        <w:t xml:space="preserve">(5), 666-694. </w:t>
      </w:r>
    </w:p>
    <w:p w14:paraId="31FE5E2E" w14:textId="77777777" w:rsidR="007D6961" w:rsidRPr="0093281B" w:rsidRDefault="007D6961" w:rsidP="007D6961">
      <w:pPr>
        <w:pStyle w:val="EndNoteBibliography"/>
        <w:ind w:left="567" w:hanging="426"/>
      </w:pPr>
      <w:r w:rsidRPr="0093281B">
        <w:t xml:space="preserve">Brennan, I. (1992). </w:t>
      </w:r>
      <w:r w:rsidRPr="0093281B">
        <w:rPr>
          <w:i/>
        </w:rPr>
        <w:t>Moderators of the complex allegoric advertising execution-brand attitude relationship</w:t>
      </w:r>
      <w:r w:rsidRPr="0093281B">
        <w:t xml:space="preserve"> (Publication Number 9315976) [Unpublished doctoral dissertation, The University of Texas at Arlington]. ProQuest One Academic. Arlington, TX 76019. </w:t>
      </w:r>
      <w:r w:rsidRPr="00523389">
        <w:t>https://www.proquest.com/dissertations-theses/moderators-complex-allegoric-advertising/docview/304071265/se-2?accountid=11862</w:t>
      </w:r>
    </w:p>
    <w:p w14:paraId="066FCD8D" w14:textId="77777777" w:rsidR="007D6961" w:rsidRPr="0093281B" w:rsidRDefault="007D6961" w:rsidP="007D6961">
      <w:pPr>
        <w:pStyle w:val="EndNoteBibliography"/>
        <w:ind w:left="567" w:hanging="426"/>
      </w:pPr>
      <w:r w:rsidRPr="0093281B">
        <w:t xml:space="preserve">Burnkrant, R. E., &amp; Howard, D. J. (1984). Effects of the use of introductory rhetorical questions versus statements on information processing. </w:t>
      </w:r>
      <w:r w:rsidRPr="0093281B">
        <w:rPr>
          <w:i/>
        </w:rPr>
        <w:t>Journal of Personality and Social Psychology</w:t>
      </w:r>
      <w:r w:rsidRPr="0093281B">
        <w:t>,</w:t>
      </w:r>
      <w:r w:rsidRPr="0093281B">
        <w:rPr>
          <w:i/>
        </w:rPr>
        <w:t xml:space="preserve"> 47</w:t>
      </w:r>
      <w:r w:rsidRPr="0093281B">
        <w:t xml:space="preserve">(6), 1218-1230. </w:t>
      </w:r>
    </w:p>
    <w:p w14:paraId="0A2D4E9A" w14:textId="77777777" w:rsidR="007D6961" w:rsidRPr="0093281B" w:rsidRDefault="007D6961" w:rsidP="007D6961">
      <w:pPr>
        <w:pStyle w:val="EndNoteBibliography"/>
        <w:ind w:left="567" w:hanging="426"/>
      </w:pPr>
      <w:r w:rsidRPr="0093281B">
        <w:t xml:space="preserve">Celsi, R. L., &amp; Olson, J. C. (1988). The role of involvement in attention and comprehension processes. </w:t>
      </w:r>
      <w:r w:rsidRPr="0093281B">
        <w:rPr>
          <w:i/>
        </w:rPr>
        <w:t>Journal of Consumer Research</w:t>
      </w:r>
      <w:r w:rsidRPr="0093281B">
        <w:t>,</w:t>
      </w:r>
      <w:r w:rsidRPr="0093281B">
        <w:rPr>
          <w:i/>
        </w:rPr>
        <w:t xml:space="preserve"> 15</w:t>
      </w:r>
      <w:r w:rsidRPr="0093281B">
        <w:t xml:space="preserve">(2), 210-224. </w:t>
      </w:r>
    </w:p>
    <w:p w14:paraId="072D1C27" w14:textId="77777777" w:rsidR="007D6961" w:rsidRPr="0093281B" w:rsidRDefault="007D6961" w:rsidP="007D6961">
      <w:pPr>
        <w:pStyle w:val="EndNoteBibliography"/>
        <w:ind w:left="567" w:hanging="426"/>
      </w:pPr>
      <w:r w:rsidRPr="0093281B">
        <w:t xml:space="preserve">Chaiken, S., &amp; Maheswaran, D. (1994). Heuristic processing can bias systematic processing: Effects of source credibility, argument ambiguity, and task importance on attitude judgment. </w:t>
      </w:r>
      <w:r w:rsidRPr="0093281B">
        <w:rPr>
          <w:i/>
        </w:rPr>
        <w:t>Journal of Personality and Social Psychology</w:t>
      </w:r>
      <w:r w:rsidRPr="0093281B">
        <w:t>,</w:t>
      </w:r>
      <w:r w:rsidRPr="0093281B">
        <w:rPr>
          <w:i/>
        </w:rPr>
        <w:t xml:space="preserve"> 66</w:t>
      </w:r>
      <w:r w:rsidRPr="0093281B">
        <w:t xml:space="preserve">(3), 460-473. </w:t>
      </w:r>
    </w:p>
    <w:p w14:paraId="689DAC1A" w14:textId="77777777" w:rsidR="007D6961" w:rsidRPr="0093281B" w:rsidRDefault="007D6961" w:rsidP="007D6961">
      <w:pPr>
        <w:pStyle w:val="EndNoteBibliography"/>
        <w:ind w:left="567" w:hanging="426"/>
      </w:pPr>
      <w:r w:rsidRPr="0093281B">
        <w:t xml:space="preserve">Chan, F. F. Y. (2020). Prior disclosure of product placement: The more explicit the disclosure, the better the brand recall and brand attitude. </w:t>
      </w:r>
      <w:r w:rsidRPr="0093281B">
        <w:rPr>
          <w:i/>
        </w:rPr>
        <w:t>Journal of Business Research</w:t>
      </w:r>
      <w:r w:rsidRPr="0093281B">
        <w:t>,</w:t>
      </w:r>
      <w:r w:rsidRPr="0093281B">
        <w:rPr>
          <w:i/>
        </w:rPr>
        <w:t xml:space="preserve"> 120</w:t>
      </w:r>
      <w:r w:rsidRPr="0093281B">
        <w:t xml:space="preserve">, 31-41. </w:t>
      </w:r>
    </w:p>
    <w:p w14:paraId="03E05A89" w14:textId="4E5866DE" w:rsidR="007D6961" w:rsidRPr="0093281B" w:rsidRDefault="007D6961" w:rsidP="007D6961">
      <w:pPr>
        <w:pStyle w:val="EndNoteBibliography"/>
        <w:ind w:left="567" w:hanging="426"/>
      </w:pPr>
      <w:r w:rsidRPr="0093281B">
        <w:t>Chan, H.</w:t>
      </w:r>
      <w:r w:rsidR="00D9403F">
        <w:t xml:space="preserve"> </w:t>
      </w:r>
      <w:r w:rsidRPr="0093281B">
        <w:t>Y., Boksem, M. A., Venkatraman, V., Dietvorst, R. C., Scholz, C., Vo, K., Falk, E. B., &amp; Smidts, A. (20</w:t>
      </w:r>
      <w:r w:rsidR="00D9403F">
        <w:t>24</w:t>
      </w:r>
      <w:r w:rsidRPr="0093281B">
        <w:t xml:space="preserve">). Neural </w:t>
      </w:r>
      <w:r w:rsidR="00D9403F">
        <w:t>s</w:t>
      </w:r>
      <w:r w:rsidRPr="0093281B">
        <w:t xml:space="preserve">ignals of </w:t>
      </w:r>
      <w:r w:rsidR="00D9403F">
        <w:t>v</w:t>
      </w:r>
      <w:r w:rsidRPr="0093281B">
        <w:t xml:space="preserve">ideo </w:t>
      </w:r>
      <w:r w:rsidR="00D9403F">
        <w:t>a</w:t>
      </w:r>
      <w:r w:rsidRPr="0093281B">
        <w:t xml:space="preserve">dvertisement </w:t>
      </w:r>
      <w:r w:rsidR="00D9403F">
        <w:t>l</w:t>
      </w:r>
      <w:r w:rsidRPr="0093281B">
        <w:t xml:space="preserve">iking: Insights into </w:t>
      </w:r>
      <w:r w:rsidR="00D9403F">
        <w:t>p</w:t>
      </w:r>
      <w:r w:rsidRPr="0093281B">
        <w:t xml:space="preserve">sychological </w:t>
      </w:r>
      <w:r w:rsidR="00D9403F">
        <w:t>p</w:t>
      </w:r>
      <w:r w:rsidRPr="0093281B">
        <w:t xml:space="preserve">rocesses and </w:t>
      </w:r>
      <w:r w:rsidR="00D9403F">
        <w:t>t</w:t>
      </w:r>
      <w:r w:rsidRPr="0093281B">
        <w:t xml:space="preserve">heir </w:t>
      </w:r>
      <w:r w:rsidR="00D9403F">
        <w:t>t</w:t>
      </w:r>
      <w:r w:rsidRPr="0093281B">
        <w:t xml:space="preserve">emporal </w:t>
      </w:r>
      <w:r w:rsidR="00D9403F">
        <w:t>d</w:t>
      </w:r>
      <w:r w:rsidRPr="0093281B">
        <w:t xml:space="preserve">ynamics. </w:t>
      </w:r>
      <w:r w:rsidRPr="0093281B">
        <w:rPr>
          <w:i/>
        </w:rPr>
        <w:t>Journal of Marketing Research</w:t>
      </w:r>
      <w:r w:rsidRPr="0093281B">
        <w:t>,</w:t>
      </w:r>
      <w:r w:rsidRPr="0093281B">
        <w:rPr>
          <w:i/>
        </w:rPr>
        <w:t xml:space="preserve"> </w:t>
      </w:r>
      <w:r w:rsidR="00D9403F">
        <w:rPr>
          <w:i/>
        </w:rPr>
        <w:t>61</w:t>
      </w:r>
      <w:r w:rsidRPr="0093281B">
        <w:t>(</w:t>
      </w:r>
      <w:r w:rsidR="00D9403F">
        <w:t>5</w:t>
      </w:r>
      <w:r w:rsidRPr="0093281B">
        <w:t xml:space="preserve">), </w:t>
      </w:r>
      <w:r w:rsidR="00D9403F">
        <w:t>891-913</w:t>
      </w:r>
      <w:r w:rsidRPr="0093281B">
        <w:t xml:space="preserve">. </w:t>
      </w:r>
    </w:p>
    <w:p w14:paraId="50FDDB43" w14:textId="4478B448" w:rsidR="007D6961" w:rsidRPr="0093281B" w:rsidRDefault="007D6961" w:rsidP="007D6961">
      <w:pPr>
        <w:pStyle w:val="EndNoteBibliography"/>
        <w:ind w:left="567" w:hanging="426"/>
      </w:pPr>
      <w:r w:rsidRPr="0093281B">
        <w:t xml:space="preserve">Chang, C. (2009). "Being </w:t>
      </w:r>
      <w:r w:rsidR="00D9403F">
        <w:t>h</w:t>
      </w:r>
      <w:r w:rsidRPr="0093281B">
        <w:t xml:space="preserve">ooked" </w:t>
      </w:r>
      <w:r w:rsidR="00D9403F">
        <w:t>b</w:t>
      </w:r>
      <w:r w:rsidRPr="0093281B">
        <w:t xml:space="preserve">y </w:t>
      </w:r>
      <w:r w:rsidR="00D9403F">
        <w:t>e</w:t>
      </w:r>
      <w:r w:rsidRPr="0093281B">
        <w:t xml:space="preserve">ditorial </w:t>
      </w:r>
      <w:r w:rsidR="00D9403F">
        <w:t>c</w:t>
      </w:r>
      <w:r w:rsidRPr="0093281B">
        <w:t xml:space="preserve">ontent: The </w:t>
      </w:r>
      <w:r w:rsidR="00D9403F">
        <w:t>i</w:t>
      </w:r>
      <w:r w:rsidRPr="0093281B">
        <w:t xml:space="preserve">mplications for </w:t>
      </w:r>
      <w:r w:rsidR="00D9403F">
        <w:t>p</w:t>
      </w:r>
      <w:r w:rsidRPr="0093281B">
        <w:t xml:space="preserve">rocessing </w:t>
      </w:r>
      <w:r w:rsidR="00D9403F">
        <w:t>n</w:t>
      </w:r>
      <w:r w:rsidRPr="0093281B">
        <w:t xml:space="preserve">arrative </w:t>
      </w:r>
      <w:r w:rsidR="00D9403F">
        <w:t>a</w:t>
      </w:r>
      <w:r w:rsidRPr="0093281B">
        <w:t xml:space="preserve">dvertising. </w:t>
      </w:r>
      <w:r w:rsidRPr="0093281B">
        <w:rPr>
          <w:i/>
        </w:rPr>
        <w:t>Journal of Advertising</w:t>
      </w:r>
      <w:r w:rsidRPr="0093281B">
        <w:t>,</w:t>
      </w:r>
      <w:r w:rsidRPr="0093281B">
        <w:rPr>
          <w:i/>
        </w:rPr>
        <w:t xml:space="preserve"> 38</w:t>
      </w:r>
      <w:r w:rsidRPr="0093281B">
        <w:t xml:space="preserve">(1), 21-34. </w:t>
      </w:r>
    </w:p>
    <w:p w14:paraId="35D17A99" w14:textId="77777777" w:rsidR="007D6961" w:rsidRPr="0093281B" w:rsidRDefault="007D6961" w:rsidP="007D6961">
      <w:pPr>
        <w:pStyle w:val="EndNoteBibliography"/>
        <w:ind w:left="567" w:hanging="426"/>
      </w:pPr>
      <w:r w:rsidRPr="0093281B">
        <w:t xml:space="preserve">Chang, H. H., Mukherjee, A., &amp; Chattopadhyay, A. (2023). More voices persuade: The attentional benefits of voice numerosity. </w:t>
      </w:r>
      <w:r w:rsidRPr="0093281B">
        <w:rPr>
          <w:i/>
        </w:rPr>
        <w:t>Journal of Marketing Research</w:t>
      </w:r>
      <w:r w:rsidRPr="0093281B">
        <w:t>,</w:t>
      </w:r>
      <w:r w:rsidRPr="0093281B">
        <w:rPr>
          <w:i/>
        </w:rPr>
        <w:t xml:space="preserve"> 60</w:t>
      </w:r>
      <w:r w:rsidRPr="0093281B">
        <w:t xml:space="preserve">(4), 687-706. </w:t>
      </w:r>
    </w:p>
    <w:p w14:paraId="40591094" w14:textId="1E1810AB" w:rsidR="007D6961" w:rsidRPr="0093281B" w:rsidRDefault="007D6961" w:rsidP="007D6961">
      <w:pPr>
        <w:pStyle w:val="EndNoteBibliography"/>
        <w:ind w:left="567" w:hanging="426"/>
      </w:pPr>
      <w:r w:rsidRPr="0093281B">
        <w:t>Chebat, J.</w:t>
      </w:r>
      <w:r w:rsidR="00D9403F">
        <w:t xml:space="preserve"> </w:t>
      </w:r>
      <w:r w:rsidRPr="0093281B">
        <w:t xml:space="preserve">C., Charlebois, M., &amp; Gélinas-Chebat, C. (2001). What makes open vs. closed conclusion advertisements more persuasive? The moderating role of prior knowledge and involvement. </w:t>
      </w:r>
      <w:r w:rsidRPr="0093281B">
        <w:rPr>
          <w:i/>
        </w:rPr>
        <w:t>Journal of Business Research</w:t>
      </w:r>
      <w:r w:rsidRPr="0093281B">
        <w:t>,</w:t>
      </w:r>
      <w:r w:rsidRPr="0093281B">
        <w:rPr>
          <w:i/>
        </w:rPr>
        <w:t xml:space="preserve"> 53</w:t>
      </w:r>
      <w:r w:rsidRPr="0093281B">
        <w:t xml:space="preserve">(2), 93-102. </w:t>
      </w:r>
    </w:p>
    <w:p w14:paraId="33DDE52B" w14:textId="77777777" w:rsidR="007D6961" w:rsidRPr="0093281B" w:rsidRDefault="007D6961" w:rsidP="007D6961">
      <w:pPr>
        <w:pStyle w:val="EndNoteBibliography"/>
        <w:ind w:left="567" w:hanging="426"/>
      </w:pPr>
      <w:r w:rsidRPr="0093281B">
        <w:t xml:space="preserve">Chen, C., &amp; Yao, M. Z. (2022). Strategic use of immersive media and narrative message in virtual marketing: Understanding the roles of telepresence and transportation. </w:t>
      </w:r>
      <w:r w:rsidRPr="0093281B">
        <w:rPr>
          <w:i/>
        </w:rPr>
        <w:t>Psychology &amp; Marketing</w:t>
      </w:r>
      <w:r w:rsidRPr="0093281B">
        <w:t>,</w:t>
      </w:r>
      <w:r w:rsidRPr="0093281B">
        <w:rPr>
          <w:i/>
        </w:rPr>
        <w:t xml:space="preserve"> 39</w:t>
      </w:r>
      <w:r w:rsidRPr="0093281B">
        <w:t xml:space="preserve">(3), 524-542. </w:t>
      </w:r>
    </w:p>
    <w:p w14:paraId="62AD6F92" w14:textId="77777777" w:rsidR="007D6961" w:rsidRPr="0093281B" w:rsidRDefault="007D6961" w:rsidP="007D6961">
      <w:pPr>
        <w:pStyle w:val="EndNoteBibliography"/>
        <w:ind w:left="567" w:hanging="426"/>
      </w:pPr>
      <w:r w:rsidRPr="0093281B">
        <w:t xml:space="preserve">Chen, K. J., Kim, J., &amp; Lin, J. S. (2015). The effects of affective and cognitive elaborations from Facebook posts on consumer attitude formation. </w:t>
      </w:r>
      <w:r w:rsidRPr="0093281B">
        <w:rPr>
          <w:i/>
        </w:rPr>
        <w:t>Journal of Consumer Behaviour</w:t>
      </w:r>
      <w:r w:rsidRPr="0093281B">
        <w:t>,</w:t>
      </w:r>
      <w:r w:rsidRPr="0093281B">
        <w:rPr>
          <w:i/>
        </w:rPr>
        <w:t xml:space="preserve"> 14</w:t>
      </w:r>
      <w:r w:rsidRPr="0093281B">
        <w:t xml:space="preserve">(3), 208-218. </w:t>
      </w:r>
    </w:p>
    <w:p w14:paraId="329E22C9" w14:textId="185C4C52" w:rsidR="007D6961" w:rsidRPr="0093281B" w:rsidRDefault="007D6961" w:rsidP="007D6961">
      <w:pPr>
        <w:pStyle w:val="EndNoteBibliography"/>
        <w:ind w:left="567" w:hanging="426"/>
      </w:pPr>
      <w:r w:rsidRPr="0093281B">
        <w:t>Chiu, H.</w:t>
      </w:r>
      <w:r w:rsidR="00D9403F">
        <w:t xml:space="preserve"> </w:t>
      </w:r>
      <w:r w:rsidRPr="0093281B">
        <w:t>C., Pant, A., Hsieh, Y.-C., Lee, M., Hsioa, Y.</w:t>
      </w:r>
      <w:r w:rsidR="00D9403F">
        <w:t xml:space="preserve"> </w:t>
      </w:r>
      <w:r w:rsidRPr="0093281B">
        <w:t xml:space="preserve">T., &amp; Roan, J. (2014). Snowball to avalanche: Understanding the different predictors of the intention to propagate online marketing messages. </w:t>
      </w:r>
      <w:r w:rsidRPr="0093281B">
        <w:rPr>
          <w:i/>
        </w:rPr>
        <w:t>European Journal of Marketing</w:t>
      </w:r>
      <w:r w:rsidRPr="0093281B">
        <w:t xml:space="preserve">, 1255-1273. </w:t>
      </w:r>
    </w:p>
    <w:p w14:paraId="77A93E53" w14:textId="77777777" w:rsidR="007D6961" w:rsidRPr="0093281B" w:rsidRDefault="007D6961" w:rsidP="007D6961">
      <w:pPr>
        <w:pStyle w:val="EndNoteBibliography"/>
        <w:ind w:left="567" w:hanging="426"/>
      </w:pPr>
      <w:r w:rsidRPr="0093281B">
        <w:t xml:space="preserve">Christy, K. R. (2018). I, You, or He: Examining the impact of point of view on narrative persuasion. </w:t>
      </w:r>
      <w:r w:rsidRPr="0093281B">
        <w:rPr>
          <w:i/>
        </w:rPr>
        <w:t>Media Psychology</w:t>
      </w:r>
      <w:r w:rsidRPr="0093281B">
        <w:t>,</w:t>
      </w:r>
      <w:r w:rsidRPr="0093281B">
        <w:rPr>
          <w:i/>
        </w:rPr>
        <w:t xml:space="preserve"> 21</w:t>
      </w:r>
      <w:r w:rsidRPr="0093281B">
        <w:t xml:space="preserve">(4), 700-718. </w:t>
      </w:r>
    </w:p>
    <w:p w14:paraId="32C8F708" w14:textId="21DF30C8" w:rsidR="007D6961" w:rsidRPr="0093281B" w:rsidRDefault="007D6961" w:rsidP="007D6961">
      <w:pPr>
        <w:pStyle w:val="EndNoteBibliography"/>
        <w:ind w:left="567" w:hanging="426"/>
      </w:pPr>
      <w:r w:rsidRPr="0093281B">
        <w:t>Chu, S.</w:t>
      </w:r>
      <w:r w:rsidR="00D9403F">
        <w:t xml:space="preserve"> </w:t>
      </w:r>
      <w:r w:rsidRPr="0093281B">
        <w:t xml:space="preserve">C., &amp; Kamal, S. (2008). The effect of perceived blogger credibility and argument quality on message elaboration and brand attitudes: An exploratory study. </w:t>
      </w:r>
      <w:r w:rsidRPr="0093281B">
        <w:rPr>
          <w:i/>
        </w:rPr>
        <w:t>Journal of Interactive Advertising</w:t>
      </w:r>
      <w:r w:rsidRPr="0093281B">
        <w:t>,</w:t>
      </w:r>
      <w:r w:rsidRPr="0093281B">
        <w:rPr>
          <w:i/>
        </w:rPr>
        <w:t xml:space="preserve"> 8</w:t>
      </w:r>
      <w:r w:rsidRPr="0093281B">
        <w:t xml:space="preserve">(2), 26-37. </w:t>
      </w:r>
    </w:p>
    <w:p w14:paraId="62B9B191" w14:textId="77777777" w:rsidR="007D6961" w:rsidRPr="0093281B" w:rsidRDefault="007D6961" w:rsidP="007D6961">
      <w:pPr>
        <w:pStyle w:val="EndNoteBibliography"/>
        <w:ind w:left="567" w:hanging="426"/>
      </w:pPr>
      <w:r w:rsidRPr="0093281B">
        <w:t xml:space="preserve">Cline, T. W., &amp; Kellaris, J. J. (2007). The influence of humor strength and humor—message relatedness on ad memorability: A dual process model. </w:t>
      </w:r>
      <w:r w:rsidRPr="0093281B">
        <w:rPr>
          <w:i/>
        </w:rPr>
        <w:t>Journal of Advertising</w:t>
      </w:r>
      <w:r w:rsidRPr="0093281B">
        <w:t>,</w:t>
      </w:r>
      <w:r w:rsidRPr="0093281B">
        <w:rPr>
          <w:i/>
        </w:rPr>
        <w:t xml:space="preserve"> 36</w:t>
      </w:r>
      <w:r w:rsidRPr="0093281B">
        <w:t xml:space="preserve">(1), 55-67. </w:t>
      </w:r>
    </w:p>
    <w:p w14:paraId="08DDE258" w14:textId="77777777" w:rsidR="007D6961" w:rsidRPr="00F12F6B" w:rsidRDefault="007D6961" w:rsidP="007D6961">
      <w:pPr>
        <w:pStyle w:val="EndNoteBibliography"/>
        <w:ind w:left="567" w:hanging="426"/>
        <w:rPr>
          <w:lang w:val="nl-NL"/>
        </w:rPr>
      </w:pPr>
      <w:r w:rsidRPr="0093281B">
        <w:t xml:space="preserve">Delbaere, M. A. (2008). </w:t>
      </w:r>
      <w:r w:rsidRPr="0093281B">
        <w:rPr>
          <w:i/>
        </w:rPr>
        <w:t>Knowledge transfer and rhetoric: the influence of rhetorical figures on consumer learning</w:t>
      </w:r>
      <w:r w:rsidRPr="0093281B">
        <w:t xml:space="preserve"> [Unpublished doctoral dissertation, University of Manitoba]. </w:t>
      </w:r>
      <w:r w:rsidRPr="00F12F6B">
        <w:rPr>
          <w:lang w:val="nl-NL"/>
        </w:rPr>
        <w:t>Winnipeg, MB R3T. https://mspace.lib.umanitoba.ca/bitstream/1993/21141/1/Delbaere_Knowledge_transfer.pdf</w:t>
      </w:r>
    </w:p>
    <w:p w14:paraId="4340F534" w14:textId="77777777" w:rsidR="007D6961" w:rsidRPr="0093281B" w:rsidRDefault="007D6961" w:rsidP="007D6961">
      <w:pPr>
        <w:pStyle w:val="EndNoteBibliography"/>
        <w:ind w:left="567" w:hanging="426"/>
      </w:pPr>
      <w:r w:rsidRPr="0093281B">
        <w:t xml:space="preserve">DeRosia, E. D. (2003). </w:t>
      </w:r>
      <w:r w:rsidRPr="0093281B">
        <w:rPr>
          <w:i/>
        </w:rPr>
        <w:t>Some consequences of making advertisements more difficult to comprehend: Inhibited counterarguing and a sleeper effect</w:t>
      </w:r>
      <w:r w:rsidRPr="0093281B">
        <w:t xml:space="preserve"> (Publication Number 3106043) [Doctoral dissertation, University of Michigan]. ProQuest Dissertations &amp; Theses Global. Ann Arbor, MI 48109. </w:t>
      </w:r>
      <w:r w:rsidRPr="00523389">
        <w:t>https://www.proquest.com/dissertations-theses/some-consequences-making-advertisements-more/docview/288493935/se-2?accountid=11862</w:t>
      </w:r>
    </w:p>
    <w:p w14:paraId="54A0293E" w14:textId="226B5DF5" w:rsidR="00F12F6B" w:rsidRDefault="00F12F6B" w:rsidP="007D6961">
      <w:pPr>
        <w:pStyle w:val="EndNoteBibliography"/>
        <w:ind w:left="567" w:hanging="426"/>
      </w:pPr>
      <w:r w:rsidRPr="00F12F6B">
        <w:rPr>
          <w:lang w:val="en-GB"/>
        </w:rPr>
        <w:t>Dunlop, S. M., Wakefield, M., &amp; Kashima, Y. (2010). Pathways to persuasion: Cognitive and experiential responses to health-promoting mass media messages. </w:t>
      </w:r>
      <w:r w:rsidRPr="00F12F6B">
        <w:rPr>
          <w:i/>
          <w:iCs/>
          <w:lang w:val="en-GB"/>
        </w:rPr>
        <w:t>Communication research</w:t>
      </w:r>
      <w:r w:rsidRPr="00F12F6B">
        <w:rPr>
          <w:lang w:val="en-GB"/>
        </w:rPr>
        <w:t>, </w:t>
      </w:r>
      <w:r w:rsidRPr="00F12F6B">
        <w:rPr>
          <w:i/>
          <w:iCs/>
          <w:lang w:val="en-GB"/>
        </w:rPr>
        <w:t>37</w:t>
      </w:r>
      <w:r w:rsidRPr="00F12F6B">
        <w:rPr>
          <w:lang w:val="en-GB"/>
        </w:rPr>
        <w:t>(1), 133-164.</w:t>
      </w:r>
    </w:p>
    <w:p w14:paraId="2E0B9E50" w14:textId="0BA5043C" w:rsidR="007D6961" w:rsidRPr="0093281B" w:rsidRDefault="007D6961" w:rsidP="007D6961">
      <w:pPr>
        <w:pStyle w:val="EndNoteBibliography"/>
        <w:ind w:left="567" w:hanging="426"/>
      </w:pPr>
      <w:r w:rsidRPr="0093281B">
        <w:t xml:space="preserve">Duthler, K. W. (2001). </w:t>
      </w:r>
      <w:r w:rsidRPr="0093281B">
        <w:rPr>
          <w:i/>
        </w:rPr>
        <w:t>The influence of peripheral cues on the processing of persuasive messages on the World Wide Web</w:t>
      </w:r>
      <w:r w:rsidRPr="0093281B">
        <w:t xml:space="preserve"> (Publication Number 3018876) [Unpublished doctoral dissertation, University of Kentucky]. ProQuest One Academic. Lexington, KY 40506. </w:t>
      </w:r>
      <w:r w:rsidRPr="00523389">
        <w:t>https://www.proquest.com/dissertations-theses/influence-peripheral-cues-on-processing/docview/304698372/se-2?accountid=11862</w:t>
      </w:r>
    </w:p>
    <w:p w14:paraId="0EC53569" w14:textId="77777777" w:rsidR="007D6961" w:rsidRPr="0093281B" w:rsidRDefault="007D6961" w:rsidP="007D6961">
      <w:pPr>
        <w:pStyle w:val="EndNoteBibliography"/>
        <w:ind w:left="567" w:hanging="426"/>
      </w:pPr>
      <w:r w:rsidRPr="0093281B">
        <w:t xml:space="preserve">Edell, J. A., &amp; Keller, K. L. (1989). The information processing of coordinated media campaigns. </w:t>
      </w:r>
      <w:r w:rsidRPr="0093281B">
        <w:rPr>
          <w:i/>
        </w:rPr>
        <w:t>Journal of Marketing Research</w:t>
      </w:r>
      <w:r w:rsidRPr="0093281B">
        <w:t>,</w:t>
      </w:r>
      <w:r w:rsidRPr="0093281B">
        <w:rPr>
          <w:i/>
        </w:rPr>
        <w:t xml:space="preserve"> 26</w:t>
      </w:r>
      <w:r w:rsidRPr="0093281B">
        <w:t xml:space="preserve">(2), 149-163. </w:t>
      </w:r>
    </w:p>
    <w:p w14:paraId="3E9EC886" w14:textId="77777777" w:rsidR="007D6961" w:rsidRPr="0093281B" w:rsidRDefault="007D6961" w:rsidP="007D6961">
      <w:pPr>
        <w:pStyle w:val="EndNoteBibliography"/>
        <w:ind w:left="567" w:hanging="426"/>
      </w:pPr>
      <w:r w:rsidRPr="0093281B">
        <w:t xml:space="preserve">Ein-Gar, D., Shiv, B., &amp; Tormala, Z. L. (2012). When blemishing leads to blossoming: The positive effect of negative information. </w:t>
      </w:r>
      <w:r w:rsidRPr="0093281B">
        <w:rPr>
          <w:i/>
        </w:rPr>
        <w:t>Journal of Consumer Research</w:t>
      </w:r>
      <w:r w:rsidRPr="0093281B">
        <w:t>,</w:t>
      </w:r>
      <w:r w:rsidRPr="0093281B">
        <w:rPr>
          <w:i/>
        </w:rPr>
        <w:t xml:space="preserve"> 38</w:t>
      </w:r>
      <w:r w:rsidRPr="0093281B">
        <w:t xml:space="preserve">(5), 846-859. </w:t>
      </w:r>
    </w:p>
    <w:p w14:paraId="6C7F8C2D" w14:textId="77777777" w:rsidR="007D6961" w:rsidRPr="0093281B" w:rsidRDefault="007D6961" w:rsidP="007D6961">
      <w:pPr>
        <w:pStyle w:val="EndNoteBibliography"/>
        <w:ind w:left="567" w:hanging="426"/>
      </w:pPr>
      <w:r w:rsidRPr="0093281B">
        <w:t xml:space="preserve">Escalas, J. E. (2004). Imagine yourself in the product: Mental simulation, narrative transportation, and persuasion. </w:t>
      </w:r>
      <w:r w:rsidRPr="0093281B">
        <w:rPr>
          <w:i/>
        </w:rPr>
        <w:t>Journal of Advertising</w:t>
      </w:r>
      <w:r w:rsidRPr="0093281B">
        <w:t>,</w:t>
      </w:r>
      <w:r w:rsidRPr="0093281B">
        <w:rPr>
          <w:i/>
        </w:rPr>
        <w:t xml:space="preserve"> 33</w:t>
      </w:r>
      <w:r w:rsidRPr="0093281B">
        <w:t xml:space="preserve">(2), 37-48. </w:t>
      </w:r>
    </w:p>
    <w:p w14:paraId="74318FD5" w14:textId="77777777" w:rsidR="007D6961" w:rsidRPr="0093281B" w:rsidRDefault="007D6961" w:rsidP="007D6961">
      <w:pPr>
        <w:pStyle w:val="EndNoteBibliography"/>
        <w:ind w:left="567" w:hanging="426"/>
      </w:pPr>
      <w:r w:rsidRPr="0093281B">
        <w:t xml:space="preserve">Escalas, J. E. (2007). Self-referencing and persuasion: Narrative transportation versus analytical elaboration. </w:t>
      </w:r>
      <w:r w:rsidRPr="0093281B">
        <w:rPr>
          <w:i/>
        </w:rPr>
        <w:t>Journal of Consumer Research</w:t>
      </w:r>
      <w:r w:rsidRPr="0093281B">
        <w:t>,</w:t>
      </w:r>
      <w:r w:rsidRPr="0093281B">
        <w:rPr>
          <w:i/>
        </w:rPr>
        <w:t xml:space="preserve"> 33</w:t>
      </w:r>
      <w:r w:rsidRPr="0093281B">
        <w:t xml:space="preserve">(4), 421-429. </w:t>
      </w:r>
    </w:p>
    <w:p w14:paraId="38E5C9C0" w14:textId="03AD6989" w:rsidR="00F12F6B" w:rsidRDefault="00F12F6B" w:rsidP="007D6961">
      <w:pPr>
        <w:pStyle w:val="EndNoteBibliography"/>
        <w:ind w:left="567" w:hanging="426"/>
      </w:pPr>
      <w:r w:rsidRPr="00F12F6B">
        <w:rPr>
          <w:lang w:val="en-GB"/>
        </w:rPr>
        <w:t>Escalas, J. E., Moore, M. C., &amp; Britton, J. E. (2004). Fishing for feelings? Hooking viewers helps!. </w:t>
      </w:r>
      <w:r w:rsidRPr="00F12F6B">
        <w:rPr>
          <w:i/>
          <w:iCs/>
          <w:lang w:val="en-GB"/>
        </w:rPr>
        <w:t>Journal of Consumer Psychology</w:t>
      </w:r>
      <w:r w:rsidRPr="00F12F6B">
        <w:rPr>
          <w:lang w:val="en-GB"/>
        </w:rPr>
        <w:t>, </w:t>
      </w:r>
      <w:r w:rsidRPr="00F12F6B">
        <w:rPr>
          <w:i/>
          <w:iCs/>
          <w:lang w:val="en-GB"/>
        </w:rPr>
        <w:t>14</w:t>
      </w:r>
      <w:r w:rsidRPr="00F12F6B">
        <w:rPr>
          <w:lang w:val="en-GB"/>
        </w:rPr>
        <w:t>(1-2), 105-114.</w:t>
      </w:r>
    </w:p>
    <w:p w14:paraId="2C67D764" w14:textId="0FDD53D5" w:rsidR="007D6961" w:rsidRPr="0093281B" w:rsidRDefault="007D6961" w:rsidP="007D6961">
      <w:pPr>
        <w:pStyle w:val="EndNoteBibliography"/>
        <w:ind w:left="567" w:hanging="426"/>
      </w:pPr>
      <w:r w:rsidRPr="0093281B">
        <w:t xml:space="preserve">Fabrigar, L. R., Priester, J. R., Petty, R. E., &amp; Wegener, D. T. (1998). The impact of attitude accessibility on elaboration of persuasive messages. </w:t>
      </w:r>
      <w:r w:rsidRPr="0093281B">
        <w:rPr>
          <w:i/>
        </w:rPr>
        <w:t>Personality and Social Psychology Bulletin</w:t>
      </w:r>
      <w:r w:rsidRPr="0093281B">
        <w:t>,</w:t>
      </w:r>
      <w:r w:rsidRPr="0093281B">
        <w:rPr>
          <w:i/>
        </w:rPr>
        <w:t xml:space="preserve"> 24</w:t>
      </w:r>
      <w:r w:rsidRPr="0093281B">
        <w:t xml:space="preserve">(4), 339-352. </w:t>
      </w:r>
    </w:p>
    <w:p w14:paraId="26BED84B" w14:textId="77777777" w:rsidR="007D6961" w:rsidRPr="0093281B" w:rsidRDefault="007D6961" w:rsidP="007D6961">
      <w:pPr>
        <w:pStyle w:val="EndNoteBibliography"/>
        <w:ind w:left="567" w:hanging="426"/>
      </w:pPr>
      <w:r w:rsidRPr="0093281B">
        <w:t xml:space="preserve">Feick, L., &amp; Higie, R. A. (1992). The effects of preference heterogeneity and source characteristics on ad processing and judgements about endorsers. </w:t>
      </w:r>
      <w:r w:rsidRPr="0093281B">
        <w:rPr>
          <w:i/>
        </w:rPr>
        <w:t>Journal of Advertising</w:t>
      </w:r>
      <w:r w:rsidRPr="0093281B">
        <w:t>,</w:t>
      </w:r>
      <w:r w:rsidRPr="0093281B">
        <w:rPr>
          <w:i/>
        </w:rPr>
        <w:t xml:space="preserve"> 21</w:t>
      </w:r>
      <w:r w:rsidRPr="0093281B">
        <w:t xml:space="preserve">(2), 9-24. </w:t>
      </w:r>
    </w:p>
    <w:p w14:paraId="027C7B3C" w14:textId="77777777" w:rsidR="007D6961" w:rsidRPr="0093281B" w:rsidRDefault="007D6961" w:rsidP="007D6961">
      <w:pPr>
        <w:pStyle w:val="EndNoteBibliography"/>
        <w:ind w:left="567" w:hanging="426"/>
      </w:pPr>
      <w:r w:rsidRPr="0093281B">
        <w:t xml:space="preserve">Feng, Y., Xie, Q., &amp; Lou, C. (2019). The key to 360-degree video advertising: an examination of the degree of narrative structure. </w:t>
      </w:r>
      <w:r w:rsidRPr="0093281B">
        <w:rPr>
          <w:i/>
        </w:rPr>
        <w:t>Journal of Advertising</w:t>
      </w:r>
      <w:r w:rsidRPr="0093281B">
        <w:t>,</w:t>
      </w:r>
      <w:r w:rsidRPr="0093281B">
        <w:rPr>
          <w:i/>
        </w:rPr>
        <w:t xml:space="preserve"> 48</w:t>
      </w:r>
      <w:r w:rsidRPr="0093281B">
        <w:t xml:space="preserve">(2), 137-152. </w:t>
      </w:r>
    </w:p>
    <w:p w14:paraId="7C9052EF" w14:textId="77777777" w:rsidR="007D6961" w:rsidRPr="0093281B" w:rsidRDefault="007D6961" w:rsidP="007D6961">
      <w:pPr>
        <w:pStyle w:val="EndNoteBibliography"/>
        <w:ind w:left="567" w:hanging="426"/>
      </w:pPr>
      <w:r w:rsidRPr="0093281B">
        <w:t xml:space="preserve">Fernando, A. G., Sivakumaran, B., &amp; Suganthi, L. (2016). Message involvement and attitude towards green advertisements. </w:t>
      </w:r>
      <w:r w:rsidRPr="0093281B">
        <w:rPr>
          <w:i/>
        </w:rPr>
        <w:t>Marketing Intelligence &amp; Planning</w:t>
      </w:r>
      <w:r w:rsidRPr="0093281B">
        <w:t>,</w:t>
      </w:r>
      <w:r w:rsidRPr="0093281B">
        <w:rPr>
          <w:i/>
        </w:rPr>
        <w:t xml:space="preserve"> 34</w:t>
      </w:r>
      <w:r w:rsidRPr="0093281B">
        <w:t xml:space="preserve">(6), 863-882. </w:t>
      </w:r>
    </w:p>
    <w:p w14:paraId="47CA8620" w14:textId="77777777" w:rsidR="007D6961" w:rsidRPr="0093281B" w:rsidRDefault="007D6961" w:rsidP="007D6961">
      <w:pPr>
        <w:pStyle w:val="EndNoteBibliography"/>
        <w:ind w:left="567" w:hanging="426"/>
      </w:pPr>
      <w:r w:rsidRPr="0093281B">
        <w:t xml:space="preserve">Fitzsimons, G. J., &amp; Shiv, B. (2001). Nonconscious and contaminative effects of hypothetical questions on subsequent decision making. </w:t>
      </w:r>
      <w:r w:rsidRPr="0093281B">
        <w:rPr>
          <w:i/>
        </w:rPr>
        <w:t>Journal of Consumer Research</w:t>
      </w:r>
      <w:r w:rsidRPr="0093281B">
        <w:t>,</w:t>
      </w:r>
      <w:r w:rsidRPr="0093281B">
        <w:rPr>
          <w:i/>
        </w:rPr>
        <w:t xml:space="preserve"> 28</w:t>
      </w:r>
      <w:r w:rsidRPr="0093281B">
        <w:t xml:space="preserve">(2), 224-238. </w:t>
      </w:r>
    </w:p>
    <w:p w14:paraId="3F884860" w14:textId="77777777" w:rsidR="007D6961" w:rsidRPr="0093281B" w:rsidRDefault="007D6961" w:rsidP="007D6961">
      <w:pPr>
        <w:pStyle w:val="EndNoteBibliography"/>
        <w:ind w:left="567" w:hanging="426"/>
      </w:pPr>
      <w:r w:rsidRPr="0093281B">
        <w:t xml:space="preserve">Gardner, E. (2010). </w:t>
      </w:r>
      <w:r w:rsidRPr="0093281B">
        <w:rPr>
          <w:i/>
        </w:rPr>
        <w:t>Ease the résistance: The role of narrative and other-referencing in attenuating psychological reactance to persuasive diabetes messages</w:t>
      </w:r>
      <w:r w:rsidRPr="0093281B">
        <w:t xml:space="preserve"> (Publication Number 3488916) [Unpublished doctoral dissertation, University of Missouri]. ProQuest One Academic. Columbia, MO 65211. </w:t>
      </w:r>
      <w:r w:rsidRPr="00523389">
        <w:t>https://www.proquest.com/dissertations-theses/ease-r</w:t>
      </w:r>
      <w:r w:rsidRPr="0093281B">
        <w:t>ésistance-role-narrative-other-referencing/docview/911785160/se-2?accountid=11862</w:t>
      </w:r>
    </w:p>
    <w:p w14:paraId="6A4D610A" w14:textId="77777777" w:rsidR="007D6961" w:rsidRPr="0093281B" w:rsidRDefault="007D6961" w:rsidP="007D6961">
      <w:pPr>
        <w:pStyle w:val="EndNoteBibliography"/>
        <w:ind w:left="567" w:hanging="426"/>
      </w:pPr>
      <w:r w:rsidRPr="00F12F6B">
        <w:rPr>
          <w:lang w:val="nl-NL"/>
        </w:rPr>
        <w:t xml:space="preserve">Gkiouzepas, L., &amp; Hogg, M. K. (2011). </w:t>
      </w:r>
      <w:r w:rsidRPr="0093281B">
        <w:t xml:space="preserve">Articulating a new framework for visual metaphors in advertising. </w:t>
      </w:r>
      <w:r w:rsidRPr="0093281B">
        <w:rPr>
          <w:i/>
        </w:rPr>
        <w:t>Journal of Advertising</w:t>
      </w:r>
      <w:r w:rsidRPr="0093281B">
        <w:t>,</w:t>
      </w:r>
      <w:r w:rsidRPr="0093281B">
        <w:rPr>
          <w:i/>
        </w:rPr>
        <w:t xml:space="preserve"> 40</w:t>
      </w:r>
      <w:r w:rsidRPr="0093281B">
        <w:t xml:space="preserve">(1), 103-120. </w:t>
      </w:r>
    </w:p>
    <w:p w14:paraId="3590B87E" w14:textId="77777777" w:rsidR="007D6961" w:rsidRPr="0093281B" w:rsidRDefault="007D6961" w:rsidP="007D6961">
      <w:pPr>
        <w:pStyle w:val="EndNoteBibliography"/>
        <w:ind w:left="567" w:hanging="426"/>
      </w:pPr>
      <w:r w:rsidRPr="0093281B">
        <w:t xml:space="preserve">Gotlieb, J. B., &amp; Swan, J. E. (1990). An application of the elaboration likelihood model. </w:t>
      </w:r>
      <w:r w:rsidRPr="0093281B">
        <w:rPr>
          <w:i/>
        </w:rPr>
        <w:t>Journal of the Academy of Marketing Science</w:t>
      </w:r>
      <w:r w:rsidRPr="0093281B">
        <w:t>,</w:t>
      </w:r>
      <w:r w:rsidRPr="0093281B">
        <w:rPr>
          <w:i/>
        </w:rPr>
        <w:t xml:space="preserve"> 18</w:t>
      </w:r>
      <w:r w:rsidRPr="0093281B">
        <w:t xml:space="preserve">(3), 221-228. </w:t>
      </w:r>
    </w:p>
    <w:p w14:paraId="0C0276EB" w14:textId="77777777" w:rsidR="007D6961" w:rsidRPr="0093281B" w:rsidRDefault="007D6961" w:rsidP="007D6961">
      <w:pPr>
        <w:pStyle w:val="EndNoteBibliography"/>
        <w:ind w:left="567" w:hanging="426"/>
      </w:pPr>
      <w:r w:rsidRPr="0093281B">
        <w:t xml:space="preserve">Grabe, M. E., &amp; Kamhawi, R. (2006). Hard wired for negative news? Gender differences in processing broadcast news. </w:t>
      </w:r>
      <w:r w:rsidRPr="0093281B">
        <w:rPr>
          <w:i/>
        </w:rPr>
        <w:t>Communication Research</w:t>
      </w:r>
      <w:r w:rsidRPr="0093281B">
        <w:t>,</w:t>
      </w:r>
      <w:r w:rsidRPr="0093281B">
        <w:rPr>
          <w:i/>
        </w:rPr>
        <w:t xml:space="preserve"> 33</w:t>
      </w:r>
      <w:r w:rsidRPr="0093281B">
        <w:t xml:space="preserve">(5), 346-369. </w:t>
      </w:r>
    </w:p>
    <w:p w14:paraId="5598D13D" w14:textId="77777777" w:rsidR="007D6961" w:rsidRPr="0093281B" w:rsidRDefault="007D6961" w:rsidP="007D6961">
      <w:pPr>
        <w:pStyle w:val="EndNoteBibliography"/>
        <w:ind w:left="567" w:hanging="426"/>
      </w:pPr>
      <w:r w:rsidRPr="0093281B">
        <w:t xml:space="preserve">Grau, S. L., &amp; Folse, J. A. G. (2007). Cause-related marketing (CRM): The influence of donation proximity and message-framing cues on the less-involved consumer. </w:t>
      </w:r>
      <w:r w:rsidRPr="0093281B">
        <w:rPr>
          <w:i/>
        </w:rPr>
        <w:t>Journal of Advertising</w:t>
      </w:r>
      <w:r w:rsidRPr="0093281B">
        <w:t>,</w:t>
      </w:r>
      <w:r w:rsidRPr="0093281B">
        <w:rPr>
          <w:i/>
        </w:rPr>
        <w:t xml:space="preserve"> 36</w:t>
      </w:r>
      <w:r w:rsidRPr="0093281B">
        <w:t xml:space="preserve">(4), 19-33. </w:t>
      </w:r>
    </w:p>
    <w:p w14:paraId="629FF005" w14:textId="77777777" w:rsidR="007D6961" w:rsidRPr="0093281B" w:rsidRDefault="007D6961" w:rsidP="007D6961">
      <w:pPr>
        <w:pStyle w:val="EndNoteBibliography"/>
        <w:ind w:left="567" w:hanging="426"/>
      </w:pPr>
      <w:r w:rsidRPr="0093281B">
        <w:t xml:space="preserve">Green, M. C., &amp; Brock, T. C. (2000). The role of transportation in the persuasiveness of public narratives. </w:t>
      </w:r>
      <w:r w:rsidRPr="0093281B">
        <w:rPr>
          <w:i/>
        </w:rPr>
        <w:t>Journal of Personality and Social Psychology</w:t>
      </w:r>
      <w:r w:rsidRPr="0093281B">
        <w:t>,</w:t>
      </w:r>
      <w:r w:rsidRPr="0093281B">
        <w:rPr>
          <w:i/>
        </w:rPr>
        <w:t xml:space="preserve"> 79</w:t>
      </w:r>
      <w:r w:rsidRPr="0093281B">
        <w:t xml:space="preserve">(5), 701-721. </w:t>
      </w:r>
    </w:p>
    <w:p w14:paraId="2CC7C802" w14:textId="77777777" w:rsidR="007D6961" w:rsidRPr="0093281B" w:rsidRDefault="007D6961" w:rsidP="007D6961">
      <w:pPr>
        <w:pStyle w:val="EndNoteBibliography"/>
        <w:ind w:left="567" w:hanging="426"/>
      </w:pPr>
      <w:r w:rsidRPr="0093281B">
        <w:t xml:space="preserve">Gregan-Paxton, J., Hibbard, J. D., Brunel, F. F., &amp; Azar, P. (2002). "So that's what that is": Examining the impact of analogy on consumers' knowledge development for really new products. </w:t>
      </w:r>
      <w:r w:rsidRPr="0093281B">
        <w:rPr>
          <w:i/>
        </w:rPr>
        <w:t>Psychology &amp; Marketing</w:t>
      </w:r>
      <w:r w:rsidRPr="0093281B">
        <w:t>,</w:t>
      </w:r>
      <w:r w:rsidRPr="0093281B">
        <w:rPr>
          <w:i/>
        </w:rPr>
        <w:t xml:space="preserve"> 19</w:t>
      </w:r>
      <w:r w:rsidRPr="0093281B">
        <w:t xml:space="preserve">(6), 533-550. </w:t>
      </w:r>
    </w:p>
    <w:p w14:paraId="0750C68D" w14:textId="77777777" w:rsidR="007D6961" w:rsidRPr="0093281B" w:rsidRDefault="007D6961" w:rsidP="007D6961">
      <w:pPr>
        <w:pStyle w:val="EndNoteBibliography"/>
        <w:ind w:left="567" w:hanging="426"/>
      </w:pPr>
      <w:r w:rsidRPr="0093281B">
        <w:t xml:space="preserve">Gürhan-Canli, Z., &amp; Maheswaran, D. (1998). The effects of extensions on brand name dilution and enhancement. </w:t>
      </w:r>
      <w:r w:rsidRPr="0093281B">
        <w:rPr>
          <w:i/>
        </w:rPr>
        <w:t>Journal of Marketing Research</w:t>
      </w:r>
      <w:r w:rsidRPr="0093281B">
        <w:t>,</w:t>
      </w:r>
      <w:r w:rsidRPr="0093281B">
        <w:rPr>
          <w:i/>
        </w:rPr>
        <w:t xml:space="preserve"> 35</w:t>
      </w:r>
      <w:r w:rsidRPr="0093281B">
        <w:t xml:space="preserve">(4), 464-473. </w:t>
      </w:r>
    </w:p>
    <w:p w14:paraId="40DDD030" w14:textId="77777777" w:rsidR="007D6961" w:rsidRPr="0093281B" w:rsidRDefault="007D6961" w:rsidP="007D6961">
      <w:pPr>
        <w:pStyle w:val="EndNoteBibliography"/>
        <w:ind w:left="567" w:hanging="426"/>
      </w:pPr>
      <w:r w:rsidRPr="0093281B">
        <w:t xml:space="preserve">Hallahan, K. E. (1995). </w:t>
      </w:r>
      <w:r w:rsidRPr="0093281B">
        <w:rPr>
          <w:i/>
        </w:rPr>
        <w:t>Product publicity versus advertising: An investigation of third-party endorsement effects, the role of content class as a contextual processing cue</w:t>
      </w:r>
      <w:r w:rsidRPr="0093281B">
        <w:t xml:space="preserve"> (Publication Number 9527165) [Unpublished doctoral dissertation, The University of Wisconsin - Madison]. ProQuest One Academic. Madison, WI 53706. </w:t>
      </w:r>
      <w:r w:rsidRPr="00523389">
        <w:t>https://www.proquest.com/dissertations-theses/product-publicity-versus-advertising/docview/304255743/se-2?accountid=11862</w:t>
      </w:r>
    </w:p>
    <w:p w14:paraId="1888876C" w14:textId="77777777" w:rsidR="007D6961" w:rsidRPr="0093281B" w:rsidRDefault="007D6961" w:rsidP="007D6961">
      <w:pPr>
        <w:pStyle w:val="EndNoteBibliography"/>
        <w:ind w:left="567" w:hanging="426"/>
      </w:pPr>
      <w:r w:rsidRPr="0093281B">
        <w:t xml:space="preserve">Hamby, A., &amp; Brinberg, D. (2016). Happily ever after: How ending valence influences narrative persuasion in cautionary stories. </w:t>
      </w:r>
      <w:r w:rsidRPr="0093281B">
        <w:rPr>
          <w:i/>
        </w:rPr>
        <w:t>Journal of Advertising</w:t>
      </w:r>
      <w:r w:rsidRPr="0093281B">
        <w:t>,</w:t>
      </w:r>
      <w:r w:rsidRPr="0093281B">
        <w:rPr>
          <w:i/>
        </w:rPr>
        <w:t xml:space="preserve"> 45</w:t>
      </w:r>
      <w:r w:rsidRPr="0093281B">
        <w:t xml:space="preserve">(4), 498-508. </w:t>
      </w:r>
    </w:p>
    <w:p w14:paraId="48C006BC" w14:textId="77777777" w:rsidR="007D6961" w:rsidRPr="0093281B" w:rsidRDefault="007D6961" w:rsidP="007D6961">
      <w:pPr>
        <w:pStyle w:val="EndNoteBibliography"/>
        <w:ind w:left="567" w:hanging="426"/>
      </w:pPr>
      <w:r w:rsidRPr="0093281B">
        <w:t xml:space="preserve">Hamby, A., Brinberg, D., &amp; Daniloski, K. (2017). Reflecting on the journey: Mechanisms in narrative persuasion. </w:t>
      </w:r>
      <w:r w:rsidRPr="0093281B">
        <w:rPr>
          <w:i/>
        </w:rPr>
        <w:t>Journal of Consumer Psychology</w:t>
      </w:r>
      <w:r w:rsidRPr="0093281B">
        <w:t>,</w:t>
      </w:r>
      <w:r w:rsidRPr="0093281B">
        <w:rPr>
          <w:i/>
        </w:rPr>
        <w:t xml:space="preserve"> 27</w:t>
      </w:r>
      <w:r w:rsidRPr="0093281B">
        <w:t xml:space="preserve">(1), 11-22. </w:t>
      </w:r>
    </w:p>
    <w:p w14:paraId="09CF4599" w14:textId="77777777" w:rsidR="007D6961" w:rsidRPr="0093281B" w:rsidRDefault="007D6961" w:rsidP="007D6961">
      <w:pPr>
        <w:pStyle w:val="EndNoteBibliography"/>
        <w:ind w:left="567" w:hanging="426"/>
      </w:pPr>
      <w:r w:rsidRPr="0093281B">
        <w:t xml:space="preserve">Hamby, A., Brinberg, D., &amp; Daniloski, K. (2019). It's about our values: How founder's stories influence brand authenticity. </w:t>
      </w:r>
      <w:r w:rsidRPr="0093281B">
        <w:rPr>
          <w:i/>
        </w:rPr>
        <w:t>Psychology &amp; Marketing</w:t>
      </w:r>
      <w:r w:rsidRPr="0093281B">
        <w:t>,</w:t>
      </w:r>
      <w:r w:rsidRPr="0093281B">
        <w:rPr>
          <w:i/>
        </w:rPr>
        <w:t xml:space="preserve"> 36</w:t>
      </w:r>
      <w:r w:rsidRPr="0093281B">
        <w:t xml:space="preserve">(11), 1014-1026. </w:t>
      </w:r>
    </w:p>
    <w:p w14:paraId="6FADB640" w14:textId="77777777" w:rsidR="007D6961" w:rsidRPr="0093281B" w:rsidRDefault="007D6961" w:rsidP="007D6961">
      <w:pPr>
        <w:pStyle w:val="EndNoteBibliography"/>
        <w:ind w:left="567" w:hanging="426"/>
      </w:pPr>
      <w:r w:rsidRPr="0093281B">
        <w:t xml:space="preserve">Hamby, A., Daniloski, K., &amp; Brinberg, D. (2015). How consumer reviews persuade through narratives. </w:t>
      </w:r>
      <w:r w:rsidRPr="0093281B">
        <w:rPr>
          <w:i/>
        </w:rPr>
        <w:t>Journal of Business Research</w:t>
      </w:r>
      <w:r w:rsidRPr="0093281B">
        <w:t>,</w:t>
      </w:r>
      <w:r w:rsidRPr="0093281B">
        <w:rPr>
          <w:i/>
        </w:rPr>
        <w:t xml:space="preserve"> 68</w:t>
      </w:r>
      <w:r w:rsidRPr="0093281B">
        <w:t xml:space="preserve">(6), 1242-1250. </w:t>
      </w:r>
    </w:p>
    <w:p w14:paraId="7635B3E0" w14:textId="77777777" w:rsidR="007D6961" w:rsidRPr="0093281B" w:rsidRDefault="007D6961" w:rsidP="007D6961">
      <w:pPr>
        <w:pStyle w:val="EndNoteBibliography"/>
        <w:ind w:left="567" w:hanging="426"/>
      </w:pPr>
      <w:r w:rsidRPr="0093281B">
        <w:t xml:space="preserve">Harmon, R. R., &amp; Coney, K. A. (1982). The persuasive effects of source credibility in buy and lease situations. </w:t>
      </w:r>
      <w:r w:rsidRPr="0093281B">
        <w:rPr>
          <w:i/>
        </w:rPr>
        <w:t>Journal of Marketing Research</w:t>
      </w:r>
      <w:r w:rsidRPr="0093281B">
        <w:t>,</w:t>
      </w:r>
      <w:r w:rsidRPr="0093281B">
        <w:rPr>
          <w:i/>
        </w:rPr>
        <w:t xml:space="preserve"> 19</w:t>
      </w:r>
      <w:r w:rsidRPr="0093281B">
        <w:t xml:space="preserve">(2), 255-260. </w:t>
      </w:r>
    </w:p>
    <w:p w14:paraId="054297AF" w14:textId="77777777" w:rsidR="007D6961" w:rsidRPr="0093281B" w:rsidRDefault="007D6961" w:rsidP="007D6961">
      <w:pPr>
        <w:pStyle w:val="EndNoteBibliography"/>
        <w:ind w:left="567" w:hanging="426"/>
      </w:pPr>
      <w:r w:rsidRPr="0093281B">
        <w:t xml:space="preserve">Haugtvedt, C. P., &amp; Petty, R. E. (1992). Personality and persuasion: Need for cognition moderates the persistence and resistance of attitude changes. </w:t>
      </w:r>
      <w:r w:rsidRPr="0093281B">
        <w:rPr>
          <w:i/>
        </w:rPr>
        <w:t>Journal of Personality and Social Psychology</w:t>
      </w:r>
      <w:r w:rsidRPr="0093281B">
        <w:t>,</w:t>
      </w:r>
      <w:r w:rsidRPr="0093281B">
        <w:rPr>
          <w:i/>
        </w:rPr>
        <w:t xml:space="preserve"> 63</w:t>
      </w:r>
      <w:r w:rsidRPr="0093281B">
        <w:t xml:space="preserve">(2), 308-319. </w:t>
      </w:r>
    </w:p>
    <w:p w14:paraId="66C1B910" w14:textId="77777777" w:rsidR="007D6961" w:rsidRPr="0093281B" w:rsidRDefault="007D6961" w:rsidP="007D6961">
      <w:pPr>
        <w:pStyle w:val="EndNoteBibliography"/>
        <w:ind w:left="567" w:hanging="426"/>
      </w:pPr>
      <w:r w:rsidRPr="0093281B">
        <w:t xml:space="preserve">Haugtvedt, C. P., Petty, R. E., &amp; Cacioppo, J. T. (1992). Need for cognition and advertising: Understanding the role of personality variables in consumer behavior. </w:t>
      </w:r>
      <w:r w:rsidRPr="0093281B">
        <w:rPr>
          <w:i/>
        </w:rPr>
        <w:t>Journal of Consumer Psychology</w:t>
      </w:r>
      <w:r w:rsidRPr="0093281B">
        <w:t>,</w:t>
      </w:r>
      <w:r w:rsidRPr="0093281B">
        <w:rPr>
          <w:i/>
        </w:rPr>
        <w:t xml:space="preserve"> 1</w:t>
      </w:r>
      <w:r w:rsidRPr="0093281B">
        <w:t xml:space="preserve">(3), 239-260. </w:t>
      </w:r>
    </w:p>
    <w:p w14:paraId="30E58643" w14:textId="77777777" w:rsidR="007D6961" w:rsidRPr="0093281B" w:rsidRDefault="007D6961" w:rsidP="007D6961">
      <w:pPr>
        <w:pStyle w:val="EndNoteBibliography"/>
        <w:ind w:left="567" w:hanging="426"/>
      </w:pPr>
      <w:r w:rsidRPr="0093281B">
        <w:t xml:space="preserve">Haugtvedt, C. P., Schumann, D. W., Schneier, W. L., &amp; Warren, W. L. (1994). Advertising repetition and variation strategies: Implications for understanding attitude strength. </w:t>
      </w:r>
      <w:r w:rsidRPr="0093281B">
        <w:rPr>
          <w:i/>
        </w:rPr>
        <w:t>Journal of Consumer Research</w:t>
      </w:r>
      <w:r w:rsidRPr="0093281B">
        <w:t>,</w:t>
      </w:r>
      <w:r w:rsidRPr="0093281B">
        <w:rPr>
          <w:i/>
        </w:rPr>
        <w:t xml:space="preserve"> 21</w:t>
      </w:r>
      <w:r w:rsidRPr="0093281B">
        <w:t xml:space="preserve">(1), 176-189. </w:t>
      </w:r>
    </w:p>
    <w:p w14:paraId="705C7DF2" w14:textId="77777777" w:rsidR="007D6961" w:rsidRPr="0093281B" w:rsidRDefault="007D6961" w:rsidP="007D6961">
      <w:pPr>
        <w:pStyle w:val="EndNoteBibliography"/>
        <w:ind w:left="567" w:hanging="426"/>
      </w:pPr>
      <w:r w:rsidRPr="0093281B">
        <w:t xml:space="preserve">Haugtvedt, C. P., &amp; Wegener, D. T. (1994). Message order effects in persuasion: An attitude strength perspective. </w:t>
      </w:r>
      <w:r w:rsidRPr="0093281B">
        <w:rPr>
          <w:i/>
        </w:rPr>
        <w:t>Journal of Consumer Research</w:t>
      </w:r>
      <w:r w:rsidRPr="0093281B">
        <w:t>,</w:t>
      </w:r>
      <w:r w:rsidRPr="0093281B">
        <w:rPr>
          <w:i/>
        </w:rPr>
        <w:t xml:space="preserve"> 21</w:t>
      </w:r>
      <w:r w:rsidRPr="0093281B">
        <w:t xml:space="preserve">(1), 205-218. </w:t>
      </w:r>
    </w:p>
    <w:p w14:paraId="2758A34D" w14:textId="77777777" w:rsidR="007D6961" w:rsidRPr="0093281B" w:rsidRDefault="007D6961" w:rsidP="007D6961">
      <w:pPr>
        <w:pStyle w:val="EndNoteBibliography"/>
        <w:ind w:left="567" w:hanging="426"/>
      </w:pPr>
      <w:r w:rsidRPr="0093281B">
        <w:t xml:space="preserve">He, Y. (2008). </w:t>
      </w:r>
      <w:r w:rsidRPr="0093281B">
        <w:rPr>
          <w:i/>
        </w:rPr>
        <w:t>Verbalizing or visualizing metaphors? The moderating effects of processing mode and temporal orientation</w:t>
      </w:r>
      <w:r w:rsidRPr="0093281B">
        <w:t xml:space="preserve"> (Publication Number 3311869) [Unpublished doctoral dissertation, University of Hawai'i at Manoa]. ProQuest Dissertations &amp; Theses Global. Honolulu, HI 96822. </w:t>
      </w:r>
      <w:r w:rsidRPr="00523389">
        <w:t>https://www.proquest.com/dissertations-theses/verbalizing-visualizing-metaphors-moderating/docview/304601793/se-2?accountid=11862</w:t>
      </w:r>
    </w:p>
    <w:p w14:paraId="0E7D9A84" w14:textId="77777777" w:rsidR="007D6961" w:rsidRPr="0093281B" w:rsidRDefault="007D6961" w:rsidP="007D6961">
      <w:pPr>
        <w:pStyle w:val="EndNoteBibliography"/>
        <w:ind w:left="567" w:hanging="426"/>
      </w:pPr>
      <w:r w:rsidRPr="0093281B">
        <w:t xml:space="preserve">Homer, P. M., &amp; Kahle, L. R. (1990). Source expertise, time of source identification, and involvement in persuasion: An elaborative processing perspective. </w:t>
      </w:r>
      <w:r w:rsidRPr="0093281B">
        <w:rPr>
          <w:i/>
        </w:rPr>
        <w:t>Journal of Advertising</w:t>
      </w:r>
      <w:r w:rsidRPr="0093281B">
        <w:t>,</w:t>
      </w:r>
      <w:r w:rsidRPr="0093281B">
        <w:rPr>
          <w:i/>
        </w:rPr>
        <w:t xml:space="preserve"> 19</w:t>
      </w:r>
      <w:r w:rsidRPr="0093281B">
        <w:t xml:space="preserve">(1), 30-39. </w:t>
      </w:r>
    </w:p>
    <w:p w14:paraId="039D6FC1" w14:textId="77777777" w:rsidR="007D6961" w:rsidRPr="0093281B" w:rsidRDefault="007D6961" w:rsidP="007D6961">
      <w:pPr>
        <w:pStyle w:val="EndNoteBibliography"/>
        <w:ind w:left="567" w:hanging="426"/>
      </w:pPr>
      <w:r w:rsidRPr="0093281B">
        <w:t xml:space="preserve">Hong, J. J., Yang, J., Wooldridge, B. R., &amp; Bhappu, A. D. (2021). Sharing consumers’ brand storytelling: influence of consumers’ storytelling on brand attitude via emotions and cognitions. </w:t>
      </w:r>
      <w:r w:rsidRPr="0093281B">
        <w:rPr>
          <w:i/>
        </w:rPr>
        <w:t>Journal of Product &amp; Brand Management</w:t>
      </w:r>
      <w:r w:rsidRPr="0093281B">
        <w:t xml:space="preserve">, 265-278. </w:t>
      </w:r>
    </w:p>
    <w:p w14:paraId="49D502A0" w14:textId="77777777" w:rsidR="007D6961" w:rsidRPr="0093281B" w:rsidRDefault="007D6961" w:rsidP="007D6961">
      <w:pPr>
        <w:pStyle w:val="EndNoteBibliography"/>
        <w:ind w:left="567" w:hanging="426"/>
      </w:pPr>
      <w:r w:rsidRPr="0093281B">
        <w:t xml:space="preserve">Howard, D. J., &amp; Kerin, R. A. (2006). Broadening the scope of reference price advertising research: A field study of consumer shopping involvement. </w:t>
      </w:r>
      <w:r w:rsidRPr="0093281B">
        <w:rPr>
          <w:i/>
        </w:rPr>
        <w:t>Journal of Marketing</w:t>
      </w:r>
      <w:r w:rsidRPr="0093281B">
        <w:t>,</w:t>
      </w:r>
      <w:r w:rsidRPr="0093281B">
        <w:rPr>
          <w:i/>
        </w:rPr>
        <w:t xml:space="preserve"> 70</w:t>
      </w:r>
      <w:r w:rsidRPr="0093281B">
        <w:t xml:space="preserve">(4), 185-204. </w:t>
      </w:r>
    </w:p>
    <w:p w14:paraId="0BD280DB" w14:textId="77777777" w:rsidR="007D6961" w:rsidRPr="0093281B" w:rsidRDefault="007D6961" w:rsidP="007D6961">
      <w:pPr>
        <w:pStyle w:val="EndNoteBibliography"/>
        <w:ind w:left="567" w:hanging="426"/>
      </w:pPr>
      <w:r w:rsidRPr="0093281B">
        <w:t xml:space="preserve">Howard, D. J., &amp; Kerin, R. A. (2011). The effects of name similarity on message processing and persuasion. </w:t>
      </w:r>
      <w:r w:rsidRPr="0093281B">
        <w:rPr>
          <w:i/>
        </w:rPr>
        <w:t>Journal of Experimental Social Psychology</w:t>
      </w:r>
      <w:r w:rsidRPr="0093281B">
        <w:t>,</w:t>
      </w:r>
      <w:r w:rsidRPr="0093281B">
        <w:rPr>
          <w:i/>
        </w:rPr>
        <w:t xml:space="preserve"> 47</w:t>
      </w:r>
      <w:r w:rsidRPr="0093281B">
        <w:t xml:space="preserve">(1), 63-71. </w:t>
      </w:r>
    </w:p>
    <w:p w14:paraId="25A60509" w14:textId="77777777" w:rsidR="007D6961" w:rsidRPr="0093281B" w:rsidRDefault="007D6961" w:rsidP="007D6961">
      <w:pPr>
        <w:pStyle w:val="EndNoteBibliography"/>
        <w:ind w:left="567" w:hanging="426"/>
      </w:pPr>
      <w:r w:rsidRPr="0093281B">
        <w:t xml:space="preserve">Huhmann, B. A., &amp; Albinsson, P. A. (2012). Does rhetoric impact advertising effectiveness with liking controlled? </w:t>
      </w:r>
      <w:r w:rsidRPr="0093281B">
        <w:rPr>
          <w:i/>
        </w:rPr>
        <w:t>European Journal of Marketing</w:t>
      </w:r>
      <w:r w:rsidRPr="0093281B">
        <w:t>,</w:t>
      </w:r>
      <w:r w:rsidRPr="0093281B">
        <w:rPr>
          <w:i/>
        </w:rPr>
        <w:t xml:space="preserve"> 46</w:t>
      </w:r>
      <w:r w:rsidRPr="0093281B">
        <w:t xml:space="preserve">(11-12), 1476-1500. </w:t>
      </w:r>
    </w:p>
    <w:p w14:paraId="6D1BFBF0" w14:textId="77777777" w:rsidR="007D6961" w:rsidRPr="0093281B" w:rsidRDefault="007D6961" w:rsidP="007D6961">
      <w:pPr>
        <w:pStyle w:val="EndNoteBibliography"/>
        <w:ind w:left="567" w:hanging="426"/>
      </w:pPr>
      <w:r w:rsidRPr="0093281B">
        <w:t xml:space="preserve">Huhmann, B. A., &amp; Mott‐Stenerson, B. (2008). Controversial advertisement executions and involvement on elaborative processing and comprehension. </w:t>
      </w:r>
      <w:r w:rsidRPr="0093281B">
        <w:rPr>
          <w:i/>
        </w:rPr>
        <w:t>Journal of Marketing Communications</w:t>
      </w:r>
      <w:r w:rsidRPr="0093281B">
        <w:t>,</w:t>
      </w:r>
      <w:r w:rsidRPr="0093281B">
        <w:rPr>
          <w:i/>
        </w:rPr>
        <w:t xml:space="preserve"> 14</w:t>
      </w:r>
      <w:r w:rsidRPr="0093281B">
        <w:t xml:space="preserve">(4), 293-313. </w:t>
      </w:r>
    </w:p>
    <w:p w14:paraId="659D25F0" w14:textId="00B55446" w:rsidR="007D6961" w:rsidRPr="0093281B" w:rsidRDefault="007D6961" w:rsidP="007D6961">
      <w:pPr>
        <w:pStyle w:val="EndNoteBibliography"/>
        <w:ind w:left="567" w:hanging="426"/>
      </w:pPr>
      <w:r w:rsidRPr="0093281B">
        <w:t>Igartua, J.</w:t>
      </w:r>
      <w:r w:rsidR="00D9403F">
        <w:t xml:space="preserve"> </w:t>
      </w:r>
      <w:r w:rsidRPr="0093281B">
        <w:t xml:space="preserve">J., &amp; Barrios, I. (2012). Changing real-world beliefs with controversial movies: Processes and mechanisms of narrative persuasion. </w:t>
      </w:r>
      <w:r w:rsidRPr="0093281B">
        <w:rPr>
          <w:i/>
        </w:rPr>
        <w:t>Journal of Communication</w:t>
      </w:r>
      <w:r w:rsidRPr="0093281B">
        <w:t>,</w:t>
      </w:r>
      <w:r w:rsidRPr="0093281B">
        <w:rPr>
          <w:i/>
        </w:rPr>
        <w:t xml:space="preserve"> 62</w:t>
      </w:r>
      <w:r w:rsidRPr="0093281B">
        <w:t xml:space="preserve">(3), 514-531. </w:t>
      </w:r>
    </w:p>
    <w:p w14:paraId="58C55CDA" w14:textId="77777777" w:rsidR="007D6961" w:rsidRPr="0093281B" w:rsidRDefault="007D6961" w:rsidP="007D6961">
      <w:pPr>
        <w:pStyle w:val="EndNoteBibliography"/>
        <w:ind w:left="567" w:hanging="426"/>
      </w:pPr>
      <w:r w:rsidRPr="0093281B">
        <w:t xml:space="preserve">Isaac, M. S., &amp; Poor, M. (2016). The sleeper framing effect: The influence of frame valence on immediate and retrospective judgments. </w:t>
      </w:r>
      <w:r w:rsidRPr="0093281B">
        <w:rPr>
          <w:i/>
        </w:rPr>
        <w:t>Journal of Consumer Psychology</w:t>
      </w:r>
      <w:r w:rsidRPr="0093281B">
        <w:t>,</w:t>
      </w:r>
      <w:r w:rsidRPr="0093281B">
        <w:rPr>
          <w:i/>
        </w:rPr>
        <w:t xml:space="preserve"> 26</w:t>
      </w:r>
      <w:r w:rsidRPr="0093281B">
        <w:t xml:space="preserve">(1), 53-65. </w:t>
      </w:r>
    </w:p>
    <w:p w14:paraId="2687E9EB" w14:textId="77777777" w:rsidR="007D6961" w:rsidRPr="0093281B" w:rsidRDefault="007D6961" w:rsidP="007D6961">
      <w:pPr>
        <w:pStyle w:val="EndNoteBibliography"/>
        <w:ind w:left="567" w:hanging="426"/>
      </w:pPr>
      <w:r w:rsidRPr="0093281B">
        <w:t xml:space="preserve">Jae, H. (2006). </w:t>
      </w:r>
      <w:r w:rsidRPr="0093281B">
        <w:rPr>
          <w:i/>
        </w:rPr>
        <w:t>An investigation of low-literacy consumers' processing of written advertisements</w:t>
      </w:r>
      <w:r w:rsidRPr="0093281B">
        <w:t xml:space="preserve"> (Publication Number 3259139) [Unpublished doctoral dissertation, University of Kentucky]. ProQuest One Academic. Lexington, KY 40506. </w:t>
      </w:r>
      <w:r w:rsidRPr="00523389">
        <w:t>https://www.proquest.com/dissertations-theses/investigation-low-literacy-consumers-processing/docview/305320566/se-2?accountid=11862</w:t>
      </w:r>
    </w:p>
    <w:p w14:paraId="4725A43A" w14:textId="77777777" w:rsidR="007D6961" w:rsidRPr="0093281B" w:rsidRDefault="007D6961" w:rsidP="007D6961">
      <w:pPr>
        <w:pStyle w:val="EndNoteBibliography"/>
        <w:ind w:left="567" w:hanging="426"/>
      </w:pPr>
      <w:r w:rsidRPr="0093281B">
        <w:t xml:space="preserve">Jae, H., DelVecchio, D. S., &amp; Childers, T. L. (2011). Are low-literate and high-literate consumers different? Applying resource-matching theory to ad processing across literacy levels. </w:t>
      </w:r>
      <w:r w:rsidRPr="0093281B">
        <w:rPr>
          <w:i/>
        </w:rPr>
        <w:t>Journal of Consumer Psychology</w:t>
      </w:r>
      <w:r w:rsidRPr="0093281B">
        <w:t>,</w:t>
      </w:r>
      <w:r w:rsidRPr="0093281B">
        <w:rPr>
          <w:i/>
        </w:rPr>
        <w:t xml:space="preserve"> 21</w:t>
      </w:r>
      <w:r w:rsidRPr="0093281B">
        <w:t xml:space="preserve">(3), 312-323. </w:t>
      </w:r>
    </w:p>
    <w:p w14:paraId="0A1A2655" w14:textId="77777777" w:rsidR="007D6961" w:rsidRPr="0093281B" w:rsidRDefault="007D6961" w:rsidP="007D6961">
      <w:pPr>
        <w:pStyle w:val="EndNoteBibliography"/>
        <w:ind w:left="567" w:hanging="426"/>
      </w:pPr>
      <w:r w:rsidRPr="0093281B">
        <w:t xml:space="preserve">Jain, S. P., &amp; Maheswaran, D. (2000). Motivated reasoning: A depth-of processing perspective. </w:t>
      </w:r>
      <w:r w:rsidRPr="0093281B">
        <w:rPr>
          <w:i/>
        </w:rPr>
        <w:t>Journal of Consumer Research</w:t>
      </w:r>
      <w:r w:rsidRPr="0093281B">
        <w:t>,</w:t>
      </w:r>
      <w:r w:rsidRPr="0093281B">
        <w:rPr>
          <w:i/>
        </w:rPr>
        <w:t xml:space="preserve"> 26</w:t>
      </w:r>
      <w:r w:rsidRPr="0093281B">
        <w:t xml:space="preserve">(4), 358-371. </w:t>
      </w:r>
    </w:p>
    <w:p w14:paraId="283D3584" w14:textId="77777777" w:rsidR="007D6961" w:rsidRPr="0093281B" w:rsidRDefault="007D6961" w:rsidP="007D6961">
      <w:pPr>
        <w:pStyle w:val="EndNoteBibliography"/>
        <w:ind w:left="567" w:hanging="426"/>
      </w:pPr>
      <w:r w:rsidRPr="0093281B">
        <w:t xml:space="preserve">Jain, S. P., &amp; Posavac, S. S. (2001). Prepurchase attribute verifiability, source credibility, and persuasion. </w:t>
      </w:r>
      <w:r w:rsidRPr="0093281B">
        <w:rPr>
          <w:i/>
        </w:rPr>
        <w:t>Journal of Consumer Psychology</w:t>
      </w:r>
      <w:r w:rsidRPr="0093281B">
        <w:t>,</w:t>
      </w:r>
      <w:r w:rsidRPr="0093281B">
        <w:rPr>
          <w:i/>
        </w:rPr>
        <w:t xml:space="preserve"> 11</w:t>
      </w:r>
      <w:r w:rsidRPr="0093281B">
        <w:t xml:space="preserve">(3), 169-180. </w:t>
      </w:r>
    </w:p>
    <w:p w14:paraId="4F3AC9FE" w14:textId="77777777" w:rsidR="007D6961" w:rsidRPr="0093281B" w:rsidRDefault="007D6961" w:rsidP="007D6961">
      <w:pPr>
        <w:pStyle w:val="EndNoteBibliography"/>
        <w:ind w:left="567" w:hanging="426"/>
      </w:pPr>
      <w:r w:rsidRPr="0093281B">
        <w:t xml:space="preserve">Jain, S. P., &amp; Posavac, S. S. (2004). Valenced comparisons. </w:t>
      </w:r>
      <w:r w:rsidRPr="0093281B">
        <w:rPr>
          <w:i/>
        </w:rPr>
        <w:t>Journal of Marketing Research</w:t>
      </w:r>
      <w:r w:rsidRPr="0093281B">
        <w:t>,</w:t>
      </w:r>
      <w:r w:rsidRPr="0093281B">
        <w:rPr>
          <w:i/>
        </w:rPr>
        <w:t xml:space="preserve"> 41</w:t>
      </w:r>
      <w:r w:rsidRPr="0093281B">
        <w:t xml:space="preserve">(1), 46-58. </w:t>
      </w:r>
    </w:p>
    <w:p w14:paraId="1D63E23A" w14:textId="77777777" w:rsidR="007D6961" w:rsidRPr="0093281B" w:rsidRDefault="007D6961" w:rsidP="007D6961">
      <w:pPr>
        <w:pStyle w:val="EndNoteBibliography"/>
        <w:ind w:left="567" w:hanging="426"/>
      </w:pPr>
      <w:r w:rsidRPr="0093281B">
        <w:t xml:space="preserve">Jeong, S. H. (2008). Visual metaphor in advertising: Is the persuasive effect attributable to visual argumentation or metaphorical rhetoric? </w:t>
      </w:r>
      <w:r w:rsidRPr="0093281B">
        <w:rPr>
          <w:i/>
        </w:rPr>
        <w:t>Journal of Marketing Communications</w:t>
      </w:r>
      <w:r w:rsidRPr="0093281B">
        <w:t>,</w:t>
      </w:r>
      <w:r w:rsidRPr="0093281B">
        <w:rPr>
          <w:i/>
        </w:rPr>
        <w:t xml:space="preserve"> 14</w:t>
      </w:r>
      <w:r w:rsidRPr="0093281B">
        <w:t xml:space="preserve">(1), 59-73. </w:t>
      </w:r>
    </w:p>
    <w:p w14:paraId="1BEA9374" w14:textId="77777777" w:rsidR="007D6961" w:rsidRPr="0093281B" w:rsidRDefault="007D6961" w:rsidP="007D6961">
      <w:pPr>
        <w:pStyle w:val="EndNoteBibliography"/>
        <w:ind w:left="567" w:hanging="426"/>
      </w:pPr>
      <w:r w:rsidRPr="0093281B">
        <w:t xml:space="preserve">Johnson, B. K., &amp; Rosenbaum, J. E. (2018). (Don’t) Tell me how it ends: Spoilers, enjoyment, and involvement in television and film. </w:t>
      </w:r>
      <w:r w:rsidRPr="0093281B">
        <w:rPr>
          <w:i/>
        </w:rPr>
        <w:t>Media Psychology</w:t>
      </w:r>
      <w:r w:rsidRPr="0093281B">
        <w:t>,</w:t>
      </w:r>
      <w:r w:rsidRPr="0093281B">
        <w:rPr>
          <w:i/>
        </w:rPr>
        <w:t xml:space="preserve"> 21</w:t>
      </w:r>
      <w:r w:rsidRPr="0093281B">
        <w:t xml:space="preserve">(4), 582-612. </w:t>
      </w:r>
    </w:p>
    <w:p w14:paraId="11278E74" w14:textId="77777777" w:rsidR="007D6961" w:rsidRPr="0093281B" w:rsidRDefault="007D6961" w:rsidP="007D6961">
      <w:pPr>
        <w:pStyle w:val="EndNoteBibliography"/>
        <w:ind w:left="567" w:hanging="426"/>
      </w:pPr>
      <w:r w:rsidRPr="0093281B">
        <w:t>Jones, L. W., Sinclair, R. C., &amp; Courneya, K. S. (2003). The effects of source credibility and message framing on exercise intentions, behaviors, and attitudes: An integration of the elaboration likelihood model and prospect theory.</w:t>
      </w:r>
      <w:r w:rsidRPr="0093281B">
        <w:rPr>
          <w:i/>
        </w:rPr>
        <w:t xml:space="preserve"> Journal of Applied Social Psychology</w:t>
      </w:r>
      <w:r w:rsidRPr="0093281B">
        <w:t>,</w:t>
      </w:r>
      <w:r w:rsidRPr="0093281B">
        <w:rPr>
          <w:i/>
        </w:rPr>
        <w:t xml:space="preserve"> 33</w:t>
      </w:r>
      <w:r w:rsidRPr="0093281B">
        <w:t xml:space="preserve">(1), 179-196. </w:t>
      </w:r>
    </w:p>
    <w:p w14:paraId="3590AC4B" w14:textId="77777777" w:rsidR="007D6961" w:rsidRPr="0093281B" w:rsidRDefault="007D6961" w:rsidP="007D6961">
      <w:pPr>
        <w:pStyle w:val="EndNoteBibliography"/>
        <w:ind w:left="567" w:hanging="426"/>
      </w:pPr>
      <w:r w:rsidRPr="0093281B">
        <w:t xml:space="preserve">Jun, S. H. (2009). </w:t>
      </w:r>
      <w:r w:rsidRPr="0093281B">
        <w:rPr>
          <w:i/>
        </w:rPr>
        <w:t>Information -processing strategies in tourism and hospitality contexts: The moderating role of involvement and the offsetting roles of textual and pictorial information</w:t>
      </w:r>
      <w:r w:rsidRPr="0093281B">
        <w:t xml:space="preserve"> (Publication Number 3385943) [Unpublished doctoral dissertation, University of Florida]. ProQuest One Academic. Gainesville, FL 32611. </w:t>
      </w:r>
      <w:r w:rsidRPr="00523389">
        <w:t>https://www.proquest.com/dissertations-theses/information-processing-strategies-tourism/docview/304883614/se-2?accountid=11862</w:t>
      </w:r>
    </w:p>
    <w:p w14:paraId="0A2E7CE9" w14:textId="77777777" w:rsidR="007D6961" w:rsidRPr="0093281B" w:rsidRDefault="007D6961" w:rsidP="007D6961">
      <w:pPr>
        <w:pStyle w:val="EndNoteBibliography"/>
        <w:ind w:left="567" w:hanging="426"/>
      </w:pPr>
      <w:r w:rsidRPr="0093281B">
        <w:t xml:space="preserve">Kamins, M. A., Assael, H., &amp; Graham, J. L. (1990). Cognitive response involvement model of the process of product evaluation through advertising exposure and trial. </w:t>
      </w:r>
      <w:r w:rsidRPr="0093281B">
        <w:rPr>
          <w:i/>
        </w:rPr>
        <w:t>Journal of Business Research</w:t>
      </w:r>
      <w:r w:rsidRPr="0093281B">
        <w:t>,</w:t>
      </w:r>
      <w:r w:rsidRPr="0093281B">
        <w:rPr>
          <w:i/>
        </w:rPr>
        <w:t xml:space="preserve"> 20</w:t>
      </w:r>
      <w:r w:rsidRPr="0093281B">
        <w:t xml:space="preserve">(3), 191-215. </w:t>
      </w:r>
    </w:p>
    <w:p w14:paraId="347AAAF2" w14:textId="77777777" w:rsidR="007D6961" w:rsidRPr="0093281B" w:rsidRDefault="007D6961" w:rsidP="007D6961">
      <w:pPr>
        <w:pStyle w:val="EndNoteBibliography"/>
        <w:ind w:left="567" w:hanging="426"/>
      </w:pPr>
      <w:r w:rsidRPr="0093281B">
        <w:t xml:space="preserve">Kane, K. (2017). </w:t>
      </w:r>
      <w:r w:rsidRPr="0093281B">
        <w:rPr>
          <w:i/>
        </w:rPr>
        <w:t>Don't Judge a Book by Its Author: Central and Peripheral Processing in Narrative Persuasion</w:t>
      </w:r>
      <w:r w:rsidRPr="0093281B">
        <w:t xml:space="preserve"> (Publication Number 10271447) [Unpublished MSc dissertation, Iowa State University]. ProQuest One Academic. Ames, IA 50011. </w:t>
      </w:r>
      <w:r w:rsidRPr="00523389">
        <w:t>https://www.proquest.com/dissertations-theses/dont-judge-book-author-central-peripheral/docview/1924172618/se-2?accountid=11862</w:t>
      </w:r>
    </w:p>
    <w:p w14:paraId="60FCD782" w14:textId="39953DE7" w:rsidR="007D6961" w:rsidRPr="0093281B" w:rsidRDefault="007D6961" w:rsidP="007D6961">
      <w:pPr>
        <w:pStyle w:val="EndNoteBibliography"/>
        <w:ind w:left="567" w:hanging="426"/>
      </w:pPr>
      <w:r w:rsidRPr="00F12F6B">
        <w:rPr>
          <w:lang w:val="nl-NL"/>
        </w:rPr>
        <w:t xml:space="preserve">Kang, Y.S., &amp; Herr, P. M. (2006). </w:t>
      </w:r>
      <w:r w:rsidRPr="0093281B">
        <w:t xml:space="preserve">Beauty and the beholder: Toward an integrative model of communication source effects. </w:t>
      </w:r>
      <w:r w:rsidRPr="0093281B">
        <w:rPr>
          <w:i/>
        </w:rPr>
        <w:t>Journal of Consumer Research</w:t>
      </w:r>
      <w:r w:rsidRPr="0093281B">
        <w:t>,</w:t>
      </w:r>
      <w:r w:rsidRPr="0093281B">
        <w:rPr>
          <w:i/>
        </w:rPr>
        <w:t xml:space="preserve"> 33</w:t>
      </w:r>
      <w:r w:rsidRPr="0093281B">
        <w:t xml:space="preserve">(1), 123-130. </w:t>
      </w:r>
    </w:p>
    <w:p w14:paraId="5EE48F02" w14:textId="77777777" w:rsidR="007D6961" w:rsidRPr="0093281B" w:rsidRDefault="007D6961" w:rsidP="007D6961">
      <w:pPr>
        <w:pStyle w:val="EndNoteBibliography"/>
        <w:ind w:left="567" w:hanging="426"/>
      </w:pPr>
      <w:r w:rsidRPr="0093281B">
        <w:t xml:space="preserve">Kim, E., Ratneshwar, S., &amp; Thorson, E. (2017). Why narrative ads work: An integrated process explanation. </w:t>
      </w:r>
      <w:r w:rsidRPr="0093281B">
        <w:rPr>
          <w:i/>
        </w:rPr>
        <w:t>Journal of Advertising</w:t>
      </w:r>
      <w:r w:rsidRPr="0093281B">
        <w:t>,</w:t>
      </w:r>
      <w:r w:rsidRPr="0093281B">
        <w:rPr>
          <w:i/>
        </w:rPr>
        <w:t xml:space="preserve"> 46</w:t>
      </w:r>
      <w:r w:rsidRPr="0093281B">
        <w:t xml:space="preserve">(2), 283-296. </w:t>
      </w:r>
    </w:p>
    <w:p w14:paraId="014F3871" w14:textId="77777777" w:rsidR="007D6961" w:rsidRPr="0093281B" w:rsidRDefault="007D6961" w:rsidP="007D6961">
      <w:pPr>
        <w:pStyle w:val="EndNoteBibliography"/>
        <w:ind w:left="567" w:hanging="426"/>
      </w:pPr>
      <w:r w:rsidRPr="0093281B">
        <w:t xml:space="preserve">Kim, J., Baek, Y., &amp; Choi, Y. H. (2012). The structural effects of metaphor-elicited cognitive and affective elaboration levels on attitude toward the ad. </w:t>
      </w:r>
      <w:r w:rsidRPr="0093281B">
        <w:rPr>
          <w:i/>
        </w:rPr>
        <w:t>Journal of Advertising</w:t>
      </w:r>
      <w:r w:rsidRPr="0093281B">
        <w:t>,</w:t>
      </w:r>
      <w:r w:rsidRPr="0093281B">
        <w:rPr>
          <w:i/>
        </w:rPr>
        <w:t xml:space="preserve"> 41</w:t>
      </w:r>
      <w:r w:rsidRPr="0093281B">
        <w:t xml:space="preserve">(2), 77-96. </w:t>
      </w:r>
    </w:p>
    <w:p w14:paraId="5734EC10" w14:textId="77777777" w:rsidR="007D6961" w:rsidRPr="0093281B" w:rsidRDefault="007D6961" w:rsidP="007D6961">
      <w:pPr>
        <w:pStyle w:val="EndNoteBibliography"/>
        <w:ind w:left="567" w:hanging="426"/>
      </w:pPr>
      <w:r w:rsidRPr="0093281B">
        <w:t xml:space="preserve">Kim, T., &amp; Kim, O. (2018). Effects of ironic advertising on consumers’ attention, involvement and attitude. </w:t>
      </w:r>
      <w:r w:rsidRPr="0093281B">
        <w:rPr>
          <w:i/>
        </w:rPr>
        <w:t>Journal of Marketing Communications</w:t>
      </w:r>
      <w:r w:rsidRPr="0093281B">
        <w:t>,</w:t>
      </w:r>
      <w:r w:rsidRPr="0093281B">
        <w:rPr>
          <w:i/>
        </w:rPr>
        <w:t xml:space="preserve"> 24</w:t>
      </w:r>
      <w:r w:rsidRPr="0093281B">
        <w:t xml:space="preserve">(1), 53-67. </w:t>
      </w:r>
    </w:p>
    <w:p w14:paraId="245117AE" w14:textId="77777777" w:rsidR="007D6961" w:rsidRPr="0093281B" w:rsidRDefault="007D6961" w:rsidP="007D6961">
      <w:pPr>
        <w:pStyle w:val="EndNoteBibliography"/>
        <w:ind w:left="567" w:hanging="426"/>
      </w:pPr>
      <w:r w:rsidRPr="0093281B">
        <w:t xml:space="preserve">Kirmani, A., &amp; Shiv, B. (1998). Effects of source congruity on brand attitudes and beliefs: The moderating role of issue‐relevant elaboration. </w:t>
      </w:r>
      <w:r w:rsidRPr="0093281B">
        <w:rPr>
          <w:i/>
        </w:rPr>
        <w:t>Journal of Consumer Psychology</w:t>
      </w:r>
      <w:r w:rsidRPr="0093281B">
        <w:t>,</w:t>
      </w:r>
      <w:r w:rsidRPr="0093281B">
        <w:rPr>
          <w:i/>
        </w:rPr>
        <w:t xml:space="preserve"> 7</w:t>
      </w:r>
      <w:r w:rsidRPr="0093281B">
        <w:t xml:space="preserve">(1), 25-47. </w:t>
      </w:r>
    </w:p>
    <w:p w14:paraId="5606226F" w14:textId="77777777" w:rsidR="007D6961" w:rsidRPr="0093281B" w:rsidRDefault="007D6961" w:rsidP="007D6961">
      <w:pPr>
        <w:pStyle w:val="EndNoteBibliography"/>
        <w:ind w:left="567" w:hanging="426"/>
      </w:pPr>
      <w:r w:rsidRPr="0093281B">
        <w:t xml:space="preserve">Klein, K., &amp; Melnyk, V. (2016). Speaking to the mind or the heart: Effects of matching hedonic versus utilitarian arguments and products. </w:t>
      </w:r>
      <w:r w:rsidRPr="0093281B">
        <w:rPr>
          <w:i/>
        </w:rPr>
        <w:t>Marketing Letters</w:t>
      </w:r>
      <w:r w:rsidRPr="0093281B">
        <w:t>,</w:t>
      </w:r>
      <w:r w:rsidRPr="0093281B">
        <w:rPr>
          <w:i/>
        </w:rPr>
        <w:t xml:space="preserve"> 27</w:t>
      </w:r>
      <w:r w:rsidRPr="0093281B">
        <w:t xml:space="preserve">, 131-142. </w:t>
      </w:r>
    </w:p>
    <w:p w14:paraId="4463ED51" w14:textId="77777777" w:rsidR="007D6961" w:rsidRPr="0093281B" w:rsidRDefault="007D6961" w:rsidP="007D6961">
      <w:pPr>
        <w:pStyle w:val="EndNoteBibliography"/>
        <w:ind w:left="567" w:hanging="426"/>
      </w:pPr>
      <w:r w:rsidRPr="0093281B">
        <w:t xml:space="preserve">Kong, Y., &amp; Zhang, L. (2014). When does green advertising work? The moderating role of product type. </w:t>
      </w:r>
      <w:r w:rsidRPr="0093281B">
        <w:rPr>
          <w:i/>
        </w:rPr>
        <w:t>Journal of Marketing Communications</w:t>
      </w:r>
      <w:r w:rsidRPr="0093281B">
        <w:t>,</w:t>
      </w:r>
      <w:r w:rsidRPr="0093281B">
        <w:rPr>
          <w:i/>
        </w:rPr>
        <w:t xml:space="preserve"> 20</w:t>
      </w:r>
      <w:r w:rsidRPr="0093281B">
        <w:t xml:space="preserve">(3), 197-213. </w:t>
      </w:r>
    </w:p>
    <w:p w14:paraId="489412F8" w14:textId="77777777" w:rsidR="007D6961" w:rsidRPr="0093281B" w:rsidRDefault="007D6961" w:rsidP="007D6961">
      <w:pPr>
        <w:pStyle w:val="EndNoteBibliography"/>
        <w:ind w:left="567" w:hanging="426"/>
      </w:pPr>
      <w:r w:rsidRPr="0093281B">
        <w:t xml:space="preserve">Krishnamurthy, P., &amp; Sivaraman, A. (2002). Counterfactual thinking and advertising responses. </w:t>
      </w:r>
      <w:r w:rsidRPr="0093281B">
        <w:rPr>
          <w:i/>
        </w:rPr>
        <w:t>Journal of Consumer Research</w:t>
      </w:r>
      <w:r w:rsidRPr="0093281B">
        <w:t>,</w:t>
      </w:r>
      <w:r w:rsidRPr="0093281B">
        <w:rPr>
          <w:i/>
        </w:rPr>
        <w:t xml:space="preserve"> 28</w:t>
      </w:r>
      <w:r w:rsidRPr="0093281B">
        <w:t xml:space="preserve">(4), 650-658. </w:t>
      </w:r>
    </w:p>
    <w:p w14:paraId="73A88610" w14:textId="77777777" w:rsidR="007D6961" w:rsidRPr="0093281B" w:rsidRDefault="007D6961" w:rsidP="007D6961">
      <w:pPr>
        <w:pStyle w:val="EndNoteBibliography"/>
        <w:ind w:left="567" w:hanging="426"/>
      </w:pPr>
      <w:r w:rsidRPr="0093281B">
        <w:t xml:space="preserve">Krisjanous, J., Ashill, N. J., Eccarius, K., &amp; Carruthers, J. (2013). Scared stiff? The effectiveness of threat appeals in counseling services advertising to high‐anxiety students. </w:t>
      </w:r>
      <w:r w:rsidRPr="0093281B">
        <w:rPr>
          <w:i/>
        </w:rPr>
        <w:t>Psychology &amp; Marketing</w:t>
      </w:r>
      <w:r w:rsidRPr="0093281B">
        <w:t>,</w:t>
      </w:r>
      <w:r w:rsidRPr="0093281B">
        <w:rPr>
          <w:i/>
        </w:rPr>
        <w:t xml:space="preserve"> 30</w:t>
      </w:r>
      <w:r w:rsidRPr="0093281B">
        <w:t xml:space="preserve">(10), 874-890. </w:t>
      </w:r>
    </w:p>
    <w:p w14:paraId="232C0914" w14:textId="77777777" w:rsidR="007D6961" w:rsidRPr="0093281B" w:rsidRDefault="007D6961" w:rsidP="007D6961">
      <w:pPr>
        <w:pStyle w:val="EndNoteBibliography"/>
        <w:ind w:left="567" w:hanging="426"/>
      </w:pPr>
      <w:r w:rsidRPr="0093281B">
        <w:t xml:space="preserve">Kwan, C. M. C., Dai, X., &amp; Wyer Jr, R. S. (2017). Contextual influences on message persuasion: The effect of empty space. </w:t>
      </w:r>
      <w:r w:rsidRPr="0093281B">
        <w:rPr>
          <w:i/>
        </w:rPr>
        <w:t>Journal of Consumer Research</w:t>
      </w:r>
      <w:r w:rsidRPr="0093281B">
        <w:t>,</w:t>
      </w:r>
      <w:r w:rsidRPr="0093281B">
        <w:rPr>
          <w:i/>
        </w:rPr>
        <w:t xml:space="preserve"> 44</w:t>
      </w:r>
      <w:r w:rsidRPr="0093281B">
        <w:t xml:space="preserve">(2), 448-464. </w:t>
      </w:r>
    </w:p>
    <w:p w14:paraId="6B650214" w14:textId="77777777" w:rsidR="007D6961" w:rsidRPr="0093281B" w:rsidRDefault="007D6961" w:rsidP="007D6961">
      <w:pPr>
        <w:pStyle w:val="EndNoteBibliography"/>
        <w:ind w:left="567" w:hanging="426"/>
      </w:pPr>
      <w:r w:rsidRPr="0093281B">
        <w:t xml:space="preserve">Laczniak, R. N., Kempf, D. S., &amp; Muehling, D. D. (1999). Advertising message involvement: The role of enduring and situational factors. </w:t>
      </w:r>
      <w:r w:rsidRPr="0093281B">
        <w:rPr>
          <w:i/>
        </w:rPr>
        <w:t>Journal of Current Issues &amp; Research in Advertising</w:t>
      </w:r>
      <w:r w:rsidRPr="0093281B">
        <w:t>,</w:t>
      </w:r>
      <w:r w:rsidRPr="0093281B">
        <w:rPr>
          <w:i/>
        </w:rPr>
        <w:t xml:space="preserve"> 21</w:t>
      </w:r>
      <w:r w:rsidRPr="0093281B">
        <w:t xml:space="preserve">(1), 51-61. </w:t>
      </w:r>
    </w:p>
    <w:p w14:paraId="1D0DB3DA" w14:textId="77777777" w:rsidR="007D6961" w:rsidRPr="0093281B" w:rsidRDefault="007D6961" w:rsidP="007D6961">
      <w:pPr>
        <w:pStyle w:val="EndNoteBibliography"/>
        <w:ind w:left="567" w:hanging="426"/>
      </w:pPr>
      <w:r w:rsidRPr="0093281B">
        <w:t xml:space="preserve">Laczniak, R. N., &amp; Muehling, D. D. (1993). Toward a better understanding of the role of advertising message involvement in ad processing. </w:t>
      </w:r>
      <w:r w:rsidRPr="0093281B">
        <w:rPr>
          <w:i/>
        </w:rPr>
        <w:t>Psychology &amp; Marketing</w:t>
      </w:r>
      <w:r w:rsidRPr="0093281B">
        <w:t>,</w:t>
      </w:r>
      <w:r w:rsidRPr="0093281B">
        <w:rPr>
          <w:i/>
        </w:rPr>
        <w:t xml:space="preserve"> 10</w:t>
      </w:r>
      <w:r w:rsidRPr="0093281B">
        <w:t xml:space="preserve">(4), 301-319. </w:t>
      </w:r>
    </w:p>
    <w:p w14:paraId="31B96BF7" w14:textId="77777777" w:rsidR="007D6961" w:rsidRPr="0093281B" w:rsidRDefault="007D6961" w:rsidP="007D6961">
      <w:pPr>
        <w:pStyle w:val="EndNoteBibliography"/>
        <w:ind w:left="567" w:hanging="426"/>
      </w:pPr>
      <w:r w:rsidRPr="0093281B">
        <w:t xml:space="preserve">Lakshmanan, A., &amp; Krishnan, H. S. (2009). How does imagery in interactive consumption lead to false memory? A reconstructive memory perspective. </w:t>
      </w:r>
      <w:r w:rsidRPr="0093281B">
        <w:rPr>
          <w:i/>
        </w:rPr>
        <w:t>Journal of Consumer Psychology</w:t>
      </w:r>
      <w:r w:rsidRPr="0093281B">
        <w:t>,</w:t>
      </w:r>
      <w:r w:rsidRPr="0093281B">
        <w:rPr>
          <w:i/>
        </w:rPr>
        <w:t xml:space="preserve"> 19</w:t>
      </w:r>
      <w:r w:rsidRPr="0093281B">
        <w:t xml:space="preserve">(3), 451-462. </w:t>
      </w:r>
    </w:p>
    <w:p w14:paraId="316FBE4B" w14:textId="77777777" w:rsidR="007D6961" w:rsidRPr="0093281B" w:rsidRDefault="007D6961" w:rsidP="007D6961">
      <w:pPr>
        <w:pStyle w:val="EndNoteBibliography"/>
        <w:ind w:left="567" w:hanging="426"/>
      </w:pPr>
      <w:r w:rsidRPr="0093281B">
        <w:t xml:space="preserve">Lancendorfer, K. M., Atkin, J. L., &amp; Reece, B. B. (2008). Animals in advertising: Love dogs? Love the ad! </w:t>
      </w:r>
      <w:r w:rsidRPr="0093281B">
        <w:rPr>
          <w:i/>
        </w:rPr>
        <w:t>Journal of Business Research</w:t>
      </w:r>
      <w:r w:rsidRPr="0093281B">
        <w:t>,</w:t>
      </w:r>
      <w:r w:rsidRPr="0093281B">
        <w:rPr>
          <w:i/>
        </w:rPr>
        <w:t xml:space="preserve"> 61</w:t>
      </w:r>
      <w:r w:rsidRPr="0093281B">
        <w:t xml:space="preserve">(5), 384-391. </w:t>
      </w:r>
    </w:p>
    <w:p w14:paraId="26E41BBD" w14:textId="77777777" w:rsidR="007D6961" w:rsidRPr="0093281B" w:rsidRDefault="007D6961" w:rsidP="007D6961">
      <w:pPr>
        <w:pStyle w:val="EndNoteBibliography"/>
        <w:ind w:left="567" w:hanging="426"/>
      </w:pPr>
      <w:r w:rsidRPr="0093281B">
        <w:t xml:space="preserve">Lang, A., Gao, Y., Potter, R. F., Lee, S., Park, B., &amp; Bailey, R. L. (2015). Conceptualizing audio message complexity as available processing resources. </w:t>
      </w:r>
      <w:r w:rsidRPr="0093281B">
        <w:rPr>
          <w:i/>
        </w:rPr>
        <w:t>Communication Research</w:t>
      </w:r>
      <w:r w:rsidRPr="0093281B">
        <w:t>,</w:t>
      </w:r>
      <w:r w:rsidRPr="0093281B">
        <w:rPr>
          <w:i/>
        </w:rPr>
        <w:t xml:space="preserve"> 42</w:t>
      </w:r>
      <w:r w:rsidRPr="0093281B">
        <w:t xml:space="preserve">(6), 759-778. </w:t>
      </w:r>
    </w:p>
    <w:p w14:paraId="1808E8FF" w14:textId="77777777" w:rsidR="007D6961" w:rsidRPr="0093281B" w:rsidRDefault="007D6961" w:rsidP="007D6961">
      <w:pPr>
        <w:pStyle w:val="EndNoteBibliography"/>
        <w:ind w:left="567" w:hanging="426"/>
      </w:pPr>
      <w:r w:rsidRPr="0093281B">
        <w:t xml:space="preserve">Lang, A., Park, B., Sanders-Jackson, A. N., Wilson, B. D., &amp; Wang, Z. (2007). Cognition and emotion in TV message processing: How valence, arousing content, structural complexity, and information density affect the availability of cognitive resources. </w:t>
      </w:r>
      <w:r w:rsidRPr="0093281B">
        <w:rPr>
          <w:i/>
        </w:rPr>
        <w:t>Media Psychology</w:t>
      </w:r>
      <w:r w:rsidRPr="0093281B">
        <w:t>,</w:t>
      </w:r>
      <w:r w:rsidRPr="0093281B">
        <w:rPr>
          <w:i/>
        </w:rPr>
        <w:t xml:space="preserve"> 10</w:t>
      </w:r>
      <w:r w:rsidRPr="0093281B">
        <w:t xml:space="preserve">(3), 317-338. </w:t>
      </w:r>
    </w:p>
    <w:p w14:paraId="28DF2F1E" w14:textId="77777777" w:rsidR="007D6961" w:rsidRPr="0093281B" w:rsidRDefault="007D6961" w:rsidP="007D6961">
      <w:pPr>
        <w:pStyle w:val="EndNoteBibliography"/>
        <w:ind w:left="567" w:hanging="426"/>
      </w:pPr>
      <w:r w:rsidRPr="0093281B">
        <w:t xml:space="preserve">Lau-Gesk, L., &amp; Meyers-Levy, J. (2009). Emotional persuasion: When the valence versus the resource demands of emotions influence consumers’ attitudes. </w:t>
      </w:r>
      <w:r w:rsidRPr="0093281B">
        <w:rPr>
          <w:i/>
        </w:rPr>
        <w:t>Journal of Consumer Research</w:t>
      </w:r>
      <w:r w:rsidRPr="0093281B">
        <w:t>,</w:t>
      </w:r>
      <w:r w:rsidRPr="0093281B">
        <w:rPr>
          <w:i/>
        </w:rPr>
        <w:t xml:space="preserve"> 36</w:t>
      </w:r>
      <w:r w:rsidRPr="0093281B">
        <w:t xml:space="preserve">(4), 585-599. </w:t>
      </w:r>
    </w:p>
    <w:p w14:paraId="151F5962" w14:textId="77777777" w:rsidR="007D6961" w:rsidRPr="0093281B" w:rsidRDefault="007D6961" w:rsidP="007D6961">
      <w:pPr>
        <w:pStyle w:val="EndNoteBibliography"/>
        <w:ind w:left="567" w:hanging="426"/>
      </w:pPr>
      <w:r w:rsidRPr="0093281B">
        <w:t xml:space="preserve">Lawrence, B., Fournier, S., &amp; Brunel, F. (2013). When companies don't make the ad: A multimethod inquiry into the differential effectiveness of consumer-generated advertising. </w:t>
      </w:r>
      <w:r w:rsidRPr="0093281B">
        <w:rPr>
          <w:i/>
        </w:rPr>
        <w:t>Journal of Advertising</w:t>
      </w:r>
      <w:r w:rsidRPr="0093281B">
        <w:t>,</w:t>
      </w:r>
      <w:r w:rsidRPr="0093281B">
        <w:rPr>
          <w:i/>
        </w:rPr>
        <w:t xml:space="preserve"> 42</w:t>
      </w:r>
      <w:r w:rsidRPr="0093281B">
        <w:t xml:space="preserve">(4), 292-307. </w:t>
      </w:r>
    </w:p>
    <w:p w14:paraId="6EB4C304" w14:textId="77777777" w:rsidR="007D6961" w:rsidRPr="0093281B" w:rsidRDefault="007D6961" w:rsidP="007D6961">
      <w:pPr>
        <w:pStyle w:val="EndNoteBibliography"/>
        <w:ind w:left="567" w:hanging="426"/>
      </w:pPr>
      <w:r w:rsidRPr="0093281B">
        <w:t xml:space="preserve">Lee, N. Y., Noble, S. M., &amp; Zablah, A. R. (2020). So distant, yet useful: The impact of distal stories on customers’ service expectations. </w:t>
      </w:r>
      <w:r w:rsidRPr="0093281B">
        <w:rPr>
          <w:i/>
        </w:rPr>
        <w:t>Journal of Business Research</w:t>
      </w:r>
      <w:r w:rsidRPr="0093281B">
        <w:t>,</w:t>
      </w:r>
      <w:r w:rsidRPr="0093281B">
        <w:rPr>
          <w:i/>
        </w:rPr>
        <w:t xml:space="preserve"> 113</w:t>
      </w:r>
      <w:r w:rsidRPr="0093281B">
        <w:t xml:space="preserve">, 230-242. </w:t>
      </w:r>
    </w:p>
    <w:p w14:paraId="27AA560F" w14:textId="36B0F3ED" w:rsidR="007D6961" w:rsidRPr="0093281B" w:rsidRDefault="007D6961" w:rsidP="007D6961">
      <w:pPr>
        <w:pStyle w:val="EndNoteBibliography"/>
        <w:ind w:left="567" w:hanging="426"/>
      </w:pPr>
      <w:r w:rsidRPr="0093281B">
        <w:t>Lee, S., Kim, J., Read, G. L., &amp; Kim, S.</w:t>
      </w:r>
      <w:r w:rsidR="0048698C">
        <w:t xml:space="preserve"> </w:t>
      </w:r>
      <w:r w:rsidRPr="0093281B">
        <w:t xml:space="preserve">P. (2023). The effects of in-stream video advertising on ad information encoding: A neurophysiological study. </w:t>
      </w:r>
      <w:r w:rsidRPr="0093281B">
        <w:rPr>
          <w:i/>
        </w:rPr>
        <w:t>Journal of Advertising</w:t>
      </w:r>
      <w:r w:rsidRPr="0093281B">
        <w:t xml:space="preserve">, 1-15. </w:t>
      </w:r>
    </w:p>
    <w:p w14:paraId="4CB43C9D" w14:textId="77777777" w:rsidR="007D6961" w:rsidRPr="0093281B" w:rsidRDefault="007D6961" w:rsidP="007D6961">
      <w:pPr>
        <w:pStyle w:val="EndNoteBibliography"/>
        <w:ind w:left="567" w:hanging="426"/>
      </w:pPr>
      <w:r w:rsidRPr="0093281B">
        <w:t xml:space="preserve">Lee, S., &amp; Lang, A. (2015). Redefining media content and structure in terms of available resources: Toward a dynamic human-centric theory of communication. </w:t>
      </w:r>
      <w:r w:rsidRPr="0093281B">
        <w:rPr>
          <w:i/>
        </w:rPr>
        <w:t>Communication Research</w:t>
      </w:r>
      <w:r w:rsidRPr="0093281B">
        <w:t>,</w:t>
      </w:r>
      <w:r w:rsidRPr="0093281B">
        <w:rPr>
          <w:i/>
        </w:rPr>
        <w:t xml:space="preserve"> 42</w:t>
      </w:r>
      <w:r w:rsidRPr="0093281B">
        <w:t xml:space="preserve">(5), 599-625. </w:t>
      </w:r>
    </w:p>
    <w:p w14:paraId="39863198" w14:textId="77777777" w:rsidR="007D6961" w:rsidRPr="0093281B" w:rsidRDefault="007D6961" w:rsidP="007D6961">
      <w:pPr>
        <w:pStyle w:val="EndNoteBibliography"/>
        <w:ind w:left="567" w:hanging="426"/>
      </w:pPr>
      <w:r w:rsidRPr="0093281B">
        <w:t xml:space="preserve">Lee, S., &amp; Potter, R. F. (2020). The impact of emotional words on listeners’ emotional and cognitive responses in the context of advertisements. </w:t>
      </w:r>
      <w:r w:rsidRPr="0093281B">
        <w:rPr>
          <w:i/>
        </w:rPr>
        <w:t>Communication Research</w:t>
      </w:r>
      <w:r w:rsidRPr="0093281B">
        <w:t>,</w:t>
      </w:r>
      <w:r w:rsidRPr="0093281B">
        <w:rPr>
          <w:i/>
        </w:rPr>
        <w:t xml:space="preserve"> 47</w:t>
      </w:r>
      <w:r w:rsidRPr="0093281B">
        <w:t xml:space="preserve">(8), 1155-1180. </w:t>
      </w:r>
    </w:p>
    <w:p w14:paraId="6C2976E6" w14:textId="77777777" w:rsidR="007D6961" w:rsidRPr="0093281B" w:rsidRDefault="007D6961" w:rsidP="007D6961">
      <w:pPr>
        <w:pStyle w:val="EndNoteBibliography"/>
        <w:ind w:left="567" w:hanging="426"/>
      </w:pPr>
      <w:r w:rsidRPr="0093281B">
        <w:t xml:space="preserve">Liberman, A., &amp; Chaiken, S. (1992). Defensive processing of personally relevant health messages. </w:t>
      </w:r>
      <w:r w:rsidRPr="0093281B">
        <w:rPr>
          <w:i/>
        </w:rPr>
        <w:t>Personality and Social Psychology Bulletin</w:t>
      </w:r>
      <w:r w:rsidRPr="0093281B">
        <w:t>,</w:t>
      </w:r>
      <w:r w:rsidRPr="0093281B">
        <w:rPr>
          <w:i/>
        </w:rPr>
        <w:t xml:space="preserve"> 18</w:t>
      </w:r>
      <w:r w:rsidRPr="0093281B">
        <w:t xml:space="preserve">(6), 669-679. </w:t>
      </w:r>
    </w:p>
    <w:p w14:paraId="0DC337DD" w14:textId="2B336F59" w:rsidR="007D6961" w:rsidRPr="0093281B" w:rsidRDefault="007D6961" w:rsidP="007D6961">
      <w:pPr>
        <w:pStyle w:val="EndNoteBibliography"/>
        <w:ind w:left="567" w:hanging="426"/>
      </w:pPr>
      <w:r w:rsidRPr="0093281B">
        <w:t>Lien, N.</w:t>
      </w:r>
      <w:r w:rsidR="0048698C">
        <w:t xml:space="preserve"> </w:t>
      </w:r>
      <w:r w:rsidRPr="0093281B">
        <w:t>H., &amp; Chen, Y.</w:t>
      </w:r>
      <w:r w:rsidR="0048698C">
        <w:t xml:space="preserve"> </w:t>
      </w:r>
      <w:r w:rsidRPr="0093281B">
        <w:t xml:space="preserve">L. (2013). Narrative ads: The effect of argument strength and story format. </w:t>
      </w:r>
      <w:r w:rsidRPr="0093281B">
        <w:rPr>
          <w:i/>
        </w:rPr>
        <w:t>Journal of Business Research</w:t>
      </w:r>
      <w:r w:rsidRPr="0093281B">
        <w:t>,</w:t>
      </w:r>
      <w:r w:rsidRPr="0093281B">
        <w:rPr>
          <w:i/>
        </w:rPr>
        <w:t xml:space="preserve"> 66</w:t>
      </w:r>
      <w:r w:rsidRPr="0093281B">
        <w:t xml:space="preserve">(4), 516-522. </w:t>
      </w:r>
    </w:p>
    <w:p w14:paraId="1542D8C1" w14:textId="66641B3C" w:rsidR="007D6961" w:rsidRPr="0093281B" w:rsidRDefault="007D6961" w:rsidP="007D6961">
      <w:pPr>
        <w:pStyle w:val="EndNoteBibliography"/>
        <w:ind w:left="567" w:hanging="426"/>
      </w:pPr>
      <w:r w:rsidRPr="0093281B">
        <w:t>Lin, C.</w:t>
      </w:r>
      <w:r w:rsidR="0048698C">
        <w:t xml:space="preserve"> </w:t>
      </w:r>
      <w:r w:rsidRPr="0093281B">
        <w:t>H., &amp; Chen, M.</w:t>
      </w:r>
      <w:r w:rsidR="0048698C">
        <w:t xml:space="preserve"> </w:t>
      </w:r>
      <w:r w:rsidRPr="0093281B">
        <w:t xml:space="preserve">Y. (2015). "Being hooked" by a brand story: A view of regulatory focus. </w:t>
      </w:r>
      <w:r w:rsidRPr="0093281B">
        <w:rPr>
          <w:i/>
        </w:rPr>
        <w:t>European Journal of Marketing</w:t>
      </w:r>
      <w:r w:rsidRPr="0093281B">
        <w:t>,</w:t>
      </w:r>
      <w:r w:rsidRPr="0093281B">
        <w:rPr>
          <w:i/>
        </w:rPr>
        <w:t xml:space="preserve"> 49</w:t>
      </w:r>
      <w:r w:rsidRPr="0093281B">
        <w:t xml:space="preserve">(5-6), 692-712. </w:t>
      </w:r>
    </w:p>
    <w:p w14:paraId="408211D2" w14:textId="77777777" w:rsidR="007D6961" w:rsidRPr="0093281B" w:rsidRDefault="007D6961" w:rsidP="007D6961">
      <w:pPr>
        <w:pStyle w:val="EndNoteBibliography"/>
        <w:ind w:left="567" w:hanging="426"/>
      </w:pPr>
      <w:r w:rsidRPr="0093281B">
        <w:t xml:space="preserve">Liu, Y., &amp; Shrum, L. J. (2009). A dual-process model of interactivity effects. </w:t>
      </w:r>
      <w:r w:rsidRPr="0093281B">
        <w:rPr>
          <w:i/>
        </w:rPr>
        <w:t>Journal of Advertising</w:t>
      </w:r>
      <w:r w:rsidRPr="0093281B">
        <w:t>,</w:t>
      </w:r>
      <w:r w:rsidRPr="0093281B">
        <w:rPr>
          <w:i/>
        </w:rPr>
        <w:t xml:space="preserve"> 38</w:t>
      </w:r>
      <w:r w:rsidRPr="0093281B">
        <w:t xml:space="preserve">(2), 53-68. </w:t>
      </w:r>
    </w:p>
    <w:p w14:paraId="58F2777C" w14:textId="77777777" w:rsidR="007D6961" w:rsidRPr="0093281B" w:rsidRDefault="007D6961" w:rsidP="007D6961">
      <w:pPr>
        <w:pStyle w:val="EndNoteBibliography"/>
        <w:ind w:left="567" w:hanging="426"/>
      </w:pPr>
      <w:r w:rsidRPr="0093281B">
        <w:t xml:space="preserve">Lord, K. R., &amp; Burnkrant, R. E. (1993). Attention versus distraction: The interactive effect of program involvement and attentional devices on commercial processing. </w:t>
      </w:r>
      <w:r w:rsidRPr="0093281B">
        <w:rPr>
          <w:i/>
        </w:rPr>
        <w:t>Journal of Advertising</w:t>
      </w:r>
      <w:r w:rsidRPr="0093281B">
        <w:t>,</w:t>
      </w:r>
      <w:r w:rsidRPr="0093281B">
        <w:rPr>
          <w:i/>
        </w:rPr>
        <w:t xml:space="preserve"> 22</w:t>
      </w:r>
      <w:r w:rsidRPr="0093281B">
        <w:t xml:space="preserve">(1), 47-60. </w:t>
      </w:r>
    </w:p>
    <w:p w14:paraId="68DEB3D9" w14:textId="77777777" w:rsidR="007D6961" w:rsidRPr="0093281B" w:rsidRDefault="007D6961" w:rsidP="007D6961">
      <w:pPr>
        <w:pStyle w:val="EndNoteBibliography"/>
        <w:ind w:left="567" w:hanging="426"/>
      </w:pPr>
      <w:r w:rsidRPr="0093281B">
        <w:t xml:space="preserve">Lowrey, T. M. (1998). The effects of syntactic complexity on advertising persuasiveness. </w:t>
      </w:r>
      <w:r w:rsidRPr="0093281B">
        <w:rPr>
          <w:i/>
        </w:rPr>
        <w:t>Journal of Consumer Psychology</w:t>
      </w:r>
      <w:r w:rsidRPr="0093281B">
        <w:t>,</w:t>
      </w:r>
      <w:r w:rsidRPr="0093281B">
        <w:rPr>
          <w:i/>
        </w:rPr>
        <w:t xml:space="preserve"> 7</w:t>
      </w:r>
      <w:r w:rsidRPr="0093281B">
        <w:t xml:space="preserve">(2), 187-206. </w:t>
      </w:r>
    </w:p>
    <w:p w14:paraId="42A689F0" w14:textId="77777777" w:rsidR="007D6961" w:rsidRPr="0093281B" w:rsidRDefault="007D6961" w:rsidP="007D6961">
      <w:pPr>
        <w:pStyle w:val="EndNoteBibliography"/>
        <w:ind w:left="567" w:hanging="426"/>
      </w:pPr>
      <w:r w:rsidRPr="0093281B">
        <w:t xml:space="preserve">Lu, A. S. (2009). </w:t>
      </w:r>
      <w:r w:rsidRPr="0093281B">
        <w:rPr>
          <w:i/>
        </w:rPr>
        <w:t>An experimental test of the effectiveness of customized narrative and non-narrative health blogs</w:t>
      </w:r>
      <w:r w:rsidRPr="0093281B">
        <w:t xml:space="preserve"> (Publication Number 3366377) [Unpublished doctoral dissertation, The University of North Carolina at Chapel Hill]. ProQuest One Academic. Chapel Hill, NC 27599. </w:t>
      </w:r>
      <w:r w:rsidRPr="00523389">
        <w:t>https://www.proquest.com/dissertations-theses/experimental-test-effectiveness-customized/docview/304961382/se-2?accountid=11862</w:t>
      </w:r>
    </w:p>
    <w:p w14:paraId="0A068A91" w14:textId="77777777" w:rsidR="007D6961" w:rsidRPr="0093281B" w:rsidRDefault="007D6961" w:rsidP="007D6961">
      <w:pPr>
        <w:pStyle w:val="EndNoteBibliography"/>
        <w:ind w:left="567" w:hanging="426"/>
      </w:pPr>
      <w:r w:rsidRPr="0093281B">
        <w:t xml:space="preserve">Luna, D., &amp; Peracchio, L. A. (2002). “Where there is a will…”: Motivation as a moderator of language processing by bilingual consumers. </w:t>
      </w:r>
      <w:r w:rsidRPr="0093281B">
        <w:rPr>
          <w:i/>
        </w:rPr>
        <w:t>Psychology &amp; Marketing</w:t>
      </w:r>
      <w:r w:rsidRPr="0093281B">
        <w:t>,</w:t>
      </w:r>
      <w:r w:rsidRPr="0093281B">
        <w:rPr>
          <w:i/>
        </w:rPr>
        <w:t xml:space="preserve"> 19</w:t>
      </w:r>
      <w:r w:rsidRPr="0093281B">
        <w:t xml:space="preserve">(7‐8), 573-593. </w:t>
      </w:r>
    </w:p>
    <w:p w14:paraId="37FE9001" w14:textId="77777777" w:rsidR="007D6961" w:rsidRPr="0093281B" w:rsidRDefault="007D6961" w:rsidP="007D6961">
      <w:pPr>
        <w:pStyle w:val="EndNoteBibliography"/>
        <w:ind w:left="567" w:hanging="426"/>
      </w:pPr>
      <w:r w:rsidRPr="0093281B">
        <w:t xml:space="preserve">Ma, Z. (2020). Effects of immersive stories on prosocial attitudes and willingness to help: testing psychological mechanisms. </w:t>
      </w:r>
      <w:r w:rsidRPr="0093281B">
        <w:rPr>
          <w:i/>
        </w:rPr>
        <w:t>Media Psychology</w:t>
      </w:r>
      <w:r w:rsidRPr="0093281B">
        <w:t>,</w:t>
      </w:r>
      <w:r w:rsidRPr="0093281B">
        <w:rPr>
          <w:i/>
        </w:rPr>
        <w:t xml:space="preserve"> 23</w:t>
      </w:r>
      <w:r w:rsidRPr="0093281B">
        <w:t xml:space="preserve">(6), 865-890. </w:t>
      </w:r>
    </w:p>
    <w:p w14:paraId="3BE73A19" w14:textId="77777777" w:rsidR="007D6961" w:rsidRPr="0093281B" w:rsidRDefault="007D6961" w:rsidP="007D6961">
      <w:pPr>
        <w:pStyle w:val="EndNoteBibliography"/>
        <w:ind w:left="567" w:hanging="426"/>
      </w:pPr>
      <w:r w:rsidRPr="0093281B">
        <w:t xml:space="preserve">Madupu, V., Sen, S., &amp; Ranganathan, S. (2013). The impact of visual structure complexity on ad liking, elaboration and comprehension. </w:t>
      </w:r>
      <w:r w:rsidRPr="0093281B">
        <w:rPr>
          <w:i/>
        </w:rPr>
        <w:t>The Marketing Management Journal</w:t>
      </w:r>
      <w:r w:rsidRPr="0093281B">
        <w:t>,</w:t>
      </w:r>
      <w:r w:rsidRPr="0093281B">
        <w:rPr>
          <w:i/>
        </w:rPr>
        <w:t xml:space="preserve"> 23</w:t>
      </w:r>
      <w:r w:rsidRPr="0093281B">
        <w:t xml:space="preserve">(2), 58-70. </w:t>
      </w:r>
    </w:p>
    <w:p w14:paraId="30ACB2B7" w14:textId="77777777" w:rsidR="007D6961" w:rsidRPr="0093281B" w:rsidRDefault="007D6961" w:rsidP="007D6961">
      <w:pPr>
        <w:pStyle w:val="EndNoteBibliography"/>
        <w:ind w:left="567" w:hanging="426"/>
      </w:pPr>
      <w:r w:rsidRPr="0093281B">
        <w:t xml:space="preserve">Maheswaran, D. (1994). Country of origin as a stereotype: Effects of consumer expertise and attribute strength on product evaluations. </w:t>
      </w:r>
      <w:r w:rsidRPr="0093281B">
        <w:rPr>
          <w:i/>
        </w:rPr>
        <w:t>Journal of Consumer Research</w:t>
      </w:r>
      <w:r w:rsidRPr="0093281B">
        <w:t>,</w:t>
      </w:r>
      <w:r w:rsidRPr="0093281B">
        <w:rPr>
          <w:i/>
        </w:rPr>
        <w:t xml:space="preserve"> 21</w:t>
      </w:r>
      <w:r w:rsidRPr="0093281B">
        <w:t xml:space="preserve">(2), 354-365. </w:t>
      </w:r>
    </w:p>
    <w:p w14:paraId="6C50E3F4" w14:textId="77777777" w:rsidR="007D6961" w:rsidRPr="0093281B" w:rsidRDefault="007D6961" w:rsidP="007D6961">
      <w:pPr>
        <w:pStyle w:val="EndNoteBibliography"/>
        <w:ind w:left="567" w:hanging="426"/>
      </w:pPr>
      <w:r w:rsidRPr="0093281B">
        <w:t xml:space="preserve">Maheswaran, D., Mackie, D. M., &amp; Chaiken, S. (1992). Brand name as a heuristic cue: The effects of task importance and expectancy confirmation on consumer judgments. </w:t>
      </w:r>
      <w:r w:rsidRPr="0093281B">
        <w:rPr>
          <w:i/>
        </w:rPr>
        <w:t>Journal of Consumer Psychology</w:t>
      </w:r>
      <w:r w:rsidRPr="0093281B">
        <w:t>,</w:t>
      </w:r>
      <w:r w:rsidRPr="0093281B">
        <w:rPr>
          <w:i/>
        </w:rPr>
        <w:t xml:space="preserve"> 1</w:t>
      </w:r>
      <w:r w:rsidRPr="0093281B">
        <w:t xml:space="preserve">(4), 317-336. </w:t>
      </w:r>
    </w:p>
    <w:p w14:paraId="764600CC" w14:textId="77777777" w:rsidR="007D6961" w:rsidRPr="0093281B" w:rsidRDefault="007D6961" w:rsidP="007D6961">
      <w:pPr>
        <w:pStyle w:val="EndNoteBibliography"/>
        <w:ind w:left="567" w:hanging="426"/>
      </w:pPr>
      <w:r w:rsidRPr="0093281B">
        <w:t xml:space="preserve">Maheswaran, D., &amp; Meyers-Levy, J. (1990). The influence of message framing and issue involvement. </w:t>
      </w:r>
      <w:r w:rsidRPr="0093281B">
        <w:rPr>
          <w:i/>
        </w:rPr>
        <w:t>Journal of Marketing Research</w:t>
      </w:r>
      <w:r w:rsidRPr="0093281B">
        <w:t>,</w:t>
      </w:r>
      <w:r w:rsidRPr="0093281B">
        <w:rPr>
          <w:i/>
        </w:rPr>
        <w:t xml:space="preserve"> 27</w:t>
      </w:r>
      <w:r w:rsidRPr="0093281B">
        <w:t xml:space="preserve">(3), 361-367. </w:t>
      </w:r>
    </w:p>
    <w:p w14:paraId="7699875F" w14:textId="77777777" w:rsidR="007D6961" w:rsidRPr="0093281B" w:rsidRDefault="007D6961" w:rsidP="007D6961">
      <w:pPr>
        <w:pStyle w:val="EndNoteBibliography"/>
        <w:ind w:left="567" w:hanging="426"/>
      </w:pPr>
      <w:r w:rsidRPr="0093281B">
        <w:t xml:space="preserve">Maheswaran, D., &amp; Sternthal, B. (1990). The effects of knowledge, motivation, and type of message on ad processing and product judgments. </w:t>
      </w:r>
      <w:r w:rsidRPr="0093281B">
        <w:rPr>
          <w:i/>
        </w:rPr>
        <w:t>Journal of Consumer Research</w:t>
      </w:r>
      <w:r w:rsidRPr="0093281B">
        <w:t>,</w:t>
      </w:r>
      <w:r w:rsidRPr="0093281B">
        <w:rPr>
          <w:i/>
        </w:rPr>
        <w:t xml:space="preserve"> 17</w:t>
      </w:r>
      <w:r w:rsidRPr="0093281B">
        <w:t xml:space="preserve">(1), 66-73. </w:t>
      </w:r>
    </w:p>
    <w:p w14:paraId="7AEB2BB0" w14:textId="77777777" w:rsidR="007D6961" w:rsidRPr="0093281B" w:rsidRDefault="007D6961" w:rsidP="007D6961">
      <w:pPr>
        <w:pStyle w:val="EndNoteBibliography"/>
        <w:ind w:left="567" w:hanging="426"/>
      </w:pPr>
      <w:r w:rsidRPr="0093281B">
        <w:t xml:space="preserve">Malaviya, P., &amp; Sternthal, B. (1997). The persuasive impact of message spacing. </w:t>
      </w:r>
      <w:r w:rsidRPr="0093281B">
        <w:rPr>
          <w:i/>
        </w:rPr>
        <w:t>Journal of Consumer Psychology</w:t>
      </w:r>
      <w:r w:rsidRPr="0093281B">
        <w:t>,</w:t>
      </w:r>
      <w:r w:rsidRPr="0093281B">
        <w:rPr>
          <w:i/>
        </w:rPr>
        <w:t xml:space="preserve"> 6</w:t>
      </w:r>
      <w:r w:rsidRPr="0093281B">
        <w:t xml:space="preserve">(3), 233-255. </w:t>
      </w:r>
    </w:p>
    <w:p w14:paraId="2AF7F999" w14:textId="77777777" w:rsidR="007D6961" w:rsidRPr="0093281B" w:rsidRDefault="007D6961" w:rsidP="007D6961">
      <w:pPr>
        <w:pStyle w:val="EndNoteBibliography"/>
        <w:ind w:left="567" w:hanging="426"/>
      </w:pPr>
      <w:r w:rsidRPr="0093281B">
        <w:t xml:space="preserve">Mano, H. (1997). Affect and persuasion: The influence of pleasantness and arousal on attitude formation and message elaboration. </w:t>
      </w:r>
      <w:r w:rsidRPr="0093281B">
        <w:rPr>
          <w:i/>
        </w:rPr>
        <w:t>Psychology &amp; Marketing</w:t>
      </w:r>
      <w:r w:rsidRPr="0093281B">
        <w:t>,</w:t>
      </w:r>
      <w:r w:rsidRPr="0093281B">
        <w:rPr>
          <w:i/>
        </w:rPr>
        <w:t xml:space="preserve"> 14</w:t>
      </w:r>
      <w:r w:rsidRPr="0093281B">
        <w:t xml:space="preserve">(4), 315-335. </w:t>
      </w:r>
    </w:p>
    <w:p w14:paraId="062F2366" w14:textId="77777777" w:rsidR="007D6961" w:rsidRPr="0093281B" w:rsidRDefault="007D6961" w:rsidP="007D6961">
      <w:pPr>
        <w:pStyle w:val="EndNoteBibliography"/>
        <w:ind w:left="567" w:hanging="426"/>
      </w:pPr>
      <w:r w:rsidRPr="0093281B">
        <w:t xml:space="preserve">Mantel, S. P., &amp; Kardes, F. R. (1999). The role of direction of comparison, attribute-based processing, and attitude-based processing in consumer preference. </w:t>
      </w:r>
      <w:r w:rsidRPr="0093281B">
        <w:rPr>
          <w:i/>
        </w:rPr>
        <w:t>Journal of Consumer Research</w:t>
      </w:r>
      <w:r w:rsidRPr="0093281B">
        <w:t>,</w:t>
      </w:r>
      <w:r w:rsidRPr="0093281B">
        <w:rPr>
          <w:i/>
        </w:rPr>
        <w:t xml:space="preserve"> 25</w:t>
      </w:r>
      <w:r w:rsidRPr="0093281B">
        <w:t xml:space="preserve">(4), 335-352. </w:t>
      </w:r>
    </w:p>
    <w:p w14:paraId="596DB81A" w14:textId="77777777" w:rsidR="007D6961" w:rsidRPr="0093281B" w:rsidRDefault="007D6961" w:rsidP="007D6961">
      <w:pPr>
        <w:pStyle w:val="EndNoteBibliography"/>
        <w:ind w:left="567" w:hanging="426"/>
      </w:pPr>
      <w:r w:rsidRPr="0093281B">
        <w:t xml:space="preserve">Martin, R., Hewstone, M., &amp; Martin, P. Y. (2007). Systematic and heuristic processing of majority and minority-endorsed messages: The effects of varying outcome relevance and levels of orientation on attitude and message processing. </w:t>
      </w:r>
      <w:r w:rsidRPr="0093281B">
        <w:rPr>
          <w:i/>
        </w:rPr>
        <w:t>Personality and Social Psychology Bulletin</w:t>
      </w:r>
      <w:r w:rsidRPr="0093281B">
        <w:t>,</w:t>
      </w:r>
      <w:r w:rsidRPr="0093281B">
        <w:rPr>
          <w:i/>
        </w:rPr>
        <w:t xml:space="preserve"> 33</w:t>
      </w:r>
      <w:r w:rsidRPr="0093281B">
        <w:t xml:space="preserve">(1), 43-56. </w:t>
      </w:r>
    </w:p>
    <w:p w14:paraId="613C9230" w14:textId="77777777" w:rsidR="007D6961" w:rsidRPr="0093281B" w:rsidRDefault="007D6961" w:rsidP="007D6961">
      <w:pPr>
        <w:pStyle w:val="EndNoteBibliography"/>
        <w:ind w:left="567" w:hanging="426"/>
      </w:pPr>
      <w:r w:rsidRPr="0093281B">
        <w:t xml:space="preserve">McFerran, B., Dahl, D. W., Gorn, G. J., &amp; Honea, H. (2010). Motivational determinants of transportation into marketing narratives. </w:t>
      </w:r>
      <w:r w:rsidRPr="0093281B">
        <w:rPr>
          <w:i/>
        </w:rPr>
        <w:t>Journal of Consumer Psychology</w:t>
      </w:r>
      <w:r w:rsidRPr="0093281B">
        <w:t>,</w:t>
      </w:r>
      <w:r w:rsidRPr="0093281B">
        <w:rPr>
          <w:i/>
        </w:rPr>
        <w:t xml:space="preserve"> 20</w:t>
      </w:r>
      <w:r w:rsidRPr="0093281B">
        <w:t xml:space="preserve">(3), 306-316. </w:t>
      </w:r>
    </w:p>
    <w:p w14:paraId="6BC125FC" w14:textId="77777777" w:rsidR="007D6961" w:rsidRPr="0093281B" w:rsidRDefault="007D6961" w:rsidP="007D6961">
      <w:pPr>
        <w:pStyle w:val="EndNoteBibliography"/>
        <w:ind w:left="567" w:hanging="426"/>
      </w:pPr>
      <w:r w:rsidRPr="0093281B">
        <w:t xml:space="preserve">McQuarrie, E. F., &amp; Mick, D. G. (1999). Visual rhetoric in advertising: Text-interpretive, experimental, and reader-response analyses. </w:t>
      </w:r>
      <w:r w:rsidRPr="0093281B">
        <w:rPr>
          <w:i/>
        </w:rPr>
        <w:t>Journal of Consumer Research</w:t>
      </w:r>
      <w:r w:rsidRPr="0093281B">
        <w:t>,</w:t>
      </w:r>
      <w:r w:rsidRPr="0093281B">
        <w:rPr>
          <w:i/>
        </w:rPr>
        <w:t xml:space="preserve"> 26</w:t>
      </w:r>
      <w:r w:rsidRPr="0093281B">
        <w:t xml:space="preserve">(1), 37-54. </w:t>
      </w:r>
    </w:p>
    <w:p w14:paraId="6BDB199F" w14:textId="77777777" w:rsidR="007D6961" w:rsidRPr="0093281B" w:rsidRDefault="007D6961" w:rsidP="007D6961">
      <w:pPr>
        <w:pStyle w:val="EndNoteBibliography"/>
        <w:ind w:left="567" w:hanging="426"/>
      </w:pPr>
      <w:r w:rsidRPr="0093281B">
        <w:t xml:space="preserve">Meeds, R. W. (1997). </w:t>
      </w:r>
      <w:r w:rsidRPr="0093281B">
        <w:rPr>
          <w:i/>
        </w:rPr>
        <w:t>The effects of technical language, sentence-level context, and consumer knowledge on readers' processing of print advertising for technical products</w:t>
      </w:r>
      <w:r w:rsidRPr="0093281B">
        <w:t xml:space="preserve"> (Publication Number 9842586) [Unpublished doctoral dissertation, University of Missouri]. ProQuest One Academic. Columbia, MO 65211. </w:t>
      </w:r>
      <w:r w:rsidRPr="00523389">
        <w:t>https://www.proquest.com/dissertations-theses/effects-technical-language-sentence-level-context/docview/304353810/se-2?accountid=11862</w:t>
      </w:r>
    </w:p>
    <w:p w14:paraId="4F72EA50" w14:textId="77777777" w:rsidR="007D6961" w:rsidRPr="0093281B" w:rsidRDefault="007D6961" w:rsidP="007D6961">
      <w:pPr>
        <w:pStyle w:val="EndNoteBibliography"/>
        <w:ind w:left="567" w:hanging="426"/>
      </w:pPr>
      <w:r w:rsidRPr="0093281B">
        <w:t xml:space="preserve">Meyers-Levy, J., &amp; Maheswaran, D. (1992). When timing matters: The influence of temporal distance on consumers' affective and persuasive responses. </w:t>
      </w:r>
      <w:r w:rsidRPr="0093281B">
        <w:rPr>
          <w:i/>
        </w:rPr>
        <w:t>Journal of Consumer Research</w:t>
      </w:r>
      <w:r w:rsidRPr="0093281B">
        <w:t>,</w:t>
      </w:r>
      <w:r w:rsidRPr="0093281B">
        <w:rPr>
          <w:i/>
        </w:rPr>
        <w:t xml:space="preserve"> 19</w:t>
      </w:r>
      <w:r w:rsidRPr="0093281B">
        <w:t xml:space="preserve">(3), 424-433. </w:t>
      </w:r>
    </w:p>
    <w:p w14:paraId="0693DB27" w14:textId="77777777" w:rsidR="007D6961" w:rsidRPr="0093281B" w:rsidRDefault="007D6961" w:rsidP="007D6961">
      <w:pPr>
        <w:pStyle w:val="EndNoteBibliography"/>
        <w:ind w:left="567" w:hanging="426"/>
      </w:pPr>
      <w:r w:rsidRPr="0093281B">
        <w:t xml:space="preserve">Meyers-Levy, J., &amp; Maheswaran, D. (2004). Exploring message framing outcomes when systematic, heuristic, or both types of processing occur. </w:t>
      </w:r>
      <w:r w:rsidRPr="0093281B">
        <w:rPr>
          <w:i/>
        </w:rPr>
        <w:t>Journal of Consumer Psychology</w:t>
      </w:r>
      <w:r w:rsidRPr="0093281B">
        <w:t>,</w:t>
      </w:r>
      <w:r w:rsidRPr="0093281B">
        <w:rPr>
          <w:i/>
        </w:rPr>
        <w:t xml:space="preserve"> 14</w:t>
      </w:r>
      <w:r w:rsidRPr="0093281B">
        <w:t xml:space="preserve">(1-2), 159-167. </w:t>
      </w:r>
    </w:p>
    <w:p w14:paraId="714B23B5" w14:textId="77777777" w:rsidR="007D6961" w:rsidRPr="0093281B" w:rsidRDefault="007D6961" w:rsidP="007D6961">
      <w:pPr>
        <w:pStyle w:val="EndNoteBibliography"/>
        <w:ind w:left="567" w:hanging="426"/>
      </w:pPr>
      <w:r w:rsidRPr="0093281B">
        <w:t xml:space="preserve">Miller, C. E. (1990). </w:t>
      </w:r>
      <w:r w:rsidRPr="0093281B">
        <w:rPr>
          <w:i/>
        </w:rPr>
        <w:t>Effects of pictures and words as cognitive cues on information processing in print ads</w:t>
      </w:r>
      <w:r w:rsidRPr="0093281B">
        <w:t xml:space="preserve"> (Publication Number 9026011) [Unpublished doctoral dissertation, University of Washington 98195]. ProQuest One Academic. Seattle, WA. </w:t>
      </w:r>
      <w:r w:rsidRPr="00523389">
        <w:t>https://www.proquest.com/dissertations-theses/effects-pictures-words-as-cognitive-cues-on/docview/303912708/se-2?accountid=11862</w:t>
      </w:r>
    </w:p>
    <w:p w14:paraId="6AA5CDF6" w14:textId="77777777" w:rsidR="007D6961" w:rsidRPr="0093281B" w:rsidRDefault="007D6961" w:rsidP="007D6961">
      <w:pPr>
        <w:pStyle w:val="EndNoteBibliography"/>
        <w:ind w:left="567" w:hanging="426"/>
      </w:pPr>
      <w:r w:rsidRPr="0093281B">
        <w:t xml:space="preserve">Miniard, P. W., Bhatla, S., &amp; Rose, R. L. (1990). On the formation and relationship of ad and brand attitudes: An experimental and causal analysis. </w:t>
      </w:r>
      <w:r w:rsidRPr="0093281B">
        <w:rPr>
          <w:i/>
        </w:rPr>
        <w:t>Journal of Marketing Research</w:t>
      </w:r>
      <w:r w:rsidRPr="0093281B">
        <w:t>,</w:t>
      </w:r>
      <w:r w:rsidRPr="0093281B">
        <w:rPr>
          <w:i/>
        </w:rPr>
        <w:t xml:space="preserve"> 27</w:t>
      </w:r>
      <w:r w:rsidRPr="0093281B">
        <w:t xml:space="preserve">(3), 290-303. </w:t>
      </w:r>
    </w:p>
    <w:p w14:paraId="75DB5644" w14:textId="77777777" w:rsidR="007D6961" w:rsidRPr="0093281B" w:rsidRDefault="007D6961" w:rsidP="007D6961">
      <w:pPr>
        <w:pStyle w:val="EndNoteBibliography"/>
        <w:ind w:left="567" w:hanging="426"/>
      </w:pPr>
      <w:r w:rsidRPr="0093281B">
        <w:t xml:space="preserve">Mitra, A., Raymond, M. A., &amp; Hopkins, C. D. (2008). Can consumers recognize misleading advertising content in a media rich online environment? </w:t>
      </w:r>
      <w:r w:rsidRPr="0093281B">
        <w:rPr>
          <w:i/>
        </w:rPr>
        <w:t>Psychology &amp; Marketing</w:t>
      </w:r>
      <w:r w:rsidRPr="0093281B">
        <w:t>,</w:t>
      </w:r>
      <w:r w:rsidRPr="0093281B">
        <w:rPr>
          <w:i/>
        </w:rPr>
        <w:t xml:space="preserve"> 25</w:t>
      </w:r>
      <w:r w:rsidRPr="0093281B">
        <w:t xml:space="preserve">(7), 655-674. </w:t>
      </w:r>
    </w:p>
    <w:p w14:paraId="7A89713A" w14:textId="77777777" w:rsidR="007D6961" w:rsidRPr="0093281B" w:rsidRDefault="007D6961" w:rsidP="007D6961">
      <w:pPr>
        <w:pStyle w:val="EndNoteBibliography"/>
        <w:ind w:left="567" w:hanging="426"/>
      </w:pPr>
      <w:r w:rsidRPr="0093281B">
        <w:t xml:space="preserve">Moore, D. J., Mowen, J. C., &amp; Reardon, R. (1994). Multiple sources in advertising appeals: When product endorsers are paid by the advertising sponsor. </w:t>
      </w:r>
      <w:r w:rsidRPr="0093281B">
        <w:rPr>
          <w:i/>
        </w:rPr>
        <w:t>Journal of the Academy of Marketing Science</w:t>
      </w:r>
      <w:r w:rsidRPr="0093281B">
        <w:t>,</w:t>
      </w:r>
      <w:r w:rsidRPr="0093281B">
        <w:rPr>
          <w:i/>
        </w:rPr>
        <w:t xml:space="preserve"> 22</w:t>
      </w:r>
      <w:r w:rsidRPr="0093281B">
        <w:t xml:space="preserve">(3), 234-243. </w:t>
      </w:r>
    </w:p>
    <w:p w14:paraId="05C9A819" w14:textId="77777777" w:rsidR="007D6961" w:rsidRPr="0093281B" w:rsidRDefault="007D6961" w:rsidP="007D6961">
      <w:pPr>
        <w:pStyle w:val="EndNoteBibliography"/>
        <w:ind w:left="567" w:hanging="426"/>
      </w:pPr>
      <w:r w:rsidRPr="0093281B">
        <w:t xml:space="preserve">Moore, D. J., &amp; Reardon, R. (1987). Source magnification: The role of multiple sources in the processing of advertising appeals. </w:t>
      </w:r>
      <w:r w:rsidRPr="0093281B">
        <w:rPr>
          <w:i/>
        </w:rPr>
        <w:t>Journal of Marketing Research</w:t>
      </w:r>
      <w:r w:rsidRPr="0093281B">
        <w:t>,</w:t>
      </w:r>
      <w:r w:rsidRPr="0093281B">
        <w:rPr>
          <w:i/>
        </w:rPr>
        <w:t xml:space="preserve"> 24</w:t>
      </w:r>
      <w:r w:rsidRPr="0093281B">
        <w:t xml:space="preserve">(4), 412-417. </w:t>
      </w:r>
    </w:p>
    <w:p w14:paraId="24427B75" w14:textId="77777777" w:rsidR="007D6961" w:rsidRPr="0093281B" w:rsidRDefault="007D6961" w:rsidP="007D6961">
      <w:pPr>
        <w:pStyle w:val="EndNoteBibliography"/>
        <w:ind w:left="567" w:hanging="426"/>
      </w:pPr>
      <w:r w:rsidRPr="0093281B">
        <w:t xml:space="preserve">Moorman, M., Neijens, P. C., &amp; Smit, E. G. (2007). The effects of program involvement on commercial exposure and recall in a naturalistic setting. </w:t>
      </w:r>
      <w:r w:rsidRPr="0093281B">
        <w:rPr>
          <w:i/>
        </w:rPr>
        <w:t>Journal of Advertising</w:t>
      </w:r>
      <w:r w:rsidRPr="0093281B">
        <w:t>,</w:t>
      </w:r>
      <w:r w:rsidRPr="0093281B">
        <w:rPr>
          <w:i/>
        </w:rPr>
        <w:t xml:space="preserve"> 36</w:t>
      </w:r>
      <w:r w:rsidRPr="0093281B">
        <w:t xml:space="preserve">(1), 121-137. </w:t>
      </w:r>
    </w:p>
    <w:p w14:paraId="25871012" w14:textId="77777777" w:rsidR="007D6961" w:rsidRPr="0093281B" w:rsidRDefault="007D6961" w:rsidP="007D6961">
      <w:pPr>
        <w:pStyle w:val="EndNoteBibliography"/>
        <w:ind w:left="567" w:hanging="426"/>
      </w:pPr>
      <w:r w:rsidRPr="0093281B">
        <w:t xml:space="preserve">Moorman, M., Willemsen, L. M., Neijens, P. C., &amp; Smit, E. G. (2012). Program-involvement effects on commercial attention and recall of successive and embedded advertising. </w:t>
      </w:r>
      <w:r w:rsidRPr="0093281B">
        <w:rPr>
          <w:i/>
        </w:rPr>
        <w:t>Journal of Advertising</w:t>
      </w:r>
      <w:r w:rsidRPr="0093281B">
        <w:t>,</w:t>
      </w:r>
      <w:r w:rsidRPr="0093281B">
        <w:rPr>
          <w:i/>
        </w:rPr>
        <w:t xml:space="preserve"> 41</w:t>
      </w:r>
      <w:r w:rsidRPr="0093281B">
        <w:t xml:space="preserve">(2), 25-38. </w:t>
      </w:r>
    </w:p>
    <w:p w14:paraId="498050D7" w14:textId="77777777" w:rsidR="007D6961" w:rsidRPr="0093281B" w:rsidRDefault="007D6961" w:rsidP="007D6961">
      <w:pPr>
        <w:pStyle w:val="EndNoteBibliography"/>
        <w:ind w:left="567" w:hanging="426"/>
      </w:pPr>
      <w:r w:rsidRPr="0093281B">
        <w:t xml:space="preserve">Mothersbaugh, D. L., Huhmann, B. A., &amp; Franke, G. R. (2002). Combinatory and separative effects of rhetorical figures on consumers' effort and focus in ad processing. </w:t>
      </w:r>
      <w:r w:rsidRPr="0093281B">
        <w:rPr>
          <w:i/>
        </w:rPr>
        <w:t>Journal of Consumer Research</w:t>
      </w:r>
      <w:r w:rsidRPr="0093281B">
        <w:t>,</w:t>
      </w:r>
      <w:r w:rsidRPr="0093281B">
        <w:rPr>
          <w:i/>
        </w:rPr>
        <w:t xml:space="preserve"> 28</w:t>
      </w:r>
      <w:r w:rsidRPr="0093281B">
        <w:t xml:space="preserve">(4), 589-602. </w:t>
      </w:r>
    </w:p>
    <w:p w14:paraId="5AAA1AD3" w14:textId="77777777" w:rsidR="007D6961" w:rsidRPr="0093281B" w:rsidRDefault="007D6961" w:rsidP="007D6961">
      <w:pPr>
        <w:pStyle w:val="EndNoteBibliography"/>
        <w:ind w:left="567" w:hanging="426"/>
      </w:pPr>
      <w:r w:rsidRPr="0093281B">
        <w:t xml:space="preserve">Muehling, D. D., &amp; Laczniak, R. N. (1988). Advertising's immediate and delayed influence on brand attitudes: Considerations across message-involvement levels. </w:t>
      </w:r>
      <w:r w:rsidRPr="0093281B">
        <w:rPr>
          <w:i/>
        </w:rPr>
        <w:t>Journal of Advertising</w:t>
      </w:r>
      <w:r w:rsidRPr="0093281B">
        <w:t>,</w:t>
      </w:r>
      <w:r w:rsidRPr="0093281B">
        <w:rPr>
          <w:i/>
        </w:rPr>
        <w:t xml:space="preserve"> 17</w:t>
      </w:r>
      <w:r w:rsidRPr="0093281B">
        <w:t xml:space="preserve">(4), 23-34. </w:t>
      </w:r>
    </w:p>
    <w:p w14:paraId="4AD3FEDF" w14:textId="77777777" w:rsidR="007D6961" w:rsidRPr="0093281B" w:rsidRDefault="007D6961" w:rsidP="007D6961">
      <w:pPr>
        <w:pStyle w:val="EndNoteBibliography"/>
        <w:ind w:left="567" w:hanging="426"/>
      </w:pPr>
      <w:r w:rsidRPr="0093281B">
        <w:t xml:space="preserve">Muehling, D. D., &amp; Pascal, V. J. (2011). An empirical investigation of the differential effects of personal, historical, and non-nostalgic advertising on consumer responses. </w:t>
      </w:r>
      <w:r w:rsidRPr="0093281B">
        <w:rPr>
          <w:i/>
        </w:rPr>
        <w:t>Journal of Advertising</w:t>
      </w:r>
      <w:r w:rsidRPr="0093281B">
        <w:t>,</w:t>
      </w:r>
      <w:r w:rsidRPr="0093281B">
        <w:rPr>
          <w:i/>
        </w:rPr>
        <w:t xml:space="preserve"> 40</w:t>
      </w:r>
      <w:r w:rsidRPr="0093281B">
        <w:t xml:space="preserve">(2), 107-122. </w:t>
      </w:r>
    </w:p>
    <w:p w14:paraId="41E59245" w14:textId="77777777" w:rsidR="007D6961" w:rsidRPr="0093281B" w:rsidRDefault="007D6961" w:rsidP="007D6961">
      <w:pPr>
        <w:pStyle w:val="EndNoteBibliography"/>
        <w:ind w:left="567" w:hanging="426"/>
      </w:pPr>
      <w:r w:rsidRPr="0093281B">
        <w:t xml:space="preserve">Mulier, L., Slabbinck, H., &amp; Vermeir, I. (2021). This way up: The effectiveness of mobile vertical video marketing. </w:t>
      </w:r>
      <w:r w:rsidRPr="0093281B">
        <w:rPr>
          <w:i/>
        </w:rPr>
        <w:t>Journal of Interactive Marketing</w:t>
      </w:r>
      <w:r w:rsidRPr="0093281B">
        <w:t>,</w:t>
      </w:r>
      <w:r w:rsidRPr="0093281B">
        <w:rPr>
          <w:i/>
        </w:rPr>
        <w:t xml:space="preserve"> 55</w:t>
      </w:r>
      <w:r w:rsidRPr="0093281B">
        <w:t xml:space="preserve">(1), 1-15. </w:t>
      </w:r>
    </w:p>
    <w:p w14:paraId="1F293211" w14:textId="77777777" w:rsidR="007D6961" w:rsidRPr="0093281B" w:rsidRDefault="007D6961" w:rsidP="007D6961">
      <w:pPr>
        <w:pStyle w:val="EndNoteBibliography"/>
        <w:ind w:left="567" w:hanging="426"/>
      </w:pPr>
      <w:r w:rsidRPr="0093281B">
        <w:t xml:space="preserve">Murphy, S. T., Frank, L. B., Moran, M. B., &amp; Patnoe-Woodley, P. (2011). Involved, transported, or emotional? Exploring the determinants of change in knowledge, attitudes, and behavior in entertainment-education. </w:t>
      </w:r>
      <w:r w:rsidRPr="0093281B">
        <w:rPr>
          <w:i/>
        </w:rPr>
        <w:t>Journal of Communication</w:t>
      </w:r>
      <w:r w:rsidRPr="0093281B">
        <w:t>,</w:t>
      </w:r>
      <w:r w:rsidRPr="0093281B">
        <w:rPr>
          <w:i/>
        </w:rPr>
        <w:t xml:space="preserve"> 61</w:t>
      </w:r>
      <w:r w:rsidRPr="0093281B">
        <w:t xml:space="preserve">(3), 407-431. </w:t>
      </w:r>
    </w:p>
    <w:p w14:paraId="0A727738" w14:textId="77777777" w:rsidR="007D6961" w:rsidRPr="0093281B" w:rsidRDefault="007D6961" w:rsidP="007D6961">
      <w:pPr>
        <w:pStyle w:val="EndNoteBibliography"/>
        <w:ind w:left="567" w:hanging="426"/>
      </w:pPr>
      <w:r w:rsidRPr="0093281B">
        <w:t xml:space="preserve">Nielsen, J. H., &amp; Escalas, J. E. (2010). Easier is not always better: The moderating role of processing type on preference fluency. </w:t>
      </w:r>
      <w:r w:rsidRPr="0093281B">
        <w:rPr>
          <w:i/>
        </w:rPr>
        <w:t>Journal of Consumer Psychology</w:t>
      </w:r>
      <w:r w:rsidRPr="0093281B">
        <w:t>,</w:t>
      </w:r>
      <w:r w:rsidRPr="0093281B">
        <w:rPr>
          <w:i/>
        </w:rPr>
        <w:t xml:space="preserve"> 20</w:t>
      </w:r>
      <w:r w:rsidRPr="0093281B">
        <w:t xml:space="preserve">(3), 295-305. </w:t>
      </w:r>
    </w:p>
    <w:p w14:paraId="645445EE" w14:textId="77777777" w:rsidR="007D6961" w:rsidRPr="0093281B" w:rsidRDefault="007D6961" w:rsidP="007D6961">
      <w:pPr>
        <w:pStyle w:val="EndNoteBibliography"/>
        <w:ind w:left="567" w:hanging="426"/>
      </w:pPr>
      <w:r w:rsidRPr="0093281B">
        <w:t xml:space="preserve">Noriega, J., &amp; Blair, E. (2008). Advertising to bilinguals: Does the language of advertising influence the nature of thoughts? </w:t>
      </w:r>
      <w:r w:rsidRPr="0093281B">
        <w:rPr>
          <w:i/>
        </w:rPr>
        <w:t>Journal of Marketing</w:t>
      </w:r>
      <w:r w:rsidRPr="0093281B">
        <w:t>,</w:t>
      </w:r>
      <w:r w:rsidRPr="0093281B">
        <w:rPr>
          <w:i/>
        </w:rPr>
        <w:t xml:space="preserve"> 72</w:t>
      </w:r>
      <w:r w:rsidRPr="0093281B">
        <w:t xml:space="preserve">(5), 69-83. </w:t>
      </w:r>
    </w:p>
    <w:p w14:paraId="100BAA35" w14:textId="2D39B701" w:rsidR="007D6961" w:rsidRPr="0093281B" w:rsidRDefault="007D6961" w:rsidP="007D6961">
      <w:pPr>
        <w:pStyle w:val="EndNoteBibliography"/>
        <w:ind w:left="567" w:hanging="426"/>
      </w:pPr>
      <w:r w:rsidRPr="0093281B">
        <w:t xml:space="preserve">North, A. C., Mackenzie, L. C., Law, R. M., &amp; Hargreaves, D. J. (2004). The effects of musical and voice “fit” on responses to advertisements 1. </w:t>
      </w:r>
      <w:r w:rsidRPr="0093281B">
        <w:rPr>
          <w:i/>
        </w:rPr>
        <w:t xml:space="preserve">Journal of </w:t>
      </w:r>
      <w:r w:rsidR="0048698C">
        <w:rPr>
          <w:i/>
        </w:rPr>
        <w:t>A</w:t>
      </w:r>
      <w:r w:rsidRPr="0093281B">
        <w:rPr>
          <w:i/>
        </w:rPr>
        <w:t xml:space="preserve">pplied </w:t>
      </w:r>
      <w:r w:rsidR="0048698C">
        <w:rPr>
          <w:i/>
        </w:rPr>
        <w:t>S</w:t>
      </w:r>
      <w:r w:rsidRPr="0093281B">
        <w:rPr>
          <w:i/>
        </w:rPr>
        <w:t xml:space="preserve">ocial </w:t>
      </w:r>
      <w:r w:rsidR="0048698C">
        <w:rPr>
          <w:i/>
        </w:rPr>
        <w:t>P</w:t>
      </w:r>
      <w:r w:rsidRPr="0093281B">
        <w:rPr>
          <w:i/>
        </w:rPr>
        <w:t>sychology</w:t>
      </w:r>
      <w:r w:rsidRPr="0093281B">
        <w:t>,</w:t>
      </w:r>
      <w:r w:rsidRPr="0093281B">
        <w:rPr>
          <w:i/>
        </w:rPr>
        <w:t xml:space="preserve"> 34</w:t>
      </w:r>
      <w:r w:rsidRPr="0093281B">
        <w:t xml:space="preserve">(8), 1675-1708. </w:t>
      </w:r>
    </w:p>
    <w:p w14:paraId="2A8D7890" w14:textId="5E076F26" w:rsidR="007D6961" w:rsidRPr="0093281B" w:rsidRDefault="007D6961" w:rsidP="007D6961">
      <w:pPr>
        <w:pStyle w:val="EndNoteBibliography"/>
        <w:ind w:left="567" w:hanging="426"/>
      </w:pPr>
      <w:r w:rsidRPr="0093281B">
        <w:t xml:space="preserve">Park, J.W., &amp; Hastak, M. (1994). Memory-based product judgments: Effects of involvement at encoding and retrieval. </w:t>
      </w:r>
      <w:r w:rsidRPr="0093281B">
        <w:rPr>
          <w:i/>
        </w:rPr>
        <w:t>Journal of Consumer Research</w:t>
      </w:r>
      <w:r w:rsidRPr="0093281B">
        <w:t>,</w:t>
      </w:r>
      <w:r w:rsidRPr="0093281B">
        <w:rPr>
          <w:i/>
        </w:rPr>
        <w:t xml:space="preserve"> 21</w:t>
      </w:r>
      <w:r w:rsidRPr="0093281B">
        <w:t xml:space="preserve">(3), 534-547. </w:t>
      </w:r>
    </w:p>
    <w:p w14:paraId="105706D4" w14:textId="77777777" w:rsidR="007D6961" w:rsidRPr="0093281B" w:rsidRDefault="007D6961" w:rsidP="007D6961">
      <w:pPr>
        <w:pStyle w:val="EndNoteBibliography"/>
        <w:ind w:left="567" w:hanging="426"/>
      </w:pPr>
      <w:r w:rsidRPr="0093281B">
        <w:t xml:space="preserve">Peracchio, L. A., &amp; Meyers-Levy, J. (2005). Using stylistic properties of ad pictures to communicate with consumers. </w:t>
      </w:r>
      <w:r w:rsidRPr="0093281B">
        <w:rPr>
          <w:i/>
        </w:rPr>
        <w:t>Journal of Consumer Research</w:t>
      </w:r>
      <w:r w:rsidRPr="0093281B">
        <w:t>,</w:t>
      </w:r>
      <w:r w:rsidRPr="0093281B">
        <w:rPr>
          <w:i/>
        </w:rPr>
        <w:t xml:space="preserve"> 32</w:t>
      </w:r>
      <w:r w:rsidRPr="0093281B">
        <w:t xml:space="preserve">(1), 29-40. </w:t>
      </w:r>
    </w:p>
    <w:p w14:paraId="75ADB6AC" w14:textId="77777777" w:rsidR="007D6961" w:rsidRPr="0093281B" w:rsidRDefault="007D6961" w:rsidP="007D6961">
      <w:pPr>
        <w:pStyle w:val="EndNoteBibliography"/>
        <w:ind w:left="567" w:hanging="426"/>
      </w:pPr>
      <w:r w:rsidRPr="0093281B">
        <w:t xml:space="preserve">Peracchio, L. A., &amp; Tybout, A. M. (1996). The moderating role of prior knowledge in schema-based product evaluation. </w:t>
      </w:r>
      <w:r w:rsidRPr="0093281B">
        <w:rPr>
          <w:i/>
        </w:rPr>
        <w:t>Journal of Consumer Research</w:t>
      </w:r>
      <w:r w:rsidRPr="0093281B">
        <w:t>,</w:t>
      </w:r>
      <w:r w:rsidRPr="0093281B">
        <w:rPr>
          <w:i/>
        </w:rPr>
        <w:t xml:space="preserve"> 23</w:t>
      </w:r>
      <w:r w:rsidRPr="0093281B">
        <w:t xml:space="preserve">(3), 177-192. </w:t>
      </w:r>
    </w:p>
    <w:p w14:paraId="2445E583" w14:textId="77777777" w:rsidR="007D6961" w:rsidRPr="0093281B" w:rsidRDefault="007D6961" w:rsidP="007D6961">
      <w:pPr>
        <w:pStyle w:val="EndNoteBibliography"/>
        <w:ind w:left="567" w:hanging="426"/>
      </w:pPr>
      <w:r w:rsidRPr="0093281B">
        <w:t xml:space="preserve">Petrova, P. K., &amp; Cialdini, R. B. (2005). Fluency of consumption imagery and the backfire effects of imagery appeals. </w:t>
      </w:r>
      <w:r w:rsidRPr="0093281B">
        <w:rPr>
          <w:i/>
        </w:rPr>
        <w:t>Journal of Consumer Research</w:t>
      </w:r>
      <w:r w:rsidRPr="0093281B">
        <w:t>,</w:t>
      </w:r>
      <w:r w:rsidRPr="0093281B">
        <w:rPr>
          <w:i/>
        </w:rPr>
        <w:t xml:space="preserve"> 32</w:t>
      </w:r>
      <w:r w:rsidRPr="0093281B">
        <w:t xml:space="preserve">(3), 442-452. </w:t>
      </w:r>
    </w:p>
    <w:p w14:paraId="2882A457" w14:textId="77777777" w:rsidR="007D6961" w:rsidRPr="0093281B" w:rsidRDefault="007D6961" w:rsidP="007D6961">
      <w:pPr>
        <w:pStyle w:val="EndNoteBibliography"/>
        <w:ind w:left="567" w:hanging="426"/>
      </w:pPr>
      <w:r w:rsidRPr="0093281B">
        <w:t xml:space="preserve">Petty, R. E., Cacioppo, J. T., &amp; Schumann, D. (1983). Central and peripheral routes to advertising effectiveness: The moderating role of involvement. </w:t>
      </w:r>
      <w:r w:rsidRPr="0093281B">
        <w:rPr>
          <w:i/>
        </w:rPr>
        <w:t>Journal of Consumer Research</w:t>
      </w:r>
      <w:r w:rsidRPr="0093281B">
        <w:t>,</w:t>
      </w:r>
      <w:r w:rsidRPr="0093281B">
        <w:rPr>
          <w:i/>
        </w:rPr>
        <w:t xml:space="preserve"> 10</w:t>
      </w:r>
      <w:r w:rsidRPr="0093281B">
        <w:t xml:space="preserve">(2), 135-146. </w:t>
      </w:r>
    </w:p>
    <w:p w14:paraId="5929D99D" w14:textId="0CC01FE7" w:rsidR="00F12F6B" w:rsidRDefault="00F12F6B" w:rsidP="00F12F6B">
      <w:pPr>
        <w:pStyle w:val="EndNoteBibliography"/>
        <w:ind w:left="567" w:hanging="426"/>
      </w:pPr>
      <w:r w:rsidRPr="00F12F6B">
        <w:t>Petty, R</w:t>
      </w:r>
      <w:r>
        <w:t>.</w:t>
      </w:r>
      <w:r w:rsidRPr="00F12F6B">
        <w:t xml:space="preserve"> E., </w:t>
      </w:r>
      <w:r>
        <w:t>&amp;</w:t>
      </w:r>
      <w:r w:rsidRPr="00F12F6B">
        <w:t xml:space="preserve"> Wegener</w:t>
      </w:r>
      <w:r>
        <w:t>, D. T.</w:t>
      </w:r>
      <w:r w:rsidRPr="00F12F6B">
        <w:t xml:space="preserve"> (1998)</w:t>
      </w:r>
      <w:r>
        <w:t>.</w:t>
      </w:r>
      <w:r w:rsidRPr="00F12F6B">
        <w:t xml:space="preserve"> Attitude </w:t>
      </w:r>
      <w:r>
        <w:t>c</w:t>
      </w:r>
      <w:r w:rsidRPr="00F12F6B">
        <w:t xml:space="preserve">hange: Multiple </w:t>
      </w:r>
      <w:r>
        <w:t>r</w:t>
      </w:r>
      <w:r w:rsidRPr="00F12F6B">
        <w:t xml:space="preserve">oles for </w:t>
      </w:r>
      <w:r>
        <w:t>p</w:t>
      </w:r>
      <w:r w:rsidRPr="00F12F6B">
        <w:t xml:space="preserve">ersuasion </w:t>
      </w:r>
      <w:r>
        <w:t>v</w:t>
      </w:r>
      <w:r w:rsidRPr="00F12F6B">
        <w:t xml:space="preserve">ariables in </w:t>
      </w:r>
      <w:r w:rsidRPr="00F12F6B">
        <w:rPr>
          <w:i/>
          <w:iCs/>
        </w:rPr>
        <w:t>The Handbook of Social Psychology</w:t>
      </w:r>
      <w:r w:rsidRPr="00F12F6B">
        <w:t>, ed. D</w:t>
      </w:r>
      <w:r>
        <w:t>.</w:t>
      </w:r>
      <w:r w:rsidRPr="00F12F6B">
        <w:t xml:space="preserve"> T</w:t>
      </w:r>
      <w:r>
        <w:t>.</w:t>
      </w:r>
      <w:r w:rsidRPr="00F12F6B">
        <w:t xml:space="preserve"> Gilbert, S</w:t>
      </w:r>
      <w:r>
        <w:t>.</w:t>
      </w:r>
      <w:r w:rsidRPr="00F12F6B">
        <w:t xml:space="preserve"> T. Fiske, </w:t>
      </w:r>
      <w:r>
        <w:t>&amp;</w:t>
      </w:r>
      <w:r w:rsidRPr="00F12F6B">
        <w:t xml:space="preserve"> G</w:t>
      </w:r>
      <w:r>
        <w:t>.</w:t>
      </w:r>
      <w:r w:rsidRPr="00F12F6B">
        <w:t xml:space="preserve"> L</w:t>
      </w:r>
      <w:r>
        <w:t>.</w:t>
      </w:r>
      <w:r w:rsidRPr="00F12F6B">
        <w:t xml:space="preserve">, Boston: McGraw-Hill, 323–90. </w:t>
      </w:r>
    </w:p>
    <w:p w14:paraId="36E7579A" w14:textId="5483A3A5" w:rsidR="007D6961" w:rsidRPr="0093281B" w:rsidRDefault="007D6961" w:rsidP="007D6961">
      <w:pPr>
        <w:pStyle w:val="EndNoteBibliography"/>
        <w:ind w:left="567" w:hanging="426"/>
      </w:pPr>
      <w:r w:rsidRPr="0093281B">
        <w:t xml:space="preserve">Pham, M. T., &amp; Avnet, T. (2004). Ideals and oughts and the reliance on affect versus substance in persuasion. </w:t>
      </w:r>
      <w:r w:rsidRPr="0093281B">
        <w:rPr>
          <w:i/>
        </w:rPr>
        <w:t>Journal of Consumer Research</w:t>
      </w:r>
      <w:r w:rsidRPr="0093281B">
        <w:t>,</w:t>
      </w:r>
      <w:r w:rsidRPr="0093281B">
        <w:rPr>
          <w:i/>
        </w:rPr>
        <w:t xml:space="preserve"> 30</w:t>
      </w:r>
      <w:r w:rsidRPr="0093281B">
        <w:t xml:space="preserve">(4), 503-518. </w:t>
      </w:r>
    </w:p>
    <w:p w14:paraId="6418790C" w14:textId="77777777" w:rsidR="007D6961" w:rsidRPr="0093281B" w:rsidRDefault="007D6961" w:rsidP="007D6961">
      <w:pPr>
        <w:pStyle w:val="EndNoteBibliography"/>
        <w:ind w:left="567" w:hanging="426"/>
      </w:pPr>
      <w:r w:rsidRPr="0093281B">
        <w:t xml:space="preserve">Polyorat, K., Alden, D. L., &amp; Kim, E. S. (2007). Impact of narrative versus factual print ad copy on product evaluation: The mediating role of ad message involvement. </w:t>
      </w:r>
      <w:r w:rsidRPr="0093281B">
        <w:rPr>
          <w:i/>
        </w:rPr>
        <w:t>Psychology &amp; Marketing</w:t>
      </w:r>
      <w:r w:rsidRPr="0093281B">
        <w:t>,</w:t>
      </w:r>
      <w:r w:rsidRPr="0093281B">
        <w:rPr>
          <w:i/>
        </w:rPr>
        <w:t xml:space="preserve"> 24</w:t>
      </w:r>
      <w:r w:rsidRPr="0093281B">
        <w:t xml:space="preserve">(6), 539-554. </w:t>
      </w:r>
    </w:p>
    <w:p w14:paraId="19E8B3DA" w14:textId="77777777" w:rsidR="007D6961" w:rsidRPr="0093281B" w:rsidRDefault="007D6961" w:rsidP="007D6961">
      <w:pPr>
        <w:pStyle w:val="EndNoteBibliography"/>
        <w:ind w:left="567" w:hanging="426"/>
      </w:pPr>
      <w:r w:rsidRPr="0093281B">
        <w:t xml:space="preserve">Putrevu, S. (2010). An examination of consumer responses toward attribute-and goal-framed messages. </w:t>
      </w:r>
      <w:r w:rsidRPr="0093281B">
        <w:rPr>
          <w:i/>
        </w:rPr>
        <w:t>Journal of Advertising</w:t>
      </w:r>
      <w:r w:rsidRPr="0093281B">
        <w:t>,</w:t>
      </w:r>
      <w:r w:rsidRPr="0093281B">
        <w:rPr>
          <w:i/>
        </w:rPr>
        <w:t xml:space="preserve"> 39</w:t>
      </w:r>
      <w:r w:rsidRPr="0093281B">
        <w:t xml:space="preserve">(3), 5-24. </w:t>
      </w:r>
    </w:p>
    <w:p w14:paraId="0F487AA7" w14:textId="77777777" w:rsidR="007D6961" w:rsidRPr="0093281B" w:rsidRDefault="007D6961" w:rsidP="007D6961">
      <w:pPr>
        <w:pStyle w:val="EndNoteBibliography"/>
        <w:ind w:left="567" w:hanging="426"/>
      </w:pPr>
      <w:r w:rsidRPr="0093281B">
        <w:t xml:space="preserve">Putrevu, S. (2014). Effects of mood and elaboration on processing and evaluation of goal‐framed appeals. </w:t>
      </w:r>
      <w:r w:rsidRPr="0093281B">
        <w:rPr>
          <w:i/>
        </w:rPr>
        <w:t>Psychology &amp; Marketing</w:t>
      </w:r>
      <w:r w:rsidRPr="0093281B">
        <w:t>,</w:t>
      </w:r>
      <w:r w:rsidRPr="0093281B">
        <w:rPr>
          <w:i/>
        </w:rPr>
        <w:t xml:space="preserve"> 31</w:t>
      </w:r>
      <w:r w:rsidRPr="0093281B">
        <w:t xml:space="preserve">(2), 134-146. </w:t>
      </w:r>
    </w:p>
    <w:p w14:paraId="6A9624F1" w14:textId="77777777" w:rsidR="007D6961" w:rsidRPr="00F12F6B" w:rsidRDefault="007D6961" w:rsidP="007D6961">
      <w:pPr>
        <w:pStyle w:val="EndNoteBibliography"/>
        <w:ind w:left="567" w:hanging="426"/>
        <w:rPr>
          <w:lang w:val="nl-NL"/>
        </w:rPr>
      </w:pPr>
      <w:r w:rsidRPr="0093281B">
        <w:t xml:space="preserve">Quintero Johnson, J. M., &amp; Sangalang, A. (2017). Testing the explanatory power of two measures of narrative involvement: An investigation of the influence of transportation and narrative engagement on the process of narrative persuasion. </w:t>
      </w:r>
      <w:r w:rsidRPr="00F12F6B">
        <w:rPr>
          <w:i/>
          <w:lang w:val="nl-NL"/>
        </w:rPr>
        <w:t>Media Psychology</w:t>
      </w:r>
      <w:r w:rsidRPr="00F12F6B">
        <w:rPr>
          <w:lang w:val="nl-NL"/>
        </w:rPr>
        <w:t>,</w:t>
      </w:r>
      <w:r w:rsidRPr="00F12F6B">
        <w:rPr>
          <w:i/>
          <w:lang w:val="nl-NL"/>
        </w:rPr>
        <w:t xml:space="preserve"> 20</w:t>
      </w:r>
      <w:r w:rsidRPr="00F12F6B">
        <w:rPr>
          <w:lang w:val="nl-NL"/>
        </w:rPr>
        <w:t xml:space="preserve">(1), 144-173. </w:t>
      </w:r>
    </w:p>
    <w:p w14:paraId="1D142E4F" w14:textId="77777777" w:rsidR="007D6961" w:rsidRPr="0093281B" w:rsidRDefault="007D6961" w:rsidP="007D6961">
      <w:pPr>
        <w:pStyle w:val="EndNoteBibliography"/>
        <w:ind w:left="567" w:hanging="426"/>
      </w:pPr>
      <w:r w:rsidRPr="00F12F6B">
        <w:rPr>
          <w:lang w:val="nl-NL"/>
        </w:rPr>
        <w:t xml:space="preserve">Raju, S., Unnava, H. R., &amp; Montgomery, N. V. (2009). </w:t>
      </w:r>
      <w:r w:rsidRPr="0093281B">
        <w:t xml:space="preserve">The moderating effect of brand commitment on the evaluation of competitive brands. </w:t>
      </w:r>
      <w:r w:rsidRPr="0093281B">
        <w:rPr>
          <w:i/>
        </w:rPr>
        <w:t>Journal of Advertising</w:t>
      </w:r>
      <w:r w:rsidRPr="0093281B">
        <w:t>,</w:t>
      </w:r>
      <w:r w:rsidRPr="0093281B">
        <w:rPr>
          <w:i/>
        </w:rPr>
        <w:t xml:space="preserve"> 38</w:t>
      </w:r>
      <w:r w:rsidRPr="0093281B">
        <w:t xml:space="preserve">(2), 21-36. </w:t>
      </w:r>
    </w:p>
    <w:p w14:paraId="2A4150BC" w14:textId="77777777" w:rsidR="007D6961" w:rsidRPr="0093281B" w:rsidRDefault="007D6961" w:rsidP="007D6961">
      <w:pPr>
        <w:pStyle w:val="EndNoteBibliography"/>
        <w:ind w:left="567" w:hanging="426"/>
      </w:pPr>
      <w:r w:rsidRPr="0093281B">
        <w:t xml:space="preserve">Ratneshwar, S., &amp; Chaiken, S. (1991). Comprehension's role in persuasion: The case of its moderating effect on the persuasive impact of source cues. </w:t>
      </w:r>
      <w:r w:rsidRPr="0093281B">
        <w:rPr>
          <w:i/>
        </w:rPr>
        <w:t>Journal of Consumer Research</w:t>
      </w:r>
      <w:r w:rsidRPr="0093281B">
        <w:t>,</w:t>
      </w:r>
      <w:r w:rsidRPr="0093281B">
        <w:rPr>
          <w:i/>
        </w:rPr>
        <w:t xml:space="preserve"> 18</w:t>
      </w:r>
      <w:r w:rsidRPr="0093281B">
        <w:t xml:space="preserve">(1), 52-62. </w:t>
      </w:r>
    </w:p>
    <w:p w14:paraId="26C31371" w14:textId="77777777" w:rsidR="007D6961" w:rsidRPr="0093281B" w:rsidRDefault="007D6961" w:rsidP="007D6961">
      <w:pPr>
        <w:pStyle w:val="EndNoteBibliography"/>
        <w:ind w:left="567" w:hanging="426"/>
      </w:pPr>
      <w:r w:rsidRPr="0093281B">
        <w:t xml:space="preserve">Rausch, P. (2010). </w:t>
      </w:r>
      <w:r w:rsidRPr="0093281B">
        <w:rPr>
          <w:i/>
        </w:rPr>
        <w:t>Organizational blogs and cancer messages: Experimental testing of recipient and message factors in influencing attitudes, intention and behavior</w:t>
      </w:r>
      <w:r w:rsidRPr="0093281B">
        <w:t xml:space="preserve"> (Publication Number 3532639) [Unpublished doctoral dissertation, University of Florida]. ProQuest One Academic. Gainesville, FL 32611. </w:t>
      </w:r>
      <w:r w:rsidRPr="00523389">
        <w:t>https://www.proquest.com/dissertations-theses/organizational-blogs-cancer-messages-experimental/docview/1237158757/se-2?accountid=11862</w:t>
      </w:r>
    </w:p>
    <w:p w14:paraId="24CD930B" w14:textId="77777777" w:rsidR="007D6961" w:rsidRPr="0093281B" w:rsidRDefault="007D6961" w:rsidP="007D6961">
      <w:pPr>
        <w:pStyle w:val="EndNoteBibliography"/>
        <w:ind w:left="567" w:hanging="426"/>
      </w:pPr>
      <w:r w:rsidRPr="00F12F6B">
        <w:rPr>
          <w:lang w:val="nl-NL"/>
        </w:rPr>
        <w:t xml:space="preserve">Ravaja, N., Saari, T., Kallinen, K., &amp; Laarni, J. (2006). </w:t>
      </w:r>
      <w:r w:rsidRPr="0093281B">
        <w:t xml:space="preserve">The role of mood in the processing of media messages from a small screen: Effects on subjective and physiological responses. </w:t>
      </w:r>
      <w:r w:rsidRPr="0093281B">
        <w:rPr>
          <w:i/>
        </w:rPr>
        <w:t>Media Psychology</w:t>
      </w:r>
      <w:r w:rsidRPr="0093281B">
        <w:t>,</w:t>
      </w:r>
      <w:r w:rsidRPr="0093281B">
        <w:rPr>
          <w:i/>
        </w:rPr>
        <w:t xml:space="preserve"> 8</w:t>
      </w:r>
      <w:r w:rsidRPr="0093281B">
        <w:t xml:space="preserve">(3), 239-265. </w:t>
      </w:r>
    </w:p>
    <w:p w14:paraId="7D8EE149" w14:textId="77777777" w:rsidR="007D6961" w:rsidRPr="0093281B" w:rsidRDefault="007D6961" w:rsidP="007D6961">
      <w:pPr>
        <w:pStyle w:val="EndNoteBibliography"/>
        <w:ind w:left="567" w:hanging="426"/>
      </w:pPr>
      <w:r w:rsidRPr="0093281B">
        <w:t xml:space="preserve">Rockwell, S. C., &amp; Singleton, L. A. (2007). The effect of the modality of presentation of streaming multimedia on information acquisition. </w:t>
      </w:r>
      <w:r w:rsidRPr="0093281B">
        <w:rPr>
          <w:i/>
        </w:rPr>
        <w:t>Media Psychology</w:t>
      </w:r>
      <w:r w:rsidRPr="0093281B">
        <w:t>,</w:t>
      </w:r>
      <w:r w:rsidRPr="0093281B">
        <w:rPr>
          <w:i/>
        </w:rPr>
        <w:t xml:space="preserve"> 9</w:t>
      </w:r>
      <w:r w:rsidRPr="0093281B">
        <w:t xml:space="preserve">(1), 179-191. </w:t>
      </w:r>
    </w:p>
    <w:p w14:paraId="6D65BAFB" w14:textId="77777777" w:rsidR="007D6961" w:rsidRPr="0093281B" w:rsidRDefault="007D6961" w:rsidP="007D6961">
      <w:pPr>
        <w:pStyle w:val="EndNoteBibliography"/>
        <w:ind w:left="567" w:hanging="426"/>
      </w:pPr>
      <w:r w:rsidRPr="0093281B">
        <w:t xml:space="preserve">Rodero, E. (2012). See it on a radio story: sound effects and shots to evoked imagery and attention on audio fiction. </w:t>
      </w:r>
      <w:r w:rsidRPr="0093281B">
        <w:rPr>
          <w:i/>
        </w:rPr>
        <w:t>Communication Research</w:t>
      </w:r>
      <w:r w:rsidRPr="0093281B">
        <w:t>,</w:t>
      </w:r>
      <w:r w:rsidRPr="0093281B">
        <w:rPr>
          <w:i/>
        </w:rPr>
        <w:t xml:space="preserve"> 39</w:t>
      </w:r>
      <w:r w:rsidRPr="0093281B">
        <w:t xml:space="preserve">(4), 458-479. </w:t>
      </w:r>
    </w:p>
    <w:p w14:paraId="72C32CFC" w14:textId="77777777" w:rsidR="007D6961" w:rsidRPr="0093281B" w:rsidRDefault="007D6961" w:rsidP="007D6961">
      <w:pPr>
        <w:pStyle w:val="EndNoteBibliography"/>
        <w:ind w:left="567" w:hanging="426"/>
      </w:pPr>
      <w:r w:rsidRPr="0093281B">
        <w:t xml:space="preserve">Rodero, E. (2019). The spark orientation effect for improving attention and recall. </w:t>
      </w:r>
      <w:r w:rsidRPr="0093281B">
        <w:rPr>
          <w:i/>
        </w:rPr>
        <w:t>Communication Research</w:t>
      </w:r>
      <w:r w:rsidRPr="0093281B">
        <w:t>,</w:t>
      </w:r>
      <w:r w:rsidRPr="0093281B">
        <w:rPr>
          <w:i/>
        </w:rPr>
        <w:t xml:space="preserve"> 46</w:t>
      </w:r>
      <w:r w:rsidRPr="0093281B">
        <w:t xml:space="preserve">(7), 965-985. </w:t>
      </w:r>
    </w:p>
    <w:p w14:paraId="44A1BEDA" w14:textId="77777777" w:rsidR="007D6961" w:rsidRPr="0093281B" w:rsidRDefault="007D6961" w:rsidP="007D6961">
      <w:pPr>
        <w:pStyle w:val="EndNoteBibliography"/>
        <w:ind w:left="567" w:hanging="426"/>
      </w:pPr>
      <w:r w:rsidRPr="0093281B">
        <w:t xml:space="preserve">Rodero, E., &amp; Cores-Sarría, L. (2023). Best prosody for news: A psychophysiological study comparing a broadcast to a narrative speaking style. </w:t>
      </w:r>
      <w:r w:rsidRPr="0093281B">
        <w:rPr>
          <w:i/>
        </w:rPr>
        <w:t>Communication Research</w:t>
      </w:r>
      <w:r w:rsidRPr="0093281B">
        <w:t>,</w:t>
      </w:r>
      <w:r w:rsidRPr="0093281B">
        <w:rPr>
          <w:i/>
        </w:rPr>
        <w:t xml:space="preserve"> 50</w:t>
      </w:r>
      <w:r w:rsidRPr="0093281B">
        <w:t xml:space="preserve">(3), 361-384. </w:t>
      </w:r>
    </w:p>
    <w:p w14:paraId="0C237C0D" w14:textId="77777777" w:rsidR="007D6961" w:rsidRPr="0093281B" w:rsidRDefault="007D6961" w:rsidP="007D6961">
      <w:pPr>
        <w:pStyle w:val="EndNoteBibliography"/>
        <w:ind w:left="567" w:hanging="426"/>
      </w:pPr>
      <w:r w:rsidRPr="0093281B">
        <w:t xml:space="preserve">Rodero, E., &amp; Lucas, I. (2023). Synthetic versus human voices in audiobooks: The human emotional intimacy effect. </w:t>
      </w:r>
      <w:r w:rsidRPr="0093281B">
        <w:rPr>
          <w:i/>
        </w:rPr>
        <w:t>New Media &amp; Society</w:t>
      </w:r>
      <w:r w:rsidRPr="0093281B">
        <w:t>,</w:t>
      </w:r>
      <w:r w:rsidRPr="0093281B">
        <w:rPr>
          <w:i/>
        </w:rPr>
        <w:t xml:space="preserve"> 25</w:t>
      </w:r>
      <w:r w:rsidRPr="0093281B">
        <w:t xml:space="preserve">(7), 1746-1764. </w:t>
      </w:r>
    </w:p>
    <w:p w14:paraId="485AC3CE" w14:textId="77777777" w:rsidR="007D6961" w:rsidRPr="00F12F6B" w:rsidRDefault="007D6961" w:rsidP="007D6961">
      <w:pPr>
        <w:pStyle w:val="EndNoteBibliography"/>
        <w:ind w:left="567" w:hanging="426"/>
        <w:rPr>
          <w:lang w:val="nl-NL"/>
        </w:rPr>
      </w:pPr>
      <w:r w:rsidRPr="0093281B">
        <w:t xml:space="preserve">Rodero, E., &amp; Romero, L. (2022). Let me listen to where you are. Spatial dimension resources in audio stories can increase imagery, transportation, attention, and recall. </w:t>
      </w:r>
      <w:r w:rsidRPr="00F12F6B">
        <w:rPr>
          <w:i/>
          <w:lang w:val="nl-NL"/>
        </w:rPr>
        <w:t>Media Psychology</w:t>
      </w:r>
      <w:r w:rsidRPr="00F12F6B">
        <w:rPr>
          <w:lang w:val="nl-NL"/>
        </w:rPr>
        <w:t>,</w:t>
      </w:r>
      <w:r w:rsidRPr="00F12F6B">
        <w:rPr>
          <w:i/>
          <w:lang w:val="nl-NL"/>
        </w:rPr>
        <w:t xml:space="preserve"> 25</w:t>
      </w:r>
      <w:r w:rsidRPr="00F12F6B">
        <w:rPr>
          <w:lang w:val="nl-NL"/>
        </w:rPr>
        <w:t xml:space="preserve">(1), 155-179. </w:t>
      </w:r>
    </w:p>
    <w:p w14:paraId="5D16A1CE" w14:textId="77777777" w:rsidR="007D6961" w:rsidRPr="0093281B" w:rsidRDefault="007D6961" w:rsidP="007D6961">
      <w:pPr>
        <w:pStyle w:val="EndNoteBibliography"/>
        <w:ind w:left="567" w:hanging="426"/>
      </w:pPr>
      <w:r w:rsidRPr="00F12F6B">
        <w:rPr>
          <w:lang w:val="nl-NL"/>
        </w:rPr>
        <w:t xml:space="preserve">Roggeveen, A. L., Grewal, D., Townsend, C., &amp; Krishnan, R. (2015). </w:t>
      </w:r>
      <w:r w:rsidRPr="0093281B">
        <w:t xml:space="preserve">The impact of dynamic presentation format on consumer preferences for hedonic products and services. </w:t>
      </w:r>
      <w:r w:rsidRPr="0093281B">
        <w:rPr>
          <w:i/>
        </w:rPr>
        <w:t>Journal of Marketing</w:t>
      </w:r>
      <w:r w:rsidRPr="0093281B">
        <w:t>,</w:t>
      </w:r>
      <w:r w:rsidRPr="0093281B">
        <w:rPr>
          <w:i/>
        </w:rPr>
        <w:t xml:space="preserve"> 79</w:t>
      </w:r>
      <w:r w:rsidRPr="0093281B">
        <w:t xml:space="preserve">(6), 34-49. </w:t>
      </w:r>
    </w:p>
    <w:p w14:paraId="484A5239" w14:textId="77777777" w:rsidR="007D6961" w:rsidRPr="0093281B" w:rsidRDefault="007D6961" w:rsidP="007D6961">
      <w:pPr>
        <w:pStyle w:val="EndNoteBibliography"/>
        <w:ind w:left="567" w:hanging="426"/>
      </w:pPr>
      <w:r w:rsidRPr="0093281B">
        <w:t xml:space="preserve">Rozier, S. (2008). </w:t>
      </w:r>
      <w:r w:rsidRPr="0093281B">
        <w:rPr>
          <w:i/>
        </w:rPr>
        <w:t>Understanding travel promotional narratives: The influence of narrative transportation and skepticism</w:t>
      </w:r>
      <w:r w:rsidRPr="0093281B">
        <w:t xml:space="preserve"> (Publication Number 3314876) [Unpublished doctoral dissertation, University of Illinois at Urbana-Champaign]. ProQuest One Academic. Champaign, IL 61820. </w:t>
      </w:r>
      <w:r w:rsidRPr="00523389">
        <w:t>https://www.proquest.com/dissertations-theses/understanding-travel-promotional-narratives/docview/304605986/se-2?accountid=11862</w:t>
      </w:r>
    </w:p>
    <w:p w14:paraId="66412E3F" w14:textId="77777777" w:rsidR="007D6961" w:rsidRPr="0093281B" w:rsidRDefault="007D6961" w:rsidP="007D6961">
      <w:pPr>
        <w:pStyle w:val="EndNoteBibliography"/>
        <w:ind w:left="567" w:hanging="426"/>
      </w:pPr>
      <w:r w:rsidRPr="00F12F6B">
        <w:rPr>
          <w:lang w:val="nl-NL"/>
        </w:rPr>
        <w:t xml:space="preserve">Rumpf, C., Noël, B., Breuer, C., &amp; Memmert, D. (2015). </w:t>
      </w:r>
      <w:r w:rsidRPr="0093281B">
        <w:t xml:space="preserve">The role of context intensity and working memory capacity in the consumer's processing of brand information in entertainment media. </w:t>
      </w:r>
      <w:r w:rsidRPr="0093281B">
        <w:rPr>
          <w:i/>
        </w:rPr>
        <w:t>Psychology &amp; Marketing</w:t>
      </w:r>
      <w:r w:rsidRPr="0093281B">
        <w:t>,</w:t>
      </w:r>
      <w:r w:rsidRPr="0093281B">
        <w:rPr>
          <w:i/>
        </w:rPr>
        <w:t xml:space="preserve"> 32</w:t>
      </w:r>
      <w:r w:rsidRPr="0093281B">
        <w:t xml:space="preserve">(7), 764-770. </w:t>
      </w:r>
    </w:p>
    <w:p w14:paraId="6D98030C" w14:textId="77777777" w:rsidR="007D6961" w:rsidRPr="0093281B" w:rsidRDefault="007D6961" w:rsidP="007D6961">
      <w:pPr>
        <w:pStyle w:val="EndNoteBibliography"/>
        <w:ind w:left="567" w:hanging="426"/>
      </w:pPr>
      <w:r w:rsidRPr="0093281B">
        <w:t xml:space="preserve">Sarnoff, T. J. (2009). </w:t>
      </w:r>
      <w:r w:rsidRPr="0093281B">
        <w:rPr>
          <w:i/>
        </w:rPr>
        <w:t>Metaphor, cognitive elaboration and persuasion</w:t>
      </w:r>
      <w:r w:rsidRPr="0093281B">
        <w:t xml:space="preserve"> (Publication Number 3386876) [Unpublished doctoral dissertation, The University of Arizona]. ProQuest Dissertations &amp; Theses Global. Tucson, AZ 85721. </w:t>
      </w:r>
      <w:r w:rsidRPr="00523389">
        <w:t>https://www.proquest.com/dissertations-theses/metaphor-cognitive-elaboration-persuasion/docview/304826194/se-2?accountid=11862</w:t>
      </w:r>
    </w:p>
    <w:p w14:paraId="7BB9CD3B" w14:textId="77777777" w:rsidR="007D6961" w:rsidRPr="0093281B" w:rsidRDefault="007D6961" w:rsidP="007D6961">
      <w:pPr>
        <w:pStyle w:val="EndNoteBibliography"/>
        <w:ind w:left="567" w:hanging="426"/>
      </w:pPr>
      <w:r w:rsidRPr="0093281B">
        <w:t xml:space="preserve">Sawyer, A. G., &amp; Howard, D. J. (1991). Effects of omitting conclusions in advertisements to involved and uninvolved audiences. </w:t>
      </w:r>
      <w:r w:rsidRPr="0093281B">
        <w:rPr>
          <w:i/>
        </w:rPr>
        <w:t>Journal of Marketing Research</w:t>
      </w:r>
      <w:r w:rsidRPr="0093281B">
        <w:t>,</w:t>
      </w:r>
      <w:r w:rsidRPr="0093281B">
        <w:rPr>
          <w:i/>
        </w:rPr>
        <w:t xml:space="preserve"> 28</w:t>
      </w:r>
      <w:r w:rsidRPr="0093281B">
        <w:t xml:space="preserve">(4), 467-474. </w:t>
      </w:r>
    </w:p>
    <w:p w14:paraId="2203439A" w14:textId="77777777" w:rsidR="007D6961" w:rsidRPr="0093281B" w:rsidRDefault="007D6961" w:rsidP="007D6961">
      <w:pPr>
        <w:pStyle w:val="EndNoteBibliography"/>
        <w:ind w:left="567" w:hanging="426"/>
      </w:pPr>
      <w:r w:rsidRPr="0093281B">
        <w:t xml:space="preserve">Scheinbaum, A. C., Hampel, S., &amp; Kang, M. (2017). Future developments in IMC: why e-mail with video trumps text-only e-mails for brands. </w:t>
      </w:r>
      <w:r w:rsidRPr="0093281B">
        <w:rPr>
          <w:i/>
        </w:rPr>
        <w:t>European Journal of Marketing</w:t>
      </w:r>
      <w:r w:rsidRPr="0093281B">
        <w:t>,</w:t>
      </w:r>
      <w:r w:rsidRPr="0093281B">
        <w:rPr>
          <w:i/>
        </w:rPr>
        <w:t xml:space="preserve"> 51</w:t>
      </w:r>
      <w:r w:rsidRPr="0093281B">
        <w:t xml:space="preserve">(3), 627-645. </w:t>
      </w:r>
    </w:p>
    <w:p w14:paraId="72452576" w14:textId="77777777" w:rsidR="007D6961" w:rsidRPr="0093281B" w:rsidRDefault="007D6961" w:rsidP="007D6961">
      <w:pPr>
        <w:pStyle w:val="EndNoteBibliography"/>
        <w:ind w:left="567" w:hanging="426"/>
      </w:pPr>
      <w:r w:rsidRPr="0093281B">
        <w:t xml:space="preserve">Schlosser, A. E. (2003). Experiencing products in the virtual world: The role of goal and imagery in influencing attitudes versus purchase intentions. </w:t>
      </w:r>
      <w:r w:rsidRPr="0093281B">
        <w:rPr>
          <w:i/>
        </w:rPr>
        <w:t>Journal of Consumer Research</w:t>
      </w:r>
      <w:r w:rsidRPr="0093281B">
        <w:t>,</w:t>
      </w:r>
      <w:r w:rsidRPr="0093281B">
        <w:rPr>
          <w:i/>
        </w:rPr>
        <w:t xml:space="preserve"> 30</w:t>
      </w:r>
      <w:r w:rsidRPr="0093281B">
        <w:t xml:space="preserve">(2), 184-198. </w:t>
      </w:r>
    </w:p>
    <w:p w14:paraId="61BB1ABF" w14:textId="77777777" w:rsidR="007D6961" w:rsidRPr="0093281B" w:rsidRDefault="007D6961" w:rsidP="007D6961">
      <w:pPr>
        <w:pStyle w:val="EndNoteBibliography"/>
        <w:ind w:left="567" w:hanging="426"/>
      </w:pPr>
      <w:r w:rsidRPr="0093281B">
        <w:t xml:space="preserve">Schlosser, A. E., &amp; Shavitt, S. (2009). The effect of perceived message choice on persuasion. </w:t>
      </w:r>
      <w:r w:rsidRPr="0093281B">
        <w:rPr>
          <w:i/>
        </w:rPr>
        <w:t>Journal of Consumer Psychology</w:t>
      </w:r>
      <w:r w:rsidRPr="0093281B">
        <w:t>,</w:t>
      </w:r>
      <w:r w:rsidRPr="0093281B">
        <w:rPr>
          <w:i/>
        </w:rPr>
        <w:t xml:space="preserve"> 19</w:t>
      </w:r>
      <w:r w:rsidRPr="0093281B">
        <w:t xml:space="preserve">(3), 290-301. </w:t>
      </w:r>
    </w:p>
    <w:p w14:paraId="61FE0D64" w14:textId="77777777" w:rsidR="007D6961" w:rsidRPr="0093281B" w:rsidRDefault="007D6961" w:rsidP="007D6961">
      <w:pPr>
        <w:pStyle w:val="EndNoteBibliography"/>
        <w:ind w:left="567" w:hanging="426"/>
      </w:pPr>
      <w:r w:rsidRPr="0093281B">
        <w:t xml:space="preserve">Schweiger, E. B., Ahlbom, C.-P., Nordfält, J., Roggeveen, A. L., &amp; Grewal, D. (2023). In-store endcap projections and their effect on sales. </w:t>
      </w:r>
      <w:r w:rsidRPr="0093281B">
        <w:rPr>
          <w:i/>
        </w:rPr>
        <w:t>Journal of Retailing</w:t>
      </w:r>
      <w:r w:rsidRPr="0093281B">
        <w:t>,</w:t>
      </w:r>
      <w:r w:rsidRPr="0093281B">
        <w:rPr>
          <w:i/>
        </w:rPr>
        <w:t xml:space="preserve"> 99</w:t>
      </w:r>
      <w:r w:rsidRPr="0093281B">
        <w:t xml:space="preserve">(1), 5-16. </w:t>
      </w:r>
    </w:p>
    <w:p w14:paraId="6A54A6C4" w14:textId="77777777" w:rsidR="007D6961" w:rsidRPr="0093281B" w:rsidRDefault="007D6961" w:rsidP="007D6961">
      <w:pPr>
        <w:pStyle w:val="EndNoteBibliography"/>
        <w:ind w:left="567" w:hanging="426"/>
      </w:pPr>
      <w:r w:rsidRPr="0093281B">
        <w:t xml:space="preserve">Sengupta, J., &amp; Johar, G. V. (2002). Effects of inconsistent attribute information on the predictive value of product attitudes: Toward a resolution of opposing perspectives. </w:t>
      </w:r>
      <w:r w:rsidRPr="0093281B">
        <w:rPr>
          <w:i/>
        </w:rPr>
        <w:t>Journal of Consumer Research</w:t>
      </w:r>
      <w:r w:rsidRPr="0093281B">
        <w:t>,</w:t>
      </w:r>
      <w:r w:rsidRPr="0093281B">
        <w:rPr>
          <w:i/>
        </w:rPr>
        <w:t xml:space="preserve"> 29</w:t>
      </w:r>
      <w:r w:rsidRPr="0093281B">
        <w:t xml:space="preserve">(1), 39-56. </w:t>
      </w:r>
    </w:p>
    <w:p w14:paraId="4C8EAD8E" w14:textId="77777777" w:rsidR="007D6961" w:rsidRPr="0093281B" w:rsidRDefault="007D6961" w:rsidP="007D6961">
      <w:pPr>
        <w:pStyle w:val="EndNoteBibliography"/>
        <w:ind w:left="567" w:hanging="426"/>
      </w:pPr>
      <w:r w:rsidRPr="0093281B">
        <w:t xml:space="preserve">Seo, Y., Li, X., Choi, Y. K., &amp; Yoon, S. (2018). Narrative transportation and paratextual features of social media in viral advertising. </w:t>
      </w:r>
      <w:r w:rsidRPr="0093281B">
        <w:rPr>
          <w:i/>
        </w:rPr>
        <w:t>Journal of Advertising</w:t>
      </w:r>
      <w:r w:rsidRPr="0093281B">
        <w:t>,</w:t>
      </w:r>
      <w:r w:rsidRPr="0093281B">
        <w:rPr>
          <w:i/>
        </w:rPr>
        <w:t xml:space="preserve"> 47</w:t>
      </w:r>
      <w:r w:rsidRPr="0093281B">
        <w:t xml:space="preserve">(1), 83-95. </w:t>
      </w:r>
    </w:p>
    <w:p w14:paraId="18A50032" w14:textId="77777777" w:rsidR="007D6961" w:rsidRPr="0093281B" w:rsidRDefault="007D6961" w:rsidP="007D6961">
      <w:pPr>
        <w:pStyle w:val="EndNoteBibliography"/>
        <w:ind w:left="567" w:hanging="426"/>
      </w:pPr>
      <w:r w:rsidRPr="0093281B">
        <w:t xml:space="preserve">Shiv, B., Edell Britton, J. A., &amp; Payne, J. W. (2004). Does elaboration increase or decrease the effectiveness of negatively versus positively framed messages? </w:t>
      </w:r>
      <w:r w:rsidRPr="0093281B">
        <w:rPr>
          <w:i/>
        </w:rPr>
        <w:t>Journal of Consumer Research</w:t>
      </w:r>
      <w:r w:rsidRPr="0093281B">
        <w:t>,</w:t>
      </w:r>
      <w:r w:rsidRPr="0093281B">
        <w:rPr>
          <w:i/>
        </w:rPr>
        <w:t xml:space="preserve"> 31</w:t>
      </w:r>
      <w:r w:rsidRPr="0093281B">
        <w:t xml:space="preserve">(1), 199-208. </w:t>
      </w:r>
    </w:p>
    <w:p w14:paraId="0D054F51" w14:textId="77777777" w:rsidR="007D6961" w:rsidRPr="0093281B" w:rsidRDefault="007D6961" w:rsidP="007D6961">
      <w:pPr>
        <w:pStyle w:val="EndNoteBibliography"/>
        <w:ind w:left="567" w:hanging="426"/>
      </w:pPr>
      <w:r w:rsidRPr="0093281B">
        <w:t xml:space="preserve">Sicilia, M., &amp; Ruiz, S. (2010). The effect of web-based information availability on consumers' processing and attitudes. </w:t>
      </w:r>
      <w:r w:rsidRPr="0093281B">
        <w:rPr>
          <w:i/>
        </w:rPr>
        <w:t>Journal of Interactive Marketing</w:t>
      </w:r>
      <w:r w:rsidRPr="0093281B">
        <w:t>,</w:t>
      </w:r>
      <w:r w:rsidRPr="0093281B">
        <w:rPr>
          <w:i/>
        </w:rPr>
        <w:t xml:space="preserve"> 24</w:t>
      </w:r>
      <w:r w:rsidRPr="0093281B">
        <w:t xml:space="preserve">(1), 31-41. </w:t>
      </w:r>
    </w:p>
    <w:p w14:paraId="1FC07F0A" w14:textId="77777777" w:rsidR="007D6961" w:rsidRPr="0093281B" w:rsidRDefault="007D6961" w:rsidP="007D6961">
      <w:pPr>
        <w:pStyle w:val="EndNoteBibliography"/>
        <w:ind w:left="567" w:hanging="426"/>
      </w:pPr>
      <w:r w:rsidRPr="0093281B">
        <w:t xml:space="preserve">Sicilia, M., Ruiz, S., &amp; Munuera, J. L. (2005). Effects of interactivity in a web site: The moderating effect of need for cognition. </w:t>
      </w:r>
      <w:r w:rsidRPr="0093281B">
        <w:rPr>
          <w:i/>
        </w:rPr>
        <w:t>Journal of Advertising</w:t>
      </w:r>
      <w:r w:rsidRPr="0093281B">
        <w:t>,</w:t>
      </w:r>
      <w:r w:rsidRPr="0093281B">
        <w:rPr>
          <w:i/>
        </w:rPr>
        <w:t xml:space="preserve"> 34</w:t>
      </w:r>
      <w:r w:rsidRPr="0093281B">
        <w:t xml:space="preserve">(3), 31-44. </w:t>
      </w:r>
    </w:p>
    <w:p w14:paraId="36D66758" w14:textId="77777777" w:rsidR="007D6961" w:rsidRPr="0093281B" w:rsidRDefault="007D6961" w:rsidP="007D6961">
      <w:pPr>
        <w:pStyle w:val="EndNoteBibliography"/>
        <w:ind w:left="567" w:hanging="426"/>
      </w:pPr>
      <w:r w:rsidRPr="0093281B">
        <w:t xml:space="preserve">Simmonds, L., Bogomolova, S., Kennedy, R., Nenycz‐Thiel, M., &amp; Bellman, S. (2020). A dual‐process model of how incorporating audio‐visual sensory cues in video advertising promotes active attention. </w:t>
      </w:r>
      <w:r w:rsidRPr="0093281B">
        <w:rPr>
          <w:i/>
        </w:rPr>
        <w:t>Psychology &amp; Marketing</w:t>
      </w:r>
      <w:r w:rsidRPr="0093281B">
        <w:t>,</w:t>
      </w:r>
      <w:r w:rsidRPr="0093281B">
        <w:rPr>
          <w:i/>
        </w:rPr>
        <w:t xml:space="preserve"> 37</w:t>
      </w:r>
      <w:r w:rsidRPr="0093281B">
        <w:t xml:space="preserve">(8), 1057-1067. </w:t>
      </w:r>
    </w:p>
    <w:p w14:paraId="5A476419" w14:textId="77777777" w:rsidR="007D6961" w:rsidRPr="0093281B" w:rsidRDefault="007D6961" w:rsidP="007D6961">
      <w:pPr>
        <w:pStyle w:val="EndNoteBibliography"/>
        <w:ind w:left="567" w:hanging="426"/>
      </w:pPr>
      <w:r w:rsidRPr="0093281B">
        <w:t xml:space="preserve">Simmons, C. J., &amp; Becker-Olsen, K. L. (2006). Achieving marketing objectives through social sponsorships. </w:t>
      </w:r>
      <w:r w:rsidRPr="0093281B">
        <w:rPr>
          <w:i/>
        </w:rPr>
        <w:t>Journal of Marketing</w:t>
      </w:r>
      <w:r w:rsidRPr="0093281B">
        <w:t>,</w:t>
      </w:r>
      <w:r w:rsidRPr="0093281B">
        <w:rPr>
          <w:i/>
        </w:rPr>
        <w:t xml:space="preserve"> 70</w:t>
      </w:r>
      <w:r w:rsidRPr="0093281B">
        <w:t xml:space="preserve">(4), 154-169. </w:t>
      </w:r>
    </w:p>
    <w:p w14:paraId="7FD7F7B5" w14:textId="77777777" w:rsidR="007D6961" w:rsidRPr="0093281B" w:rsidRDefault="007D6961" w:rsidP="007D6961">
      <w:pPr>
        <w:pStyle w:val="EndNoteBibliography"/>
        <w:ind w:left="567" w:hanging="426"/>
      </w:pPr>
      <w:r w:rsidRPr="0093281B">
        <w:t xml:space="preserve">Sipes, C. A. (2010). </w:t>
      </w:r>
      <w:r w:rsidRPr="0093281B">
        <w:rPr>
          <w:i/>
        </w:rPr>
        <w:t>Examining the effects of message type and framing on transportation, attitudes, and behavioral intentions</w:t>
      </w:r>
      <w:r w:rsidRPr="0093281B">
        <w:t xml:space="preserve"> [Unpublished doctoral dissertation, The Pennsylvania State University]. State College, PA 16801. </w:t>
      </w:r>
    </w:p>
    <w:p w14:paraId="3A7E29C8" w14:textId="22B2ECF1" w:rsidR="001B4CB9" w:rsidRDefault="001B4CB9" w:rsidP="007D6961">
      <w:pPr>
        <w:pStyle w:val="EndNoteBibliography"/>
        <w:ind w:left="567" w:hanging="426"/>
      </w:pPr>
      <w:r w:rsidRPr="001B4CB9">
        <w:rPr>
          <w:lang w:val="en-GB"/>
        </w:rPr>
        <w:t>Slater, M. D., &amp; Rouner, D. (2002). Entertainment—education and elaboration likelihood: Understanding the processing of narrative persuasion. </w:t>
      </w:r>
      <w:r w:rsidRPr="001B4CB9">
        <w:rPr>
          <w:i/>
          <w:iCs/>
          <w:lang w:val="en-GB"/>
        </w:rPr>
        <w:t xml:space="preserve">Communication </w:t>
      </w:r>
      <w:r>
        <w:rPr>
          <w:i/>
          <w:iCs/>
          <w:lang w:val="en-GB"/>
        </w:rPr>
        <w:t>T</w:t>
      </w:r>
      <w:r w:rsidRPr="001B4CB9">
        <w:rPr>
          <w:i/>
          <w:iCs/>
          <w:lang w:val="en-GB"/>
        </w:rPr>
        <w:t>heory</w:t>
      </w:r>
      <w:r w:rsidRPr="001B4CB9">
        <w:rPr>
          <w:lang w:val="en-GB"/>
        </w:rPr>
        <w:t>, </w:t>
      </w:r>
      <w:r w:rsidRPr="001B4CB9">
        <w:rPr>
          <w:i/>
          <w:iCs/>
          <w:lang w:val="en-GB"/>
        </w:rPr>
        <w:t>12</w:t>
      </w:r>
      <w:r w:rsidRPr="001B4CB9">
        <w:rPr>
          <w:lang w:val="en-GB"/>
        </w:rPr>
        <w:t>(2), 173-191.</w:t>
      </w:r>
    </w:p>
    <w:p w14:paraId="1B46D8C9" w14:textId="4C322339" w:rsidR="007D6961" w:rsidRPr="0093281B" w:rsidRDefault="007D6961" w:rsidP="007D6961">
      <w:pPr>
        <w:pStyle w:val="EndNoteBibliography"/>
        <w:ind w:left="567" w:hanging="426"/>
      </w:pPr>
      <w:r w:rsidRPr="0093281B">
        <w:t xml:space="preserve">Solja, E., Liljander, V., &amp; Söderlund, M. (2018). Short brand stories on packaging: An examination of consumer responses. </w:t>
      </w:r>
      <w:r w:rsidRPr="0093281B">
        <w:rPr>
          <w:i/>
        </w:rPr>
        <w:t>Psychology &amp; Marketing</w:t>
      </w:r>
      <w:r w:rsidRPr="0093281B">
        <w:t>,</w:t>
      </w:r>
      <w:r w:rsidRPr="0093281B">
        <w:rPr>
          <w:i/>
        </w:rPr>
        <w:t xml:space="preserve"> 35</w:t>
      </w:r>
      <w:r w:rsidRPr="0093281B">
        <w:t xml:space="preserve">(4), 294-306. </w:t>
      </w:r>
    </w:p>
    <w:p w14:paraId="07F75E94" w14:textId="77777777" w:rsidR="007D6961" w:rsidRPr="0093281B" w:rsidRDefault="007D6961" w:rsidP="007D6961">
      <w:pPr>
        <w:pStyle w:val="EndNoteBibliography"/>
        <w:ind w:left="567" w:hanging="426"/>
      </w:pPr>
      <w:r w:rsidRPr="0093281B">
        <w:t xml:space="preserve">Song, H., Tolochko, P., &amp; Boomgaarden, H. G. (2021). What you expect is (not) what you get: the impact of initial and post-hoc judgments of message characteristics on political information recall. </w:t>
      </w:r>
      <w:r w:rsidRPr="0093281B">
        <w:rPr>
          <w:i/>
        </w:rPr>
        <w:t>Media Psychology</w:t>
      </w:r>
      <w:r w:rsidRPr="0093281B">
        <w:t xml:space="preserve">, 1-27. </w:t>
      </w:r>
    </w:p>
    <w:p w14:paraId="37F41926" w14:textId="77777777" w:rsidR="007D6961" w:rsidRPr="0093281B" w:rsidRDefault="007D6961" w:rsidP="007D6961">
      <w:pPr>
        <w:pStyle w:val="EndNoteBibliography"/>
        <w:ind w:left="567" w:hanging="426"/>
      </w:pPr>
      <w:r w:rsidRPr="0093281B">
        <w:t xml:space="preserve">Stathakopoulos, V., Theodorakis, I. G., &amp; Mastoridou, E. (2008). Visual and verbal rhetoric in advertising: The case of ‘resonance’. </w:t>
      </w:r>
      <w:r w:rsidRPr="0093281B">
        <w:rPr>
          <w:i/>
        </w:rPr>
        <w:t>International Journal of Advertising</w:t>
      </w:r>
      <w:r w:rsidRPr="0093281B">
        <w:t>,</w:t>
      </w:r>
      <w:r w:rsidRPr="0093281B">
        <w:rPr>
          <w:i/>
        </w:rPr>
        <w:t xml:space="preserve"> 27</w:t>
      </w:r>
      <w:r w:rsidRPr="0093281B">
        <w:t xml:space="preserve">(4), 629-658. </w:t>
      </w:r>
    </w:p>
    <w:p w14:paraId="2A75A84A" w14:textId="77777777" w:rsidR="007D6961" w:rsidRPr="0093281B" w:rsidRDefault="007D6961" w:rsidP="007D6961">
      <w:pPr>
        <w:pStyle w:val="EndNoteBibliography"/>
        <w:ind w:left="567" w:hanging="426"/>
      </w:pPr>
      <w:r w:rsidRPr="0093281B">
        <w:t xml:space="preserve">Stella, J. R., &amp; Adam, S. (2008). A reinquiry into the influence of simple and complex tropes in the advertising context. </w:t>
      </w:r>
      <w:r w:rsidRPr="0093281B">
        <w:rPr>
          <w:i/>
        </w:rPr>
        <w:t>Journal of Marketing Theory and Practice</w:t>
      </w:r>
      <w:r w:rsidRPr="0093281B">
        <w:t>,</w:t>
      </w:r>
      <w:r w:rsidRPr="0093281B">
        <w:rPr>
          <w:i/>
        </w:rPr>
        <w:t xml:space="preserve"> 16</w:t>
      </w:r>
      <w:r w:rsidRPr="0093281B">
        <w:t xml:space="preserve">(2), 163-172. </w:t>
      </w:r>
    </w:p>
    <w:p w14:paraId="7EC5DE6B" w14:textId="77777777" w:rsidR="007D6961" w:rsidRPr="0093281B" w:rsidRDefault="007D6961" w:rsidP="007D6961">
      <w:pPr>
        <w:pStyle w:val="EndNoteBibliography"/>
        <w:ind w:left="567" w:hanging="426"/>
      </w:pPr>
      <w:r w:rsidRPr="0093281B">
        <w:t xml:space="preserve">Sternthal, B., Dholakia, R., &amp; Leavitt, C. (1978). The persuasive effect of source credibility: Tests of cognitive response. </w:t>
      </w:r>
      <w:r w:rsidRPr="0093281B">
        <w:rPr>
          <w:i/>
        </w:rPr>
        <w:t>Journal of Consumer Research</w:t>
      </w:r>
      <w:r w:rsidRPr="0093281B">
        <w:t>,</w:t>
      </w:r>
      <w:r w:rsidRPr="0093281B">
        <w:rPr>
          <w:i/>
        </w:rPr>
        <w:t xml:space="preserve"> 4</w:t>
      </w:r>
      <w:r w:rsidRPr="0093281B">
        <w:t xml:space="preserve">(4), 252-260. </w:t>
      </w:r>
    </w:p>
    <w:p w14:paraId="07F2B047" w14:textId="77777777" w:rsidR="007D6961" w:rsidRPr="0093281B" w:rsidRDefault="007D6961" w:rsidP="007D6961">
      <w:pPr>
        <w:pStyle w:val="EndNoteBibliography"/>
        <w:ind w:left="567" w:hanging="426"/>
      </w:pPr>
      <w:r w:rsidRPr="0093281B">
        <w:t xml:space="preserve">Strutton, D., &amp; Roswinanto, W. (2014). Can vague brand slogans promote desirable consumer responses? </w:t>
      </w:r>
      <w:r w:rsidRPr="0093281B">
        <w:rPr>
          <w:i/>
        </w:rPr>
        <w:t>Journal of Product &amp; Brand Management</w:t>
      </w:r>
      <w:r w:rsidRPr="0093281B">
        <w:t>,</w:t>
      </w:r>
      <w:r w:rsidRPr="0093281B">
        <w:rPr>
          <w:i/>
        </w:rPr>
        <w:t xml:space="preserve"> 23</w:t>
      </w:r>
      <w:r w:rsidRPr="0093281B">
        <w:t xml:space="preserve">(4-5), 282-294. </w:t>
      </w:r>
    </w:p>
    <w:p w14:paraId="04613B95" w14:textId="77777777" w:rsidR="007D6961" w:rsidRPr="0093281B" w:rsidRDefault="007D6961" w:rsidP="007D6961">
      <w:pPr>
        <w:pStyle w:val="EndNoteBibliography"/>
        <w:ind w:left="567" w:hanging="426"/>
      </w:pPr>
      <w:r w:rsidRPr="0093281B">
        <w:t xml:space="preserve">Sujan, M. (1985). Consumer knowledge: Effects on evaluation strategies mediating consumer judgments. </w:t>
      </w:r>
      <w:r w:rsidRPr="0093281B">
        <w:rPr>
          <w:i/>
        </w:rPr>
        <w:t>Journal of Consumer Research</w:t>
      </w:r>
      <w:r w:rsidRPr="0093281B">
        <w:t>,</w:t>
      </w:r>
      <w:r w:rsidRPr="0093281B">
        <w:rPr>
          <w:i/>
        </w:rPr>
        <w:t xml:space="preserve"> 12</w:t>
      </w:r>
      <w:r w:rsidRPr="0093281B">
        <w:t xml:space="preserve">(1), 31-46. </w:t>
      </w:r>
    </w:p>
    <w:p w14:paraId="213787EA" w14:textId="77777777" w:rsidR="007D6961" w:rsidRPr="0093281B" w:rsidRDefault="007D6961" w:rsidP="007D6961">
      <w:pPr>
        <w:pStyle w:val="EndNoteBibliography"/>
        <w:ind w:left="567" w:hanging="426"/>
      </w:pPr>
      <w:r w:rsidRPr="0093281B">
        <w:t xml:space="preserve">Sujan, M., Bettman, J. R., &amp; Sujan, H. (1986). Effects of consumer expectations on information processing in selling encounters. </w:t>
      </w:r>
      <w:r w:rsidRPr="0093281B">
        <w:rPr>
          <w:i/>
        </w:rPr>
        <w:t>Journal of Marketing Research</w:t>
      </w:r>
      <w:r w:rsidRPr="0093281B">
        <w:t>,</w:t>
      </w:r>
      <w:r w:rsidRPr="0093281B">
        <w:rPr>
          <w:i/>
        </w:rPr>
        <w:t xml:space="preserve"> 23</w:t>
      </w:r>
      <w:r w:rsidRPr="0093281B">
        <w:t xml:space="preserve">(4), 346-353. </w:t>
      </w:r>
    </w:p>
    <w:p w14:paraId="6A65EC1B" w14:textId="77777777" w:rsidR="007D6961" w:rsidRPr="0093281B" w:rsidRDefault="007D6961" w:rsidP="007D6961">
      <w:pPr>
        <w:pStyle w:val="EndNoteBibliography"/>
        <w:ind w:left="567" w:hanging="426"/>
      </w:pPr>
      <w:r w:rsidRPr="0093281B">
        <w:t xml:space="preserve">Suri, R., &amp; Monroe, K. B. (2003). The effects of time constraints on consumers' judgments of prices and products. </w:t>
      </w:r>
      <w:r w:rsidRPr="0093281B">
        <w:rPr>
          <w:i/>
        </w:rPr>
        <w:t>Journal of Consumer Research</w:t>
      </w:r>
      <w:r w:rsidRPr="0093281B">
        <w:t>,</w:t>
      </w:r>
      <w:r w:rsidRPr="0093281B">
        <w:rPr>
          <w:i/>
        </w:rPr>
        <w:t xml:space="preserve"> 30</w:t>
      </w:r>
      <w:r w:rsidRPr="0093281B">
        <w:t xml:space="preserve">(1), 92-104. </w:t>
      </w:r>
    </w:p>
    <w:p w14:paraId="631FA850" w14:textId="77777777" w:rsidR="007D6961" w:rsidRPr="0093281B" w:rsidRDefault="007D6961" w:rsidP="007D6961">
      <w:pPr>
        <w:pStyle w:val="EndNoteBibliography"/>
        <w:ind w:left="567" w:hanging="426"/>
      </w:pPr>
      <w:r w:rsidRPr="0093281B">
        <w:t xml:space="preserve">Swasy, J. L., &amp; Munch, J. M. (1985). Examining the target of receiver elaborations: Rhetorical question effects on source processing and persuasion. </w:t>
      </w:r>
      <w:r w:rsidRPr="0093281B">
        <w:rPr>
          <w:i/>
        </w:rPr>
        <w:t>Journal of Consumer Research</w:t>
      </w:r>
      <w:r w:rsidRPr="0093281B">
        <w:t>,</w:t>
      </w:r>
      <w:r w:rsidRPr="0093281B">
        <w:rPr>
          <w:i/>
        </w:rPr>
        <w:t xml:space="preserve"> 11</w:t>
      </w:r>
      <w:r w:rsidRPr="0093281B">
        <w:t xml:space="preserve">(4), 877-886. </w:t>
      </w:r>
    </w:p>
    <w:p w14:paraId="50890377" w14:textId="77777777" w:rsidR="007D6961" w:rsidRPr="0093281B" w:rsidRDefault="007D6961" w:rsidP="007D6961">
      <w:pPr>
        <w:pStyle w:val="EndNoteBibliography"/>
        <w:ind w:left="567" w:hanging="426"/>
      </w:pPr>
      <w:r w:rsidRPr="0093281B">
        <w:t xml:space="preserve">Tavassoli, N. T. (1998). Language in multimedia: Interaction of spoken and written information. </w:t>
      </w:r>
      <w:r w:rsidRPr="0093281B">
        <w:rPr>
          <w:i/>
        </w:rPr>
        <w:t>Journal of Consumer Research</w:t>
      </w:r>
      <w:r w:rsidRPr="0093281B">
        <w:t>,</w:t>
      </w:r>
      <w:r w:rsidRPr="0093281B">
        <w:rPr>
          <w:i/>
        </w:rPr>
        <w:t xml:space="preserve"> 25</w:t>
      </w:r>
      <w:r w:rsidRPr="0093281B">
        <w:t xml:space="preserve">(1), 26-37. </w:t>
      </w:r>
    </w:p>
    <w:p w14:paraId="3356D67B" w14:textId="77777777" w:rsidR="007D6961" w:rsidRPr="0093281B" w:rsidRDefault="007D6961" w:rsidP="007D6961">
      <w:pPr>
        <w:pStyle w:val="EndNoteBibliography"/>
        <w:ind w:left="567" w:hanging="426"/>
      </w:pPr>
      <w:r w:rsidRPr="0093281B">
        <w:t xml:space="preserve">Tavassoli, N. T., &amp; Lee, Y. H. (2003). The differential interaction of auditory and visual advertising elements with Chinese and English. </w:t>
      </w:r>
      <w:r w:rsidRPr="0093281B">
        <w:rPr>
          <w:i/>
        </w:rPr>
        <w:t>Journal of Marketing Research</w:t>
      </w:r>
      <w:r w:rsidRPr="0093281B">
        <w:t>,</w:t>
      </w:r>
      <w:r w:rsidRPr="0093281B">
        <w:rPr>
          <w:i/>
        </w:rPr>
        <w:t xml:space="preserve"> 40</w:t>
      </w:r>
      <w:r w:rsidRPr="0093281B">
        <w:t xml:space="preserve">(4), 468-480. </w:t>
      </w:r>
    </w:p>
    <w:p w14:paraId="256EF5E4" w14:textId="77777777" w:rsidR="007D6961" w:rsidRPr="0093281B" w:rsidRDefault="007D6961" w:rsidP="007D6961">
      <w:pPr>
        <w:pStyle w:val="EndNoteBibliography"/>
        <w:ind w:left="567" w:hanging="426"/>
      </w:pPr>
      <w:r w:rsidRPr="0093281B">
        <w:t xml:space="preserve">Tezer, A., Bodur, H. O., &amp; Grohmann, B. (2020). Communicating brand biographies effectively: The role of communication source. </w:t>
      </w:r>
      <w:r w:rsidRPr="0093281B">
        <w:rPr>
          <w:i/>
        </w:rPr>
        <w:t>Journal of the Academy of Marketing Science</w:t>
      </w:r>
      <w:r w:rsidRPr="0093281B">
        <w:t>,</w:t>
      </w:r>
      <w:r w:rsidRPr="0093281B">
        <w:rPr>
          <w:i/>
        </w:rPr>
        <w:t xml:space="preserve"> 48</w:t>
      </w:r>
      <w:r w:rsidRPr="0093281B">
        <w:t xml:space="preserve">(4), 712-733. </w:t>
      </w:r>
    </w:p>
    <w:p w14:paraId="2CDBF110" w14:textId="77777777" w:rsidR="007D6961" w:rsidRPr="0093281B" w:rsidRDefault="007D6961" w:rsidP="007D6961">
      <w:pPr>
        <w:pStyle w:val="EndNoteBibliography"/>
        <w:ind w:left="567" w:hanging="426"/>
      </w:pPr>
      <w:r w:rsidRPr="0093281B">
        <w:t xml:space="preserve">Toncar, M. F., &amp; Munch, J. M. (2001). Consumer responses to tropes in print advertising. </w:t>
      </w:r>
      <w:r w:rsidRPr="0093281B">
        <w:rPr>
          <w:i/>
        </w:rPr>
        <w:t>Journal of Advertising</w:t>
      </w:r>
      <w:r w:rsidRPr="0093281B">
        <w:t>,</w:t>
      </w:r>
      <w:r w:rsidRPr="0093281B">
        <w:rPr>
          <w:i/>
        </w:rPr>
        <w:t xml:space="preserve"> 30</w:t>
      </w:r>
      <w:r w:rsidRPr="0093281B">
        <w:t xml:space="preserve">(1), 55-65. </w:t>
      </w:r>
    </w:p>
    <w:p w14:paraId="0CBBC65C" w14:textId="77777777" w:rsidR="007D6961" w:rsidRPr="0093281B" w:rsidRDefault="007D6961" w:rsidP="007D6961">
      <w:pPr>
        <w:pStyle w:val="EndNoteBibliography"/>
        <w:ind w:left="567" w:hanging="426"/>
      </w:pPr>
      <w:r w:rsidRPr="0093281B">
        <w:t xml:space="preserve">Toncar, M. F., &amp; Munch, J. M. (2003). The influence of simple and complex tropes on believability, importance and memory. </w:t>
      </w:r>
      <w:r w:rsidRPr="0093281B">
        <w:rPr>
          <w:i/>
        </w:rPr>
        <w:t>Journal of Marketing Theory and Practice</w:t>
      </w:r>
      <w:r w:rsidRPr="0093281B">
        <w:t>,</w:t>
      </w:r>
      <w:r w:rsidRPr="0093281B">
        <w:rPr>
          <w:i/>
        </w:rPr>
        <w:t xml:space="preserve"> 11</w:t>
      </w:r>
      <w:r w:rsidRPr="0093281B">
        <w:t xml:space="preserve">(4), 39-53. </w:t>
      </w:r>
    </w:p>
    <w:p w14:paraId="1AB57F35" w14:textId="77777777" w:rsidR="007D6961" w:rsidRPr="0093281B" w:rsidRDefault="007D6961" w:rsidP="007D6961">
      <w:pPr>
        <w:pStyle w:val="EndNoteBibliography"/>
        <w:ind w:left="567" w:hanging="426"/>
      </w:pPr>
      <w:r w:rsidRPr="0093281B">
        <w:t xml:space="preserve">Tormala, Z. L., &amp; Petty, R. E. (2004). Source credibility and attitude certainty: A metacognitive analysis of resistance to persuasion. </w:t>
      </w:r>
      <w:r w:rsidRPr="0093281B">
        <w:rPr>
          <w:i/>
        </w:rPr>
        <w:t>Journal of Consumer Psychology</w:t>
      </w:r>
      <w:r w:rsidRPr="0093281B">
        <w:t>,</w:t>
      </w:r>
      <w:r w:rsidRPr="0093281B">
        <w:rPr>
          <w:i/>
        </w:rPr>
        <w:t xml:space="preserve"> 14</w:t>
      </w:r>
      <w:r w:rsidRPr="0093281B">
        <w:t xml:space="preserve">(4), 427-442. </w:t>
      </w:r>
    </w:p>
    <w:p w14:paraId="3FDDC82E" w14:textId="77777777" w:rsidR="007D6961" w:rsidRPr="0093281B" w:rsidRDefault="007D6961" w:rsidP="007D6961">
      <w:pPr>
        <w:pStyle w:val="EndNoteBibliography"/>
        <w:ind w:left="567" w:hanging="426"/>
      </w:pPr>
      <w:r w:rsidRPr="0093281B">
        <w:t xml:space="preserve">Unnava, H. R., Burnkrant, R. E., &amp; Erevelles, S. (1994). Effects of presentation order and communication modality on recall and attitude. </w:t>
      </w:r>
      <w:r w:rsidRPr="0093281B">
        <w:rPr>
          <w:i/>
        </w:rPr>
        <w:t>Journal of Consumer Research</w:t>
      </w:r>
      <w:r w:rsidRPr="0093281B">
        <w:t>,</w:t>
      </w:r>
      <w:r w:rsidRPr="0093281B">
        <w:rPr>
          <w:i/>
        </w:rPr>
        <w:t xml:space="preserve"> 21</w:t>
      </w:r>
      <w:r w:rsidRPr="0093281B">
        <w:t xml:space="preserve">(3), 481-490. </w:t>
      </w:r>
    </w:p>
    <w:p w14:paraId="3A5561D5" w14:textId="77777777" w:rsidR="007D6961" w:rsidRPr="0093281B" w:rsidRDefault="007D6961" w:rsidP="007D6961">
      <w:pPr>
        <w:pStyle w:val="EndNoteBibliography"/>
        <w:ind w:left="567" w:hanging="426"/>
      </w:pPr>
      <w:r w:rsidRPr="0093281B">
        <w:t xml:space="preserve">Vafeiadis, M. (2017). </w:t>
      </w:r>
      <w:r w:rsidRPr="0093281B">
        <w:rPr>
          <w:i/>
        </w:rPr>
        <w:t>The Role of Narratives, Frames and Visuals in Health Behavior Promotion: Increasing Public Awareness in the Era of Information Overload</w:t>
      </w:r>
      <w:r w:rsidRPr="0093281B">
        <w:t xml:space="preserve"> [Unpublished doctoral dissertation, The Pennsylvania State University]. State College, PA 16801. </w:t>
      </w:r>
      <w:r w:rsidRPr="00523389">
        <w:t>https://www.proquest.com/dissertations-theses/role-narratives-frames-visuals-health-behavior/docview/2448645138/se-2?accountid=11862</w:t>
      </w:r>
    </w:p>
    <w:p w14:paraId="7896E90A" w14:textId="77777777" w:rsidR="007D6961" w:rsidRPr="0093281B" w:rsidRDefault="007D6961" w:rsidP="007D6961">
      <w:pPr>
        <w:pStyle w:val="EndNoteBibliography"/>
        <w:ind w:left="567" w:hanging="426"/>
      </w:pPr>
      <w:r w:rsidRPr="00F12F6B">
        <w:rPr>
          <w:lang w:val="nl-NL"/>
        </w:rPr>
        <w:t xml:space="preserve">van Laer, T., &amp; de Ruyter, K. (2010). </w:t>
      </w:r>
      <w:r w:rsidRPr="0093281B">
        <w:t xml:space="preserve">In stories we trust: How narrative apologies provide cover for competitive vulnerability after integrity-violating blog posts. </w:t>
      </w:r>
      <w:r w:rsidRPr="0093281B">
        <w:rPr>
          <w:i/>
        </w:rPr>
        <w:t>International Journal of Research in Marketing</w:t>
      </w:r>
      <w:r w:rsidRPr="0093281B">
        <w:t>,</w:t>
      </w:r>
      <w:r w:rsidRPr="0093281B">
        <w:rPr>
          <w:i/>
        </w:rPr>
        <w:t xml:space="preserve"> 27</w:t>
      </w:r>
      <w:r w:rsidRPr="0093281B">
        <w:t xml:space="preserve">(2), 164-174. </w:t>
      </w:r>
    </w:p>
    <w:p w14:paraId="50771B78" w14:textId="77777777" w:rsidR="007D6961" w:rsidRPr="0093281B" w:rsidRDefault="007D6961" w:rsidP="007D6961">
      <w:pPr>
        <w:pStyle w:val="EndNoteBibliography"/>
        <w:ind w:left="567" w:hanging="426"/>
      </w:pPr>
      <w:r w:rsidRPr="0093281B">
        <w:t xml:space="preserve">van Laer, T., de Ruyter, K., &amp; Cox, D. (2013). A walk in customers' shoes: How attentional bias modification affects ownership of integrity-violating social media posts. </w:t>
      </w:r>
      <w:r w:rsidRPr="0093281B">
        <w:rPr>
          <w:i/>
        </w:rPr>
        <w:t>Journal of Interactive Marketing</w:t>
      </w:r>
      <w:r w:rsidRPr="0093281B">
        <w:t>,</w:t>
      </w:r>
      <w:r w:rsidRPr="0093281B">
        <w:rPr>
          <w:i/>
        </w:rPr>
        <w:t xml:space="preserve"> 27</w:t>
      </w:r>
      <w:r w:rsidRPr="0093281B">
        <w:t xml:space="preserve">(1), 14-27. </w:t>
      </w:r>
    </w:p>
    <w:p w14:paraId="0465A7BC" w14:textId="77777777" w:rsidR="007D6961" w:rsidRPr="0093281B" w:rsidRDefault="007D6961" w:rsidP="007D6961">
      <w:pPr>
        <w:pStyle w:val="EndNoteBibliography"/>
        <w:ind w:left="567" w:hanging="426"/>
      </w:pPr>
      <w:r w:rsidRPr="0093281B">
        <w:t xml:space="preserve">van Laer, T., Edson Escalas, J., Ludwig, S., &amp; Van Den Hende, E. A. (2019). What happens in Vegas stays on TripAdvisor? A theory and technique to understand narrativity in consumer reviews. </w:t>
      </w:r>
      <w:r w:rsidRPr="0093281B">
        <w:rPr>
          <w:i/>
        </w:rPr>
        <w:t>Journal of Consumer Research</w:t>
      </w:r>
      <w:r w:rsidRPr="0093281B">
        <w:t>,</w:t>
      </w:r>
      <w:r w:rsidRPr="0093281B">
        <w:rPr>
          <w:i/>
        </w:rPr>
        <w:t xml:space="preserve"> 46</w:t>
      </w:r>
      <w:r w:rsidRPr="0093281B">
        <w:t xml:space="preserve">(2), 267-285. </w:t>
      </w:r>
    </w:p>
    <w:p w14:paraId="4AE0824E" w14:textId="77777777" w:rsidR="007D6961" w:rsidRPr="0093281B" w:rsidRDefault="007D6961" w:rsidP="007D6961">
      <w:pPr>
        <w:pStyle w:val="EndNoteBibliography"/>
        <w:ind w:left="567" w:hanging="426"/>
      </w:pPr>
      <w:r w:rsidRPr="0093281B">
        <w:t xml:space="preserve">Van Stee, S. K. (2012). </w:t>
      </w:r>
      <w:r w:rsidRPr="0093281B">
        <w:rPr>
          <w:i/>
        </w:rPr>
        <w:t>Cognitive processing, persuasive outcomes, and theoretical explanations for the effects of metaphor use and message format in condom use messages</w:t>
      </w:r>
      <w:r w:rsidRPr="0093281B">
        <w:t xml:space="preserve"> (Publication Number 3579363) [Unpublished doctoral dissertation, University of Kentucky]. ProQuest Dissertations &amp; Theses Global. Lexington, KY 40506. </w:t>
      </w:r>
      <w:r w:rsidRPr="00523389">
        <w:t>https://www.proquest.com/dissertations-theses/cognitive-processing-persuasive-outcomes/docview/1507462430/se-2?accountid=11862</w:t>
      </w:r>
    </w:p>
    <w:p w14:paraId="21F3CE38" w14:textId="77777777" w:rsidR="007D6961" w:rsidRPr="0093281B" w:rsidRDefault="007D6961" w:rsidP="007D6961">
      <w:pPr>
        <w:pStyle w:val="EndNoteBibliography"/>
        <w:ind w:left="567" w:hanging="426"/>
      </w:pPr>
      <w:r w:rsidRPr="0093281B">
        <w:t xml:space="preserve">Voss, K. E. (2009). Using humor in conjunction with negative consequences in advertising. </w:t>
      </w:r>
      <w:r w:rsidRPr="0093281B">
        <w:rPr>
          <w:i/>
        </w:rPr>
        <w:t>Journal of Current Issues &amp; Research in Advertising</w:t>
      </w:r>
      <w:r w:rsidRPr="0093281B">
        <w:t>,</w:t>
      </w:r>
      <w:r w:rsidRPr="0093281B">
        <w:rPr>
          <w:i/>
        </w:rPr>
        <w:t xml:space="preserve"> 31</w:t>
      </w:r>
      <w:r w:rsidRPr="0093281B">
        <w:t xml:space="preserve">(2), 25-39. </w:t>
      </w:r>
    </w:p>
    <w:p w14:paraId="213AF2B1" w14:textId="77777777" w:rsidR="007D6961" w:rsidRPr="0093281B" w:rsidRDefault="007D6961" w:rsidP="007D6961">
      <w:pPr>
        <w:pStyle w:val="EndNoteBibliography"/>
        <w:ind w:left="567" w:hanging="426"/>
      </w:pPr>
      <w:r w:rsidRPr="0093281B">
        <w:t xml:space="preserve">Wan, E. W., Rucker, D. D., Tormala, Z. L., &amp; Clarkson, J. J. (2010). The effect of regulatory depletion on attitude certainty. </w:t>
      </w:r>
      <w:r w:rsidRPr="0093281B">
        <w:rPr>
          <w:i/>
        </w:rPr>
        <w:t>Journal of Marketing Research</w:t>
      </w:r>
      <w:r w:rsidRPr="0093281B">
        <w:t>,</w:t>
      </w:r>
      <w:r w:rsidRPr="0093281B">
        <w:rPr>
          <w:i/>
        </w:rPr>
        <w:t xml:space="preserve"> 47</w:t>
      </w:r>
      <w:r w:rsidRPr="0093281B">
        <w:t xml:space="preserve">(3), 531-541. </w:t>
      </w:r>
    </w:p>
    <w:p w14:paraId="6D7D3A8D" w14:textId="77777777" w:rsidR="007D6961" w:rsidRPr="0093281B" w:rsidRDefault="007D6961" w:rsidP="007D6961">
      <w:pPr>
        <w:pStyle w:val="EndNoteBibliography"/>
        <w:ind w:left="567" w:hanging="426"/>
      </w:pPr>
      <w:r w:rsidRPr="0093281B">
        <w:t xml:space="preserve">Wang, A. (2006). Advertising engagement: A driver of message involvement on message effects. </w:t>
      </w:r>
      <w:r w:rsidRPr="0093281B">
        <w:rPr>
          <w:i/>
        </w:rPr>
        <w:t>Journal of Advertising Research</w:t>
      </w:r>
      <w:r w:rsidRPr="0093281B">
        <w:t>,</w:t>
      </w:r>
      <w:r w:rsidRPr="0093281B">
        <w:rPr>
          <w:i/>
        </w:rPr>
        <w:t xml:space="preserve"> 46</w:t>
      </w:r>
      <w:r w:rsidRPr="0093281B">
        <w:t xml:space="preserve">(4), 355-368. </w:t>
      </w:r>
    </w:p>
    <w:p w14:paraId="783C33A6" w14:textId="77777777" w:rsidR="007D6961" w:rsidRPr="0093281B" w:rsidRDefault="007D6961" w:rsidP="007D6961">
      <w:pPr>
        <w:pStyle w:val="EndNoteBibliography"/>
        <w:ind w:left="567" w:hanging="426"/>
      </w:pPr>
      <w:r w:rsidRPr="0093281B">
        <w:t xml:space="preserve">Wang, J., &amp; Calder, B. J. (2006). Media transportation and advertising. </w:t>
      </w:r>
      <w:r w:rsidRPr="0093281B">
        <w:rPr>
          <w:i/>
        </w:rPr>
        <w:t>Journal of Consumer Research</w:t>
      </w:r>
      <w:r w:rsidRPr="0093281B">
        <w:t>,</w:t>
      </w:r>
      <w:r w:rsidRPr="0093281B">
        <w:rPr>
          <w:i/>
        </w:rPr>
        <w:t xml:space="preserve"> 33</w:t>
      </w:r>
      <w:r w:rsidRPr="0093281B">
        <w:t xml:space="preserve">(2), 151-162. </w:t>
      </w:r>
    </w:p>
    <w:p w14:paraId="38964E08" w14:textId="3957ECC6" w:rsidR="007D6961" w:rsidRPr="0093281B" w:rsidRDefault="007D6961" w:rsidP="007D6961">
      <w:pPr>
        <w:pStyle w:val="EndNoteBibliography"/>
        <w:ind w:left="567" w:hanging="426"/>
      </w:pPr>
      <w:r w:rsidRPr="0093281B">
        <w:t xml:space="preserve">Wang, L., Chan, E. Y., Chen, H., Lin, H., &amp; Shi, X. (2021). When the “Charm of </w:t>
      </w:r>
      <w:r w:rsidR="0048698C">
        <w:t>t</w:t>
      </w:r>
      <w:r w:rsidRPr="0093281B">
        <w:t xml:space="preserve">hree” </w:t>
      </w:r>
      <w:r w:rsidR="0048698C">
        <w:t>f</w:t>
      </w:r>
      <w:r w:rsidRPr="0093281B">
        <w:t xml:space="preserve">ades: Mental </w:t>
      </w:r>
      <w:r w:rsidR="0048698C">
        <w:t>i</w:t>
      </w:r>
      <w:r w:rsidRPr="0093281B">
        <w:t xml:space="preserve">magery </w:t>
      </w:r>
      <w:r w:rsidR="0048698C">
        <w:t>m</w:t>
      </w:r>
      <w:r w:rsidRPr="0093281B">
        <w:t xml:space="preserve">oderates the </w:t>
      </w:r>
      <w:r w:rsidR="0048698C">
        <w:t>i</w:t>
      </w:r>
      <w:r w:rsidRPr="0093281B">
        <w:t xml:space="preserve">mpact of the </w:t>
      </w:r>
      <w:r w:rsidR="0048698C">
        <w:t>n</w:t>
      </w:r>
      <w:r w:rsidRPr="0093281B">
        <w:t xml:space="preserve">umber of </w:t>
      </w:r>
      <w:r w:rsidR="0048698C">
        <w:t>a</w:t>
      </w:r>
      <w:r w:rsidRPr="0093281B">
        <w:t xml:space="preserve">d </w:t>
      </w:r>
      <w:r w:rsidR="0048698C">
        <w:t>c</w:t>
      </w:r>
      <w:r w:rsidRPr="0093281B">
        <w:t xml:space="preserve">laims on </w:t>
      </w:r>
      <w:r w:rsidR="0048698C">
        <w:t>p</w:t>
      </w:r>
      <w:r w:rsidRPr="0093281B">
        <w:t xml:space="preserve">ersuasion. </w:t>
      </w:r>
      <w:r w:rsidRPr="0093281B">
        <w:rPr>
          <w:i/>
        </w:rPr>
        <w:t>Journal of Consumer Psychology</w:t>
      </w:r>
      <w:r w:rsidRPr="0093281B">
        <w:t xml:space="preserve">, 1-8. </w:t>
      </w:r>
    </w:p>
    <w:p w14:paraId="793C63F1" w14:textId="77777777" w:rsidR="007D6961" w:rsidRPr="0093281B" w:rsidRDefault="007D6961" w:rsidP="007D6961">
      <w:pPr>
        <w:pStyle w:val="EndNoteBibliography"/>
        <w:ind w:left="567" w:hanging="426"/>
      </w:pPr>
      <w:r w:rsidRPr="0093281B">
        <w:t xml:space="preserve">Wentzel, D., Tomczak, T., &amp; Herrmann, A. (2010). The moderating effect of manipulative intent and cognitive resources on the evaluation of narrative ads. </w:t>
      </w:r>
      <w:r w:rsidRPr="0093281B">
        <w:rPr>
          <w:i/>
        </w:rPr>
        <w:t>Psychology &amp; Marketing</w:t>
      </w:r>
      <w:r w:rsidRPr="0093281B">
        <w:t>,</w:t>
      </w:r>
      <w:r w:rsidRPr="0093281B">
        <w:rPr>
          <w:i/>
        </w:rPr>
        <w:t xml:space="preserve"> 27</w:t>
      </w:r>
      <w:r w:rsidRPr="0093281B">
        <w:t xml:space="preserve">(5), 510-530. </w:t>
      </w:r>
    </w:p>
    <w:p w14:paraId="1CD308FE" w14:textId="77777777" w:rsidR="007D6961" w:rsidRPr="0093281B" w:rsidRDefault="007D6961" w:rsidP="007D6961">
      <w:pPr>
        <w:pStyle w:val="EndNoteBibliography"/>
        <w:ind w:left="567" w:hanging="426"/>
      </w:pPr>
      <w:r w:rsidRPr="0093281B">
        <w:t xml:space="preserve">West, P. M., Huber, J., &amp; Min, K. S. (2004). Altering experienced utility: The impact of story writing and self-referencing on preferences. </w:t>
      </w:r>
      <w:r w:rsidRPr="0093281B">
        <w:rPr>
          <w:i/>
        </w:rPr>
        <w:t>Journal of Consumer Research</w:t>
      </w:r>
      <w:r w:rsidRPr="0093281B">
        <w:t>,</w:t>
      </w:r>
      <w:r w:rsidRPr="0093281B">
        <w:rPr>
          <w:i/>
        </w:rPr>
        <w:t xml:space="preserve"> 31</w:t>
      </w:r>
      <w:r w:rsidRPr="0093281B">
        <w:t xml:space="preserve">(3), 623-630. </w:t>
      </w:r>
    </w:p>
    <w:p w14:paraId="670CB63D" w14:textId="77777777" w:rsidR="007D6961" w:rsidRPr="0093281B" w:rsidRDefault="007D6961" w:rsidP="007D6961">
      <w:pPr>
        <w:pStyle w:val="EndNoteBibliography"/>
        <w:ind w:left="567" w:hanging="426"/>
      </w:pPr>
      <w:r w:rsidRPr="0093281B">
        <w:t xml:space="preserve">Wheeler, S. C. (2001). </w:t>
      </w:r>
      <w:r w:rsidRPr="0093281B">
        <w:rPr>
          <w:i/>
        </w:rPr>
        <w:t>Personality schemata and attitude change: Self -schema matching can increase elaboration of persuasive messages</w:t>
      </w:r>
      <w:r w:rsidRPr="0093281B">
        <w:t xml:space="preserve"> (Publication Number 3022602) [Unpublished doctoral dissertation, The Ohio State University]. ProQuest One Academic. Columbus, OH 43210. </w:t>
      </w:r>
      <w:r w:rsidRPr="00523389">
        <w:t>https://www.proquest.com/dissertations-theses/personality-schemata-attitude-change-self-schema/docview/251653766/se-2?accountid=11862</w:t>
      </w:r>
    </w:p>
    <w:p w14:paraId="6DB82450" w14:textId="77777777" w:rsidR="007D6961" w:rsidRPr="0093281B" w:rsidRDefault="007D6961" w:rsidP="007D6961">
      <w:pPr>
        <w:pStyle w:val="EndNoteBibliography"/>
        <w:ind w:left="567" w:hanging="426"/>
      </w:pPr>
      <w:r w:rsidRPr="0093281B">
        <w:t xml:space="preserve">White, K., &amp; Willness, C. (2009). Consumer reactions to the decreased usage message: The role of elaborative processing. </w:t>
      </w:r>
      <w:r w:rsidRPr="0093281B">
        <w:rPr>
          <w:i/>
        </w:rPr>
        <w:t>Journal of Consumer Psychology</w:t>
      </w:r>
      <w:r w:rsidRPr="0093281B">
        <w:t>,</w:t>
      </w:r>
      <w:r w:rsidRPr="0093281B">
        <w:rPr>
          <w:i/>
        </w:rPr>
        <w:t xml:space="preserve"> 19</w:t>
      </w:r>
      <w:r w:rsidRPr="0093281B">
        <w:t xml:space="preserve">(1), 73-87. </w:t>
      </w:r>
    </w:p>
    <w:p w14:paraId="4C560F51" w14:textId="77777777" w:rsidR="007D6961" w:rsidRPr="00F12F6B" w:rsidRDefault="007D6961" w:rsidP="007D6961">
      <w:pPr>
        <w:pStyle w:val="EndNoteBibliography"/>
        <w:ind w:left="567" w:hanging="426"/>
        <w:rPr>
          <w:lang w:val="nl-NL"/>
        </w:rPr>
      </w:pPr>
      <w:r w:rsidRPr="0093281B">
        <w:t xml:space="preserve">Whittler, T. E. (1989). Viewers' processing of actor's race and message claims in advertising stimuli. </w:t>
      </w:r>
      <w:r w:rsidRPr="00F12F6B">
        <w:rPr>
          <w:i/>
          <w:lang w:val="nl-NL"/>
        </w:rPr>
        <w:t>Psychology &amp; Marketing</w:t>
      </w:r>
      <w:r w:rsidRPr="00F12F6B">
        <w:rPr>
          <w:lang w:val="nl-NL"/>
        </w:rPr>
        <w:t>,</w:t>
      </w:r>
      <w:r w:rsidRPr="00F12F6B">
        <w:rPr>
          <w:i/>
          <w:lang w:val="nl-NL"/>
        </w:rPr>
        <w:t xml:space="preserve"> 6</w:t>
      </w:r>
      <w:r w:rsidRPr="00F12F6B">
        <w:rPr>
          <w:lang w:val="nl-NL"/>
        </w:rPr>
        <w:t xml:space="preserve">(4), 287-309. </w:t>
      </w:r>
    </w:p>
    <w:p w14:paraId="1C9672D1" w14:textId="77777777" w:rsidR="007D6961" w:rsidRPr="0093281B" w:rsidRDefault="007D6961" w:rsidP="007D6961">
      <w:pPr>
        <w:pStyle w:val="EndNoteBibliography"/>
        <w:ind w:left="567" w:hanging="426"/>
      </w:pPr>
      <w:r w:rsidRPr="00F12F6B">
        <w:rPr>
          <w:lang w:val="nl-NL"/>
        </w:rPr>
        <w:t xml:space="preserve">Winkler, J. R., Appel, M., Schmidt, M.-L. C., &amp; Richter, T. (2023). </w:t>
      </w:r>
      <w:r w:rsidRPr="0093281B">
        <w:t xml:space="preserve">The experience of emotional shifts in narrative persuasion. </w:t>
      </w:r>
      <w:r w:rsidRPr="0093281B">
        <w:rPr>
          <w:i/>
        </w:rPr>
        <w:t>Media Psychology</w:t>
      </w:r>
      <w:r w:rsidRPr="0093281B">
        <w:t>,</w:t>
      </w:r>
      <w:r w:rsidRPr="0093281B">
        <w:rPr>
          <w:i/>
        </w:rPr>
        <w:t xml:space="preserve"> 26</w:t>
      </w:r>
      <w:r w:rsidRPr="0093281B">
        <w:t xml:space="preserve">(2), 141-171. </w:t>
      </w:r>
    </w:p>
    <w:p w14:paraId="52BF6DFA" w14:textId="77777777" w:rsidR="007D6961" w:rsidRPr="0093281B" w:rsidRDefault="007D6961" w:rsidP="007D6961">
      <w:pPr>
        <w:pStyle w:val="EndNoteBibliography"/>
        <w:ind w:left="567" w:hanging="426"/>
      </w:pPr>
      <w:r w:rsidRPr="0093281B">
        <w:t xml:space="preserve">Wu, C., &amp; Shaffer, D. R. (1987). Susceptibility to persuasive appeals as a function of source credibility and prior experience with the attitude object. </w:t>
      </w:r>
      <w:r w:rsidRPr="0093281B">
        <w:rPr>
          <w:i/>
        </w:rPr>
        <w:t>Journal of Personality and Social Psychology</w:t>
      </w:r>
      <w:r w:rsidRPr="0093281B">
        <w:t>,</w:t>
      </w:r>
      <w:r w:rsidRPr="0093281B">
        <w:rPr>
          <w:i/>
        </w:rPr>
        <w:t xml:space="preserve"> 52</w:t>
      </w:r>
      <w:r w:rsidRPr="0093281B">
        <w:t xml:space="preserve">(4), 677-688. </w:t>
      </w:r>
    </w:p>
    <w:p w14:paraId="14EAF68D" w14:textId="77777777" w:rsidR="007D6961" w:rsidRPr="0093281B" w:rsidRDefault="007D6961" w:rsidP="007D6961">
      <w:pPr>
        <w:pStyle w:val="EndNoteBibliography"/>
        <w:ind w:left="567" w:hanging="426"/>
      </w:pPr>
      <w:r w:rsidRPr="0093281B">
        <w:t xml:space="preserve">Yoon, H. J., &amp; Mark Mayer, J. (2014). Do humour and threat work well together? The moderating effect of need for cognition in humorous threat persuasion advertisements. </w:t>
      </w:r>
      <w:r w:rsidRPr="0093281B">
        <w:rPr>
          <w:i/>
        </w:rPr>
        <w:t>International Journal of Advertising</w:t>
      </w:r>
      <w:r w:rsidRPr="0093281B">
        <w:t>,</w:t>
      </w:r>
      <w:r w:rsidRPr="0093281B">
        <w:rPr>
          <w:i/>
        </w:rPr>
        <w:t xml:space="preserve"> 33</w:t>
      </w:r>
      <w:r w:rsidRPr="0093281B">
        <w:t xml:space="preserve">(4), 725-740. </w:t>
      </w:r>
    </w:p>
    <w:p w14:paraId="150133D3" w14:textId="77777777" w:rsidR="007D6961" w:rsidRPr="0093281B" w:rsidRDefault="007D6961" w:rsidP="007D6961">
      <w:pPr>
        <w:pStyle w:val="EndNoteBibliography"/>
        <w:ind w:left="567" w:hanging="426"/>
      </w:pPr>
      <w:r w:rsidRPr="0093281B">
        <w:t xml:space="preserve">Zhang, Y., &amp; Zinkhan, G. M. (2006). Responses to humorous ads - Does audience involvement matter? </w:t>
      </w:r>
      <w:r w:rsidRPr="0093281B">
        <w:rPr>
          <w:i/>
        </w:rPr>
        <w:t>Journal of Advertising</w:t>
      </w:r>
      <w:r w:rsidRPr="0093281B">
        <w:t>,</w:t>
      </w:r>
      <w:r w:rsidRPr="0093281B">
        <w:rPr>
          <w:i/>
        </w:rPr>
        <w:t xml:space="preserve"> 35</w:t>
      </w:r>
      <w:r w:rsidRPr="0093281B">
        <w:t xml:space="preserve">(4), 113-127. </w:t>
      </w:r>
    </w:p>
    <w:p w14:paraId="6A2DECC2" w14:textId="77777777" w:rsidR="007D6961" w:rsidRPr="0093281B" w:rsidRDefault="007D6961" w:rsidP="007D6961">
      <w:pPr>
        <w:pStyle w:val="EndNoteBibliography"/>
        <w:ind w:left="567" w:hanging="426"/>
      </w:pPr>
      <w:r w:rsidRPr="0093281B">
        <w:t xml:space="preserve">Zhao, M., Hoeffler, S., &amp; Zauberman, G. (2011). Mental simulation and product evaluation: The affective and cognitive dimensions of process versus outcome simulation. </w:t>
      </w:r>
      <w:r w:rsidRPr="0093281B">
        <w:rPr>
          <w:i/>
        </w:rPr>
        <w:t>Journal of Marketing Research</w:t>
      </w:r>
      <w:r w:rsidRPr="0093281B">
        <w:t>,</w:t>
      </w:r>
      <w:r w:rsidRPr="0093281B">
        <w:rPr>
          <w:i/>
        </w:rPr>
        <w:t xml:space="preserve"> 48</w:t>
      </w:r>
      <w:r w:rsidRPr="0093281B">
        <w:t xml:space="preserve">(5), 827-839. </w:t>
      </w:r>
    </w:p>
    <w:p w14:paraId="127E0C34" w14:textId="116CEB4A" w:rsidR="00CE1A49" w:rsidRPr="007D6961" w:rsidRDefault="007D6961" w:rsidP="007D6961">
      <w:pPr>
        <w:pStyle w:val="EndNoteBibliography"/>
        <w:ind w:left="567" w:hanging="426"/>
      </w:pPr>
      <w:r w:rsidRPr="0093281B">
        <w:t xml:space="preserve">Zheng, L. (2010). </w:t>
      </w:r>
      <w:r w:rsidRPr="0093281B">
        <w:rPr>
          <w:i/>
        </w:rPr>
        <w:t>The impact of narrative focus, vividness of product depiction, mental imagery ability, and need for cognition on transportation in narrative advertising</w:t>
      </w:r>
      <w:r w:rsidRPr="0093281B">
        <w:t xml:space="preserve"> (Publication Number 3422988) [Unpublished doctoral dissertation, The University of Alabama]. ProQuest One Academic. Tuscaloosa, AL 35487. </w:t>
      </w:r>
      <w:r w:rsidRPr="00523389">
        <w:t>https://www.proquest.com/dissertations-theses/impact-narrative-focus-vividness-product/docview/757693395/se-2?accountid=11862</w:t>
      </w:r>
    </w:p>
    <w:sectPr w:rsidR="00CE1A49" w:rsidRPr="007D6961" w:rsidSect="00CA2C63">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5CA9A" w14:textId="77777777" w:rsidR="00D5604F" w:rsidRDefault="00D5604F">
      <w:pPr>
        <w:spacing w:line="240" w:lineRule="auto"/>
      </w:pPr>
      <w:r>
        <w:separator/>
      </w:r>
    </w:p>
  </w:endnote>
  <w:endnote w:type="continuationSeparator" w:id="0">
    <w:p w14:paraId="1D8D485E" w14:textId="77777777" w:rsidR="00D5604F" w:rsidRDefault="00D560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EAE7A" w14:textId="77777777" w:rsidR="00D5604F" w:rsidRDefault="00D5604F">
      <w:pPr>
        <w:spacing w:line="240" w:lineRule="auto"/>
      </w:pPr>
      <w:r>
        <w:separator/>
      </w:r>
    </w:p>
  </w:footnote>
  <w:footnote w:type="continuationSeparator" w:id="0">
    <w:p w14:paraId="5A49DF41" w14:textId="77777777" w:rsidR="00D5604F" w:rsidRDefault="00D560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AF548" w14:textId="18E0CD65" w:rsidR="000042B8" w:rsidRDefault="000042B8" w:rsidP="00CA2C6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658939"/>
      <w:docPartObj>
        <w:docPartGallery w:val="Page Numbers (Top of Page)"/>
        <w:docPartUnique/>
      </w:docPartObj>
    </w:sdtPr>
    <w:sdtEndPr>
      <w:rPr>
        <w:noProof/>
      </w:rPr>
    </w:sdtEndPr>
    <w:sdtContent>
      <w:p w14:paraId="60F455DD" w14:textId="1B61589C" w:rsidR="00213201" w:rsidRDefault="00213201" w:rsidP="00CA2C63">
        <w:pPr>
          <w:pStyle w:val="Header"/>
          <w:jc w:val="right"/>
        </w:pPr>
        <w:r>
          <w:fldChar w:fldCharType="begin"/>
        </w:r>
        <w:r>
          <w:instrText xml:space="preserve"> PAGE   \* MERGEFORMAT </w:instrText>
        </w:r>
        <w:r>
          <w:fldChar w:fldCharType="separate"/>
        </w:r>
        <w:r w:rsidR="00F168CD">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847042"/>
      <w:docPartObj>
        <w:docPartGallery w:val="Page Numbers (Top of Page)"/>
        <w:docPartUnique/>
      </w:docPartObj>
    </w:sdtPr>
    <w:sdtEndPr>
      <w:rPr>
        <w:noProof/>
      </w:rPr>
    </w:sdtEndPr>
    <w:sdtContent>
      <w:p w14:paraId="3942791D" w14:textId="5BDB6F08" w:rsidR="000042B8" w:rsidRDefault="000042B8">
        <w:pPr>
          <w:pStyle w:val="Header"/>
          <w:jc w:val="right"/>
        </w:pPr>
        <w:r>
          <w:fldChar w:fldCharType="begin"/>
        </w:r>
        <w:r>
          <w:instrText xml:space="preserve"> PAGE   \* MERGEFORMAT </w:instrText>
        </w:r>
        <w:r>
          <w:fldChar w:fldCharType="separate"/>
        </w:r>
        <w:r w:rsidR="002252B8">
          <w:rPr>
            <w:noProof/>
          </w:rPr>
          <w:t>18</w:t>
        </w:r>
        <w:r>
          <w:rPr>
            <w:noProof/>
          </w:rPr>
          <w:fldChar w:fldCharType="end"/>
        </w:r>
      </w:p>
    </w:sdtContent>
  </w:sdt>
  <w:p w14:paraId="462D2833" w14:textId="77777777" w:rsidR="000042B8" w:rsidRDefault="00004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523B"/>
    <w:multiLevelType w:val="multilevel"/>
    <w:tmpl w:val="BC5C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86229"/>
    <w:multiLevelType w:val="hybridMultilevel"/>
    <w:tmpl w:val="31A284C4"/>
    <w:lvl w:ilvl="0" w:tplc="9D36AF6E">
      <w:start w:val="1"/>
      <w:numFmt w:val="decimal"/>
      <w:lvlText w:val="(%1)"/>
      <w:lvlJc w:val="left"/>
      <w:pPr>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71876"/>
    <w:multiLevelType w:val="hybridMultilevel"/>
    <w:tmpl w:val="F15CED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C3094F"/>
    <w:multiLevelType w:val="hybridMultilevel"/>
    <w:tmpl w:val="B074F860"/>
    <w:lvl w:ilvl="0" w:tplc="0809000F">
      <w:start w:val="1"/>
      <w:numFmt w:val="decimal"/>
      <w:lvlText w:val="%1."/>
      <w:lvlJc w:val="left"/>
      <w:pPr>
        <w:ind w:left="4755" w:hanging="360"/>
      </w:pPr>
    </w:lvl>
    <w:lvl w:ilvl="1" w:tplc="08090019" w:tentative="1">
      <w:start w:val="1"/>
      <w:numFmt w:val="lowerLetter"/>
      <w:lvlText w:val="%2."/>
      <w:lvlJc w:val="left"/>
      <w:pPr>
        <w:ind w:left="5475" w:hanging="360"/>
      </w:pPr>
    </w:lvl>
    <w:lvl w:ilvl="2" w:tplc="0809001B" w:tentative="1">
      <w:start w:val="1"/>
      <w:numFmt w:val="lowerRoman"/>
      <w:lvlText w:val="%3."/>
      <w:lvlJc w:val="right"/>
      <w:pPr>
        <w:ind w:left="6195" w:hanging="180"/>
      </w:pPr>
    </w:lvl>
    <w:lvl w:ilvl="3" w:tplc="0809000F" w:tentative="1">
      <w:start w:val="1"/>
      <w:numFmt w:val="decimal"/>
      <w:lvlText w:val="%4."/>
      <w:lvlJc w:val="left"/>
      <w:pPr>
        <w:ind w:left="6915" w:hanging="360"/>
      </w:pPr>
    </w:lvl>
    <w:lvl w:ilvl="4" w:tplc="08090019" w:tentative="1">
      <w:start w:val="1"/>
      <w:numFmt w:val="lowerLetter"/>
      <w:lvlText w:val="%5."/>
      <w:lvlJc w:val="left"/>
      <w:pPr>
        <w:ind w:left="7635" w:hanging="360"/>
      </w:pPr>
    </w:lvl>
    <w:lvl w:ilvl="5" w:tplc="0809001B" w:tentative="1">
      <w:start w:val="1"/>
      <w:numFmt w:val="lowerRoman"/>
      <w:lvlText w:val="%6."/>
      <w:lvlJc w:val="right"/>
      <w:pPr>
        <w:ind w:left="8355" w:hanging="180"/>
      </w:pPr>
    </w:lvl>
    <w:lvl w:ilvl="6" w:tplc="0809000F" w:tentative="1">
      <w:start w:val="1"/>
      <w:numFmt w:val="decimal"/>
      <w:lvlText w:val="%7."/>
      <w:lvlJc w:val="left"/>
      <w:pPr>
        <w:ind w:left="9075" w:hanging="360"/>
      </w:pPr>
    </w:lvl>
    <w:lvl w:ilvl="7" w:tplc="08090019" w:tentative="1">
      <w:start w:val="1"/>
      <w:numFmt w:val="lowerLetter"/>
      <w:lvlText w:val="%8."/>
      <w:lvlJc w:val="left"/>
      <w:pPr>
        <w:ind w:left="9795" w:hanging="360"/>
      </w:pPr>
    </w:lvl>
    <w:lvl w:ilvl="8" w:tplc="0809001B" w:tentative="1">
      <w:start w:val="1"/>
      <w:numFmt w:val="lowerRoman"/>
      <w:lvlText w:val="%9."/>
      <w:lvlJc w:val="right"/>
      <w:pPr>
        <w:ind w:left="10515" w:hanging="180"/>
      </w:pPr>
    </w:lvl>
  </w:abstractNum>
  <w:abstractNum w:abstractNumId="4" w15:restartNumberingAfterBreak="0">
    <w:nsid w:val="18A3693B"/>
    <w:multiLevelType w:val="hybridMultilevel"/>
    <w:tmpl w:val="80DCE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B64B8E"/>
    <w:multiLevelType w:val="hybridMultilevel"/>
    <w:tmpl w:val="8C868020"/>
    <w:lvl w:ilvl="0" w:tplc="EDC2ED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9977A7"/>
    <w:multiLevelType w:val="hybridMultilevel"/>
    <w:tmpl w:val="02F4896A"/>
    <w:lvl w:ilvl="0" w:tplc="59CA2F9C">
      <w:start w:val="1"/>
      <w:numFmt w:val="decimal"/>
      <w:lvlText w:val="S%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704D5F"/>
    <w:multiLevelType w:val="hybridMultilevel"/>
    <w:tmpl w:val="F538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497146"/>
    <w:multiLevelType w:val="hybridMultilevel"/>
    <w:tmpl w:val="C450AF2A"/>
    <w:lvl w:ilvl="0" w:tplc="9D36AF6E">
      <w:start w:val="1"/>
      <w:numFmt w:val="decimal"/>
      <w:lvlText w:val="(%1)"/>
      <w:lvlJc w:val="left"/>
      <w:pPr>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DD562F"/>
    <w:multiLevelType w:val="hybridMultilevel"/>
    <w:tmpl w:val="578E606E"/>
    <w:lvl w:ilvl="0" w:tplc="6206D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807C0"/>
    <w:multiLevelType w:val="hybridMultilevel"/>
    <w:tmpl w:val="25A69F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D015A9"/>
    <w:multiLevelType w:val="hybridMultilevel"/>
    <w:tmpl w:val="71BEE7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C625E"/>
    <w:multiLevelType w:val="hybridMultilevel"/>
    <w:tmpl w:val="0A746A70"/>
    <w:lvl w:ilvl="0" w:tplc="9D36AF6E">
      <w:start w:val="1"/>
      <w:numFmt w:val="decimal"/>
      <w:lvlText w:val="(%1)"/>
      <w:lvlJc w:val="left"/>
      <w:pPr>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721DC3"/>
    <w:multiLevelType w:val="hybridMultilevel"/>
    <w:tmpl w:val="F120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F772BF"/>
    <w:multiLevelType w:val="hybridMultilevel"/>
    <w:tmpl w:val="6F185CEC"/>
    <w:lvl w:ilvl="0" w:tplc="D3505F7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EA387E"/>
    <w:multiLevelType w:val="hybridMultilevel"/>
    <w:tmpl w:val="AEFA54E0"/>
    <w:lvl w:ilvl="0" w:tplc="9D36AF6E">
      <w:start w:val="1"/>
      <w:numFmt w:val="decimal"/>
      <w:lvlText w:val="(%1)"/>
      <w:lvlJc w:val="left"/>
      <w:pPr>
        <w:ind w:left="1080" w:hanging="360"/>
      </w:pPr>
      <w:rPr>
        <w:rFonts w:ascii="Times New Roman" w:hAnsi="Times New Roman" w:cs="Times New Roman"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60A1349"/>
    <w:multiLevelType w:val="hybridMultilevel"/>
    <w:tmpl w:val="31284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D93341"/>
    <w:multiLevelType w:val="hybridMultilevel"/>
    <w:tmpl w:val="DFAEA6EC"/>
    <w:lvl w:ilvl="0" w:tplc="59CA2F9C">
      <w:start w:val="1"/>
      <w:numFmt w:val="decimal"/>
      <w:lvlText w:val="S%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F92C4D"/>
    <w:multiLevelType w:val="multilevel"/>
    <w:tmpl w:val="967C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B76A5"/>
    <w:multiLevelType w:val="hybridMultilevel"/>
    <w:tmpl w:val="EFE85E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5"/>
  </w:num>
  <w:num w:numId="4">
    <w:abstractNumId w:val="1"/>
  </w:num>
  <w:num w:numId="5">
    <w:abstractNumId w:val="12"/>
  </w:num>
  <w:num w:numId="6">
    <w:abstractNumId w:val="7"/>
  </w:num>
  <w:num w:numId="7">
    <w:abstractNumId w:val="8"/>
  </w:num>
  <w:num w:numId="8">
    <w:abstractNumId w:val="18"/>
  </w:num>
  <w:num w:numId="9">
    <w:abstractNumId w:val="5"/>
  </w:num>
  <w:num w:numId="10">
    <w:abstractNumId w:val="13"/>
  </w:num>
  <w:num w:numId="11">
    <w:abstractNumId w:val="2"/>
  </w:num>
  <w:num w:numId="12">
    <w:abstractNumId w:val="4"/>
  </w:num>
  <w:num w:numId="13">
    <w:abstractNumId w:val="16"/>
  </w:num>
  <w:num w:numId="14">
    <w:abstractNumId w:val="10"/>
  </w:num>
  <w:num w:numId="15">
    <w:abstractNumId w:val="11"/>
  </w:num>
  <w:num w:numId="16">
    <w:abstractNumId w:val="3"/>
  </w:num>
  <w:num w:numId="17">
    <w:abstractNumId w:val="17"/>
  </w:num>
  <w:num w:numId="18">
    <w:abstractNumId w:val="6"/>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026AD3"/>
    <w:rsid w:val="000042B8"/>
    <w:rsid w:val="00011E81"/>
    <w:rsid w:val="000138EA"/>
    <w:rsid w:val="00015167"/>
    <w:rsid w:val="00022636"/>
    <w:rsid w:val="00026AD3"/>
    <w:rsid w:val="00026B24"/>
    <w:rsid w:val="00030072"/>
    <w:rsid w:val="000318BE"/>
    <w:rsid w:val="00035D5F"/>
    <w:rsid w:val="00036A00"/>
    <w:rsid w:val="00036E4F"/>
    <w:rsid w:val="00047B31"/>
    <w:rsid w:val="000506B3"/>
    <w:rsid w:val="00054F84"/>
    <w:rsid w:val="0005664F"/>
    <w:rsid w:val="000603F4"/>
    <w:rsid w:val="00060A3B"/>
    <w:rsid w:val="00061DF7"/>
    <w:rsid w:val="000644EE"/>
    <w:rsid w:val="00065191"/>
    <w:rsid w:val="00065EFF"/>
    <w:rsid w:val="00072AB4"/>
    <w:rsid w:val="00093303"/>
    <w:rsid w:val="00096AE3"/>
    <w:rsid w:val="000A378D"/>
    <w:rsid w:val="000A71EF"/>
    <w:rsid w:val="000C7080"/>
    <w:rsid w:val="000C7E53"/>
    <w:rsid w:val="000D2C5E"/>
    <w:rsid w:val="000D3A4D"/>
    <w:rsid w:val="000D4B4D"/>
    <w:rsid w:val="000E379D"/>
    <w:rsid w:val="000E4B1F"/>
    <w:rsid w:val="000E5FD4"/>
    <w:rsid w:val="000E7300"/>
    <w:rsid w:val="000F0368"/>
    <w:rsid w:val="001165BB"/>
    <w:rsid w:val="00125F23"/>
    <w:rsid w:val="00127043"/>
    <w:rsid w:val="0014743E"/>
    <w:rsid w:val="001475CD"/>
    <w:rsid w:val="00150A06"/>
    <w:rsid w:val="00151ADB"/>
    <w:rsid w:val="00151BF2"/>
    <w:rsid w:val="001557FA"/>
    <w:rsid w:val="001575C1"/>
    <w:rsid w:val="00157C8A"/>
    <w:rsid w:val="0016648A"/>
    <w:rsid w:val="00166D17"/>
    <w:rsid w:val="00167B7E"/>
    <w:rsid w:val="0017217D"/>
    <w:rsid w:val="00172237"/>
    <w:rsid w:val="00172AE4"/>
    <w:rsid w:val="00177671"/>
    <w:rsid w:val="00177F5C"/>
    <w:rsid w:val="00185C60"/>
    <w:rsid w:val="00186950"/>
    <w:rsid w:val="0019163E"/>
    <w:rsid w:val="001927F8"/>
    <w:rsid w:val="001A6D5C"/>
    <w:rsid w:val="001B4CB9"/>
    <w:rsid w:val="001B557E"/>
    <w:rsid w:val="001D0BC1"/>
    <w:rsid w:val="001E16D6"/>
    <w:rsid w:val="001F009F"/>
    <w:rsid w:val="001F2054"/>
    <w:rsid w:val="001F531D"/>
    <w:rsid w:val="001F6A66"/>
    <w:rsid w:val="002005CB"/>
    <w:rsid w:val="00204863"/>
    <w:rsid w:val="00206162"/>
    <w:rsid w:val="00213201"/>
    <w:rsid w:val="00216258"/>
    <w:rsid w:val="00223562"/>
    <w:rsid w:val="002252B8"/>
    <w:rsid w:val="00227279"/>
    <w:rsid w:val="00235538"/>
    <w:rsid w:val="0023682E"/>
    <w:rsid w:val="00236A76"/>
    <w:rsid w:val="00241983"/>
    <w:rsid w:val="00241FDB"/>
    <w:rsid w:val="00243CA4"/>
    <w:rsid w:val="00250A1B"/>
    <w:rsid w:val="0025190B"/>
    <w:rsid w:val="00252134"/>
    <w:rsid w:val="00252C75"/>
    <w:rsid w:val="00256DA5"/>
    <w:rsid w:val="00260238"/>
    <w:rsid w:val="00262D68"/>
    <w:rsid w:val="00266207"/>
    <w:rsid w:val="002772F4"/>
    <w:rsid w:val="00277545"/>
    <w:rsid w:val="00290EB8"/>
    <w:rsid w:val="00291CDB"/>
    <w:rsid w:val="002921DD"/>
    <w:rsid w:val="00297410"/>
    <w:rsid w:val="002A5854"/>
    <w:rsid w:val="002A71BD"/>
    <w:rsid w:val="002B3FD7"/>
    <w:rsid w:val="002B73B0"/>
    <w:rsid w:val="002B7DBF"/>
    <w:rsid w:val="002C05FB"/>
    <w:rsid w:val="002C09AC"/>
    <w:rsid w:val="002D2D8C"/>
    <w:rsid w:val="002D66CF"/>
    <w:rsid w:val="002D6E96"/>
    <w:rsid w:val="002F65D9"/>
    <w:rsid w:val="00301447"/>
    <w:rsid w:val="00301B8D"/>
    <w:rsid w:val="003128F9"/>
    <w:rsid w:val="00316B3B"/>
    <w:rsid w:val="0032356A"/>
    <w:rsid w:val="00342316"/>
    <w:rsid w:val="00350F60"/>
    <w:rsid w:val="00354E55"/>
    <w:rsid w:val="00362905"/>
    <w:rsid w:val="00367BBE"/>
    <w:rsid w:val="00370913"/>
    <w:rsid w:val="00372E02"/>
    <w:rsid w:val="0037445E"/>
    <w:rsid w:val="00375B51"/>
    <w:rsid w:val="00375C28"/>
    <w:rsid w:val="00376A85"/>
    <w:rsid w:val="003807A9"/>
    <w:rsid w:val="00384F66"/>
    <w:rsid w:val="0038687E"/>
    <w:rsid w:val="0038745E"/>
    <w:rsid w:val="003912A5"/>
    <w:rsid w:val="0039549F"/>
    <w:rsid w:val="003A6648"/>
    <w:rsid w:val="003A7A9C"/>
    <w:rsid w:val="003B0711"/>
    <w:rsid w:val="003B3BFD"/>
    <w:rsid w:val="003B6A4B"/>
    <w:rsid w:val="003B7649"/>
    <w:rsid w:val="003C6591"/>
    <w:rsid w:val="003D1042"/>
    <w:rsid w:val="003E0B4D"/>
    <w:rsid w:val="003E1A47"/>
    <w:rsid w:val="00415AAF"/>
    <w:rsid w:val="00426222"/>
    <w:rsid w:val="004310E2"/>
    <w:rsid w:val="00433911"/>
    <w:rsid w:val="00433915"/>
    <w:rsid w:val="004340ED"/>
    <w:rsid w:val="004433C8"/>
    <w:rsid w:val="0044687E"/>
    <w:rsid w:val="00447405"/>
    <w:rsid w:val="0044793D"/>
    <w:rsid w:val="00447A1B"/>
    <w:rsid w:val="0045043B"/>
    <w:rsid w:val="00454CD6"/>
    <w:rsid w:val="0046081A"/>
    <w:rsid w:val="0046198A"/>
    <w:rsid w:val="00461E6B"/>
    <w:rsid w:val="00463485"/>
    <w:rsid w:val="0047160A"/>
    <w:rsid w:val="0047245C"/>
    <w:rsid w:val="0047549D"/>
    <w:rsid w:val="00483091"/>
    <w:rsid w:val="00484868"/>
    <w:rsid w:val="0048698C"/>
    <w:rsid w:val="00491165"/>
    <w:rsid w:val="004A0A96"/>
    <w:rsid w:val="004A1CB1"/>
    <w:rsid w:val="004A1DC5"/>
    <w:rsid w:val="004A66FA"/>
    <w:rsid w:val="004A69BE"/>
    <w:rsid w:val="004B1764"/>
    <w:rsid w:val="004B2C75"/>
    <w:rsid w:val="004B519C"/>
    <w:rsid w:val="004B5D85"/>
    <w:rsid w:val="004C0464"/>
    <w:rsid w:val="004C1402"/>
    <w:rsid w:val="004D2443"/>
    <w:rsid w:val="004D3C5F"/>
    <w:rsid w:val="004D6D7E"/>
    <w:rsid w:val="004E167C"/>
    <w:rsid w:val="004E300B"/>
    <w:rsid w:val="004E70CA"/>
    <w:rsid w:val="004E73C7"/>
    <w:rsid w:val="004F123E"/>
    <w:rsid w:val="004F2B25"/>
    <w:rsid w:val="004F5340"/>
    <w:rsid w:val="004F7A40"/>
    <w:rsid w:val="005232D4"/>
    <w:rsid w:val="00524CD4"/>
    <w:rsid w:val="00525D7E"/>
    <w:rsid w:val="00540407"/>
    <w:rsid w:val="0055114D"/>
    <w:rsid w:val="0055291C"/>
    <w:rsid w:val="00557B6F"/>
    <w:rsid w:val="005609CC"/>
    <w:rsid w:val="00563083"/>
    <w:rsid w:val="00567510"/>
    <w:rsid w:val="005713D4"/>
    <w:rsid w:val="00595143"/>
    <w:rsid w:val="005A13C5"/>
    <w:rsid w:val="005A5F0E"/>
    <w:rsid w:val="005C4751"/>
    <w:rsid w:val="005D6B65"/>
    <w:rsid w:val="005D6F06"/>
    <w:rsid w:val="005D767C"/>
    <w:rsid w:val="005F24F1"/>
    <w:rsid w:val="005F59E5"/>
    <w:rsid w:val="006024C6"/>
    <w:rsid w:val="00603B53"/>
    <w:rsid w:val="0060403A"/>
    <w:rsid w:val="006053B2"/>
    <w:rsid w:val="00611CBA"/>
    <w:rsid w:val="00613008"/>
    <w:rsid w:val="006163BE"/>
    <w:rsid w:val="00624CCA"/>
    <w:rsid w:val="006268AA"/>
    <w:rsid w:val="006274D9"/>
    <w:rsid w:val="00627F23"/>
    <w:rsid w:val="00631813"/>
    <w:rsid w:val="006378EC"/>
    <w:rsid w:val="00637F91"/>
    <w:rsid w:val="0064110A"/>
    <w:rsid w:val="00645CAE"/>
    <w:rsid w:val="00653F9B"/>
    <w:rsid w:val="006602B7"/>
    <w:rsid w:val="00670A60"/>
    <w:rsid w:val="006723A6"/>
    <w:rsid w:val="0067571C"/>
    <w:rsid w:val="006758D5"/>
    <w:rsid w:val="0068222F"/>
    <w:rsid w:val="00684294"/>
    <w:rsid w:val="006943D8"/>
    <w:rsid w:val="006A35AD"/>
    <w:rsid w:val="006B044C"/>
    <w:rsid w:val="006B2C36"/>
    <w:rsid w:val="006B345E"/>
    <w:rsid w:val="006C0B27"/>
    <w:rsid w:val="006C4381"/>
    <w:rsid w:val="006C7579"/>
    <w:rsid w:val="006D0EF2"/>
    <w:rsid w:val="006D67BB"/>
    <w:rsid w:val="006E6E33"/>
    <w:rsid w:val="006F4CB0"/>
    <w:rsid w:val="006F59C9"/>
    <w:rsid w:val="006F615C"/>
    <w:rsid w:val="00701579"/>
    <w:rsid w:val="00701E9A"/>
    <w:rsid w:val="00701EB9"/>
    <w:rsid w:val="0070568A"/>
    <w:rsid w:val="00712A21"/>
    <w:rsid w:val="007140D7"/>
    <w:rsid w:val="00716CCB"/>
    <w:rsid w:val="0072026F"/>
    <w:rsid w:val="00725354"/>
    <w:rsid w:val="007374D5"/>
    <w:rsid w:val="00737D6F"/>
    <w:rsid w:val="007478D3"/>
    <w:rsid w:val="007505C4"/>
    <w:rsid w:val="00750FD7"/>
    <w:rsid w:val="007606B5"/>
    <w:rsid w:val="00760B28"/>
    <w:rsid w:val="00763AC9"/>
    <w:rsid w:val="00770156"/>
    <w:rsid w:val="00770EFA"/>
    <w:rsid w:val="00771265"/>
    <w:rsid w:val="007736D2"/>
    <w:rsid w:val="0077751F"/>
    <w:rsid w:val="00785C27"/>
    <w:rsid w:val="00786094"/>
    <w:rsid w:val="007A18AC"/>
    <w:rsid w:val="007A67A8"/>
    <w:rsid w:val="007B3E3B"/>
    <w:rsid w:val="007B43C5"/>
    <w:rsid w:val="007C4215"/>
    <w:rsid w:val="007D3B54"/>
    <w:rsid w:val="007D65B2"/>
    <w:rsid w:val="007D6961"/>
    <w:rsid w:val="007E25E5"/>
    <w:rsid w:val="007E6D2C"/>
    <w:rsid w:val="007E73B9"/>
    <w:rsid w:val="007F0E79"/>
    <w:rsid w:val="007F541A"/>
    <w:rsid w:val="00802DE5"/>
    <w:rsid w:val="00803067"/>
    <w:rsid w:val="0080371C"/>
    <w:rsid w:val="008041B4"/>
    <w:rsid w:val="008112B1"/>
    <w:rsid w:val="008159D2"/>
    <w:rsid w:val="00817DC0"/>
    <w:rsid w:val="00821045"/>
    <w:rsid w:val="0082321F"/>
    <w:rsid w:val="008246A7"/>
    <w:rsid w:val="00825BF7"/>
    <w:rsid w:val="00832ACC"/>
    <w:rsid w:val="00835C86"/>
    <w:rsid w:val="00843E50"/>
    <w:rsid w:val="00845203"/>
    <w:rsid w:val="00853DD7"/>
    <w:rsid w:val="00853F13"/>
    <w:rsid w:val="00856156"/>
    <w:rsid w:val="00863E4E"/>
    <w:rsid w:val="00875804"/>
    <w:rsid w:val="00876DD4"/>
    <w:rsid w:val="008813A2"/>
    <w:rsid w:val="00887119"/>
    <w:rsid w:val="00887319"/>
    <w:rsid w:val="008917D4"/>
    <w:rsid w:val="00892A05"/>
    <w:rsid w:val="00897F14"/>
    <w:rsid w:val="008A4049"/>
    <w:rsid w:val="008C486E"/>
    <w:rsid w:val="008C6555"/>
    <w:rsid w:val="008D27F4"/>
    <w:rsid w:val="008D584B"/>
    <w:rsid w:val="008E40DF"/>
    <w:rsid w:val="008E49A5"/>
    <w:rsid w:val="008F1604"/>
    <w:rsid w:val="008F457E"/>
    <w:rsid w:val="008F5686"/>
    <w:rsid w:val="009009FB"/>
    <w:rsid w:val="00901DE4"/>
    <w:rsid w:val="0090333D"/>
    <w:rsid w:val="009034D8"/>
    <w:rsid w:val="00904EBE"/>
    <w:rsid w:val="009073C8"/>
    <w:rsid w:val="009124E0"/>
    <w:rsid w:val="00914F92"/>
    <w:rsid w:val="009219AC"/>
    <w:rsid w:val="00922346"/>
    <w:rsid w:val="00926EC9"/>
    <w:rsid w:val="00927B26"/>
    <w:rsid w:val="0093582F"/>
    <w:rsid w:val="00937DC5"/>
    <w:rsid w:val="0094462D"/>
    <w:rsid w:val="00944AB9"/>
    <w:rsid w:val="00945C97"/>
    <w:rsid w:val="0094607B"/>
    <w:rsid w:val="009600BE"/>
    <w:rsid w:val="009635CB"/>
    <w:rsid w:val="009667CD"/>
    <w:rsid w:val="009773D4"/>
    <w:rsid w:val="00986B94"/>
    <w:rsid w:val="00994388"/>
    <w:rsid w:val="00995DF6"/>
    <w:rsid w:val="009975E9"/>
    <w:rsid w:val="009A0299"/>
    <w:rsid w:val="009A63B1"/>
    <w:rsid w:val="009C0556"/>
    <w:rsid w:val="009C098A"/>
    <w:rsid w:val="009C401C"/>
    <w:rsid w:val="009C4CB3"/>
    <w:rsid w:val="009C680B"/>
    <w:rsid w:val="009D281B"/>
    <w:rsid w:val="009D3F06"/>
    <w:rsid w:val="009D46BD"/>
    <w:rsid w:val="009D5BB0"/>
    <w:rsid w:val="009E0EAC"/>
    <w:rsid w:val="009E73A8"/>
    <w:rsid w:val="009F3261"/>
    <w:rsid w:val="00A01151"/>
    <w:rsid w:val="00A04F0F"/>
    <w:rsid w:val="00A063FF"/>
    <w:rsid w:val="00A07558"/>
    <w:rsid w:val="00A10AA3"/>
    <w:rsid w:val="00A14468"/>
    <w:rsid w:val="00A20EC1"/>
    <w:rsid w:val="00A24E2C"/>
    <w:rsid w:val="00A251C5"/>
    <w:rsid w:val="00A27A18"/>
    <w:rsid w:val="00A302D2"/>
    <w:rsid w:val="00A34054"/>
    <w:rsid w:val="00A344C8"/>
    <w:rsid w:val="00A35ABE"/>
    <w:rsid w:val="00A37EFF"/>
    <w:rsid w:val="00A436C3"/>
    <w:rsid w:val="00A43BBA"/>
    <w:rsid w:val="00A463C2"/>
    <w:rsid w:val="00A4761A"/>
    <w:rsid w:val="00A524F7"/>
    <w:rsid w:val="00A52676"/>
    <w:rsid w:val="00A544BC"/>
    <w:rsid w:val="00A54B14"/>
    <w:rsid w:val="00A63428"/>
    <w:rsid w:val="00A70B9A"/>
    <w:rsid w:val="00A928C4"/>
    <w:rsid w:val="00AA28FA"/>
    <w:rsid w:val="00AA3998"/>
    <w:rsid w:val="00AB6F9E"/>
    <w:rsid w:val="00AC15DB"/>
    <w:rsid w:val="00AC2035"/>
    <w:rsid w:val="00AC29C1"/>
    <w:rsid w:val="00AC6BA4"/>
    <w:rsid w:val="00AD04A8"/>
    <w:rsid w:val="00AD1007"/>
    <w:rsid w:val="00AD236A"/>
    <w:rsid w:val="00AD37E2"/>
    <w:rsid w:val="00AE051D"/>
    <w:rsid w:val="00AE0D60"/>
    <w:rsid w:val="00AE2AF4"/>
    <w:rsid w:val="00AE51FF"/>
    <w:rsid w:val="00AE6E83"/>
    <w:rsid w:val="00AF1FBF"/>
    <w:rsid w:val="00AF2642"/>
    <w:rsid w:val="00AF7DCC"/>
    <w:rsid w:val="00B10D37"/>
    <w:rsid w:val="00B124F7"/>
    <w:rsid w:val="00B12DD6"/>
    <w:rsid w:val="00B14418"/>
    <w:rsid w:val="00B153A6"/>
    <w:rsid w:val="00B20FFB"/>
    <w:rsid w:val="00B25714"/>
    <w:rsid w:val="00B33A79"/>
    <w:rsid w:val="00B33FD8"/>
    <w:rsid w:val="00B34CD2"/>
    <w:rsid w:val="00B422CA"/>
    <w:rsid w:val="00B430CA"/>
    <w:rsid w:val="00B638DA"/>
    <w:rsid w:val="00B655CD"/>
    <w:rsid w:val="00B668F8"/>
    <w:rsid w:val="00B705D3"/>
    <w:rsid w:val="00B759D8"/>
    <w:rsid w:val="00B75C46"/>
    <w:rsid w:val="00B8012D"/>
    <w:rsid w:val="00B82369"/>
    <w:rsid w:val="00B93313"/>
    <w:rsid w:val="00B96EF2"/>
    <w:rsid w:val="00BA1AC8"/>
    <w:rsid w:val="00BB1AAD"/>
    <w:rsid w:val="00BE76EE"/>
    <w:rsid w:val="00BF6758"/>
    <w:rsid w:val="00C10502"/>
    <w:rsid w:val="00C23CEE"/>
    <w:rsid w:val="00C3346C"/>
    <w:rsid w:val="00C36018"/>
    <w:rsid w:val="00C372C4"/>
    <w:rsid w:val="00C40B8A"/>
    <w:rsid w:val="00C45931"/>
    <w:rsid w:val="00C47A1F"/>
    <w:rsid w:val="00C505C3"/>
    <w:rsid w:val="00C539A2"/>
    <w:rsid w:val="00C55FEF"/>
    <w:rsid w:val="00C66E5F"/>
    <w:rsid w:val="00C67149"/>
    <w:rsid w:val="00C67B41"/>
    <w:rsid w:val="00C755F7"/>
    <w:rsid w:val="00C76A02"/>
    <w:rsid w:val="00C84D0B"/>
    <w:rsid w:val="00C85950"/>
    <w:rsid w:val="00CA2C63"/>
    <w:rsid w:val="00CA45E1"/>
    <w:rsid w:val="00CA7F6F"/>
    <w:rsid w:val="00CB2485"/>
    <w:rsid w:val="00CB4C52"/>
    <w:rsid w:val="00CB75EB"/>
    <w:rsid w:val="00CC1EAB"/>
    <w:rsid w:val="00CC2CBF"/>
    <w:rsid w:val="00CD000E"/>
    <w:rsid w:val="00CD2330"/>
    <w:rsid w:val="00CD4BCF"/>
    <w:rsid w:val="00CE1A49"/>
    <w:rsid w:val="00CF3525"/>
    <w:rsid w:val="00CF453B"/>
    <w:rsid w:val="00D00E1C"/>
    <w:rsid w:val="00D07A33"/>
    <w:rsid w:val="00D07C87"/>
    <w:rsid w:val="00D10305"/>
    <w:rsid w:val="00D10466"/>
    <w:rsid w:val="00D110A8"/>
    <w:rsid w:val="00D12430"/>
    <w:rsid w:val="00D12864"/>
    <w:rsid w:val="00D15992"/>
    <w:rsid w:val="00D16469"/>
    <w:rsid w:val="00D21B19"/>
    <w:rsid w:val="00D23358"/>
    <w:rsid w:val="00D24187"/>
    <w:rsid w:val="00D255B9"/>
    <w:rsid w:val="00D33317"/>
    <w:rsid w:val="00D40AEE"/>
    <w:rsid w:val="00D40FFC"/>
    <w:rsid w:val="00D427C6"/>
    <w:rsid w:val="00D43F26"/>
    <w:rsid w:val="00D52C4B"/>
    <w:rsid w:val="00D5466F"/>
    <w:rsid w:val="00D54BDA"/>
    <w:rsid w:val="00D5604F"/>
    <w:rsid w:val="00D6007A"/>
    <w:rsid w:val="00D6427B"/>
    <w:rsid w:val="00D717AF"/>
    <w:rsid w:val="00D72A8D"/>
    <w:rsid w:val="00D75EC6"/>
    <w:rsid w:val="00D7627A"/>
    <w:rsid w:val="00D77AE6"/>
    <w:rsid w:val="00D858FA"/>
    <w:rsid w:val="00D90D93"/>
    <w:rsid w:val="00D92F04"/>
    <w:rsid w:val="00D9403F"/>
    <w:rsid w:val="00D94872"/>
    <w:rsid w:val="00D94DDB"/>
    <w:rsid w:val="00DA0E97"/>
    <w:rsid w:val="00DA1964"/>
    <w:rsid w:val="00DA5497"/>
    <w:rsid w:val="00DA63FE"/>
    <w:rsid w:val="00DA7C5F"/>
    <w:rsid w:val="00DB26DD"/>
    <w:rsid w:val="00DB43E3"/>
    <w:rsid w:val="00DC06BD"/>
    <w:rsid w:val="00DC199B"/>
    <w:rsid w:val="00DC2EA2"/>
    <w:rsid w:val="00DC4609"/>
    <w:rsid w:val="00DC6B5E"/>
    <w:rsid w:val="00DD14F5"/>
    <w:rsid w:val="00DD1D93"/>
    <w:rsid w:val="00DD1DA0"/>
    <w:rsid w:val="00DD6324"/>
    <w:rsid w:val="00DD7018"/>
    <w:rsid w:val="00DD72FC"/>
    <w:rsid w:val="00DE2070"/>
    <w:rsid w:val="00DE72F4"/>
    <w:rsid w:val="00DF1305"/>
    <w:rsid w:val="00DF2D30"/>
    <w:rsid w:val="00DF6C31"/>
    <w:rsid w:val="00DF7266"/>
    <w:rsid w:val="00E00C95"/>
    <w:rsid w:val="00E02784"/>
    <w:rsid w:val="00E04FAA"/>
    <w:rsid w:val="00E11372"/>
    <w:rsid w:val="00E12ED9"/>
    <w:rsid w:val="00E2636E"/>
    <w:rsid w:val="00E317EF"/>
    <w:rsid w:val="00E330A8"/>
    <w:rsid w:val="00E37F26"/>
    <w:rsid w:val="00E419B3"/>
    <w:rsid w:val="00E433C1"/>
    <w:rsid w:val="00E566CE"/>
    <w:rsid w:val="00E60BA9"/>
    <w:rsid w:val="00E74DDC"/>
    <w:rsid w:val="00E76856"/>
    <w:rsid w:val="00E81E4A"/>
    <w:rsid w:val="00E834DA"/>
    <w:rsid w:val="00E85507"/>
    <w:rsid w:val="00E87196"/>
    <w:rsid w:val="00E92B38"/>
    <w:rsid w:val="00E966BD"/>
    <w:rsid w:val="00EA1440"/>
    <w:rsid w:val="00EA35D1"/>
    <w:rsid w:val="00EB0B65"/>
    <w:rsid w:val="00EC04DA"/>
    <w:rsid w:val="00EC59DF"/>
    <w:rsid w:val="00ED0010"/>
    <w:rsid w:val="00EE08FE"/>
    <w:rsid w:val="00EE2ECC"/>
    <w:rsid w:val="00EE383A"/>
    <w:rsid w:val="00EE54CE"/>
    <w:rsid w:val="00EE60BB"/>
    <w:rsid w:val="00EE71F7"/>
    <w:rsid w:val="00EF0356"/>
    <w:rsid w:val="00EF1286"/>
    <w:rsid w:val="00EF1D0F"/>
    <w:rsid w:val="00EF2553"/>
    <w:rsid w:val="00F00CE7"/>
    <w:rsid w:val="00F0200E"/>
    <w:rsid w:val="00F079E4"/>
    <w:rsid w:val="00F12F6B"/>
    <w:rsid w:val="00F14FD9"/>
    <w:rsid w:val="00F168CD"/>
    <w:rsid w:val="00F1704A"/>
    <w:rsid w:val="00F225ED"/>
    <w:rsid w:val="00F40BD8"/>
    <w:rsid w:val="00F50308"/>
    <w:rsid w:val="00F53832"/>
    <w:rsid w:val="00F5457D"/>
    <w:rsid w:val="00F6084C"/>
    <w:rsid w:val="00F61140"/>
    <w:rsid w:val="00F67FDF"/>
    <w:rsid w:val="00F70B1F"/>
    <w:rsid w:val="00F7458C"/>
    <w:rsid w:val="00F74689"/>
    <w:rsid w:val="00F8170B"/>
    <w:rsid w:val="00F81EAE"/>
    <w:rsid w:val="00F82C3A"/>
    <w:rsid w:val="00F92867"/>
    <w:rsid w:val="00F92C54"/>
    <w:rsid w:val="00F964B9"/>
    <w:rsid w:val="00F96B7A"/>
    <w:rsid w:val="00F977A3"/>
    <w:rsid w:val="00FA37E7"/>
    <w:rsid w:val="00FA5AF9"/>
    <w:rsid w:val="00FA5EE5"/>
    <w:rsid w:val="00FA6999"/>
    <w:rsid w:val="00FB3229"/>
    <w:rsid w:val="00FB4546"/>
    <w:rsid w:val="00FB4980"/>
    <w:rsid w:val="00FB5871"/>
    <w:rsid w:val="00FC3B28"/>
    <w:rsid w:val="00FD4754"/>
    <w:rsid w:val="00FD4DB4"/>
    <w:rsid w:val="00FD792D"/>
    <w:rsid w:val="00FE11CC"/>
    <w:rsid w:val="00FE1407"/>
    <w:rsid w:val="00FF0267"/>
    <w:rsid w:val="00FF02CC"/>
    <w:rsid w:val="00FF09AA"/>
    <w:rsid w:val="00FF63B5"/>
    <w:rsid w:val="00FF6A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F620D"/>
  <w15:docId w15:val="{894991D6-ABA6-438E-B9A3-5DB150A0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M Style"/>
    <w:qFormat/>
    <w:rsid w:val="00026AD3"/>
    <w:pPr>
      <w:spacing w:after="0" w:line="480" w:lineRule="auto"/>
    </w:pPr>
    <w:rPr>
      <w:rFonts w:ascii="Times New Roman" w:hAnsi="Times New Roman"/>
      <w:sz w:val="24"/>
      <w:lang w:val="en-GB"/>
    </w:rPr>
  </w:style>
  <w:style w:type="paragraph" w:styleId="Heading1">
    <w:name w:val="heading 1"/>
    <w:basedOn w:val="Normal"/>
    <w:next w:val="Normal"/>
    <w:link w:val="Heading1Char"/>
    <w:uiPriority w:val="9"/>
    <w:qFormat/>
    <w:rsid w:val="00026AD3"/>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26AD3"/>
    <w:pPr>
      <w:keepNext/>
      <w:keepLines/>
      <w:spacing w:before="40"/>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026AD3"/>
    <w:pPr>
      <w:keepNext/>
      <w:keepLines/>
      <w:spacing w:before="4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AD3"/>
    <w:rPr>
      <w:rFonts w:ascii="Times New Roman" w:eastAsiaTheme="majorEastAsia" w:hAnsi="Times New Roman" w:cstheme="majorBidi"/>
      <w:b/>
      <w:sz w:val="24"/>
      <w:szCs w:val="32"/>
      <w:lang w:val="en-GB"/>
    </w:rPr>
  </w:style>
  <w:style w:type="character" w:customStyle="1" w:styleId="Heading2Char">
    <w:name w:val="Heading 2 Char"/>
    <w:basedOn w:val="DefaultParagraphFont"/>
    <w:link w:val="Heading2"/>
    <w:uiPriority w:val="9"/>
    <w:rsid w:val="00026AD3"/>
    <w:rPr>
      <w:rFonts w:ascii="Times New Roman" w:eastAsiaTheme="majorEastAsia" w:hAnsi="Times New Roman" w:cstheme="majorBidi"/>
      <w:b/>
      <w:i/>
      <w:sz w:val="24"/>
      <w:szCs w:val="26"/>
      <w:lang w:val="en-GB"/>
    </w:rPr>
  </w:style>
  <w:style w:type="character" w:customStyle="1" w:styleId="Heading3Char">
    <w:name w:val="Heading 3 Char"/>
    <w:basedOn w:val="DefaultParagraphFont"/>
    <w:link w:val="Heading3"/>
    <w:uiPriority w:val="9"/>
    <w:rsid w:val="00026AD3"/>
    <w:rPr>
      <w:rFonts w:ascii="Times New Roman" w:eastAsiaTheme="majorEastAsia" w:hAnsi="Times New Roman" w:cstheme="majorBidi"/>
      <w:i/>
      <w:sz w:val="24"/>
      <w:szCs w:val="24"/>
      <w:lang w:val="en-GB"/>
    </w:rPr>
  </w:style>
  <w:style w:type="paragraph" w:customStyle="1" w:styleId="EndNoteBibliographyTitle">
    <w:name w:val="EndNote Bibliography Title"/>
    <w:basedOn w:val="Normal"/>
    <w:link w:val="EndNoteBibliographyTitleChar"/>
    <w:rsid w:val="00026AD3"/>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26AD3"/>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26AD3"/>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026AD3"/>
    <w:rPr>
      <w:rFonts w:ascii="Times New Roman" w:hAnsi="Times New Roman" w:cs="Times New Roman"/>
      <w:noProof/>
      <w:sz w:val="24"/>
      <w:lang w:val="en-US"/>
    </w:rPr>
  </w:style>
  <w:style w:type="character" w:styleId="CommentReference">
    <w:name w:val="annotation reference"/>
    <w:basedOn w:val="DefaultParagraphFont"/>
    <w:uiPriority w:val="99"/>
    <w:semiHidden/>
    <w:unhideWhenUsed/>
    <w:rsid w:val="00026AD3"/>
    <w:rPr>
      <w:sz w:val="16"/>
      <w:szCs w:val="16"/>
    </w:rPr>
  </w:style>
  <w:style w:type="paragraph" w:styleId="CommentText">
    <w:name w:val="annotation text"/>
    <w:basedOn w:val="Normal"/>
    <w:link w:val="CommentTextChar"/>
    <w:uiPriority w:val="99"/>
    <w:unhideWhenUsed/>
    <w:rsid w:val="00026AD3"/>
    <w:pPr>
      <w:spacing w:line="240" w:lineRule="auto"/>
    </w:pPr>
    <w:rPr>
      <w:sz w:val="20"/>
      <w:szCs w:val="20"/>
    </w:rPr>
  </w:style>
  <w:style w:type="character" w:customStyle="1" w:styleId="CommentTextChar">
    <w:name w:val="Comment Text Char"/>
    <w:basedOn w:val="DefaultParagraphFont"/>
    <w:link w:val="CommentText"/>
    <w:uiPriority w:val="99"/>
    <w:rsid w:val="00026AD3"/>
    <w:rPr>
      <w:rFonts w:ascii="Times New Roman" w:hAnsi="Times New Roman"/>
      <w:sz w:val="20"/>
      <w:szCs w:val="20"/>
      <w:lang w:val="en-GB"/>
    </w:rPr>
  </w:style>
  <w:style w:type="paragraph" w:styleId="BalloonText">
    <w:name w:val="Balloon Text"/>
    <w:basedOn w:val="Normal"/>
    <w:link w:val="BalloonTextChar"/>
    <w:uiPriority w:val="99"/>
    <w:semiHidden/>
    <w:unhideWhenUsed/>
    <w:rsid w:val="00026A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AD3"/>
    <w:rPr>
      <w:rFonts w:ascii="Segoe UI" w:hAnsi="Segoe UI" w:cs="Segoe UI"/>
      <w:sz w:val="18"/>
      <w:szCs w:val="18"/>
      <w:lang w:val="en-GB"/>
    </w:rPr>
  </w:style>
  <w:style w:type="character" w:styleId="Hyperlink">
    <w:name w:val="Hyperlink"/>
    <w:basedOn w:val="DefaultParagraphFont"/>
    <w:uiPriority w:val="99"/>
    <w:unhideWhenUsed/>
    <w:rsid w:val="00026AD3"/>
    <w:rPr>
      <w:color w:val="0000FF"/>
      <w:u w:val="single"/>
    </w:rPr>
  </w:style>
  <w:style w:type="paragraph" w:styleId="Header">
    <w:name w:val="header"/>
    <w:basedOn w:val="Normal"/>
    <w:link w:val="HeaderChar"/>
    <w:uiPriority w:val="99"/>
    <w:unhideWhenUsed/>
    <w:rsid w:val="00026AD3"/>
    <w:pPr>
      <w:tabs>
        <w:tab w:val="center" w:pos="4513"/>
        <w:tab w:val="right" w:pos="9026"/>
      </w:tabs>
      <w:spacing w:line="240" w:lineRule="auto"/>
    </w:pPr>
  </w:style>
  <w:style w:type="character" w:customStyle="1" w:styleId="HeaderChar">
    <w:name w:val="Header Char"/>
    <w:basedOn w:val="DefaultParagraphFont"/>
    <w:link w:val="Header"/>
    <w:uiPriority w:val="99"/>
    <w:rsid w:val="00026AD3"/>
    <w:rPr>
      <w:rFonts w:ascii="Times New Roman" w:hAnsi="Times New Roman"/>
      <w:sz w:val="24"/>
      <w:lang w:val="en-GB"/>
    </w:rPr>
  </w:style>
  <w:style w:type="paragraph" w:styleId="Footer">
    <w:name w:val="footer"/>
    <w:basedOn w:val="Normal"/>
    <w:link w:val="FooterChar"/>
    <w:uiPriority w:val="99"/>
    <w:unhideWhenUsed/>
    <w:rsid w:val="00026AD3"/>
    <w:pPr>
      <w:tabs>
        <w:tab w:val="center" w:pos="4513"/>
        <w:tab w:val="right" w:pos="9026"/>
      </w:tabs>
      <w:spacing w:line="240" w:lineRule="auto"/>
    </w:pPr>
  </w:style>
  <w:style w:type="character" w:customStyle="1" w:styleId="FooterChar">
    <w:name w:val="Footer Char"/>
    <w:basedOn w:val="DefaultParagraphFont"/>
    <w:link w:val="Footer"/>
    <w:uiPriority w:val="99"/>
    <w:rsid w:val="00026AD3"/>
    <w:rPr>
      <w:rFonts w:ascii="Times New Roman" w:hAnsi="Times New Roman"/>
      <w:sz w:val="24"/>
      <w:lang w:val="en-GB"/>
    </w:rPr>
  </w:style>
  <w:style w:type="paragraph" w:styleId="CommentSubject">
    <w:name w:val="annotation subject"/>
    <w:basedOn w:val="CommentText"/>
    <w:next w:val="CommentText"/>
    <w:link w:val="CommentSubjectChar"/>
    <w:uiPriority w:val="99"/>
    <w:semiHidden/>
    <w:unhideWhenUsed/>
    <w:rsid w:val="00026AD3"/>
    <w:rPr>
      <w:b/>
      <w:bCs/>
    </w:rPr>
  </w:style>
  <w:style w:type="character" w:customStyle="1" w:styleId="CommentSubjectChar">
    <w:name w:val="Comment Subject Char"/>
    <w:basedOn w:val="CommentTextChar"/>
    <w:link w:val="CommentSubject"/>
    <w:uiPriority w:val="99"/>
    <w:semiHidden/>
    <w:rsid w:val="00026AD3"/>
    <w:rPr>
      <w:rFonts w:ascii="Times New Roman" w:hAnsi="Times New Roman"/>
      <w:b/>
      <w:bCs/>
      <w:sz w:val="20"/>
      <w:szCs w:val="20"/>
      <w:lang w:val="en-GB"/>
    </w:rPr>
  </w:style>
  <w:style w:type="character" w:customStyle="1" w:styleId="CommentTextChar1">
    <w:name w:val="Comment Text Char1"/>
    <w:basedOn w:val="DefaultParagraphFont"/>
    <w:uiPriority w:val="99"/>
    <w:rsid w:val="00026AD3"/>
    <w:rPr>
      <w:sz w:val="20"/>
      <w:szCs w:val="20"/>
    </w:rPr>
  </w:style>
  <w:style w:type="paragraph" w:styleId="Revision">
    <w:name w:val="Revision"/>
    <w:hidden/>
    <w:uiPriority w:val="99"/>
    <w:semiHidden/>
    <w:rsid w:val="00026AD3"/>
    <w:pPr>
      <w:spacing w:after="0" w:line="240" w:lineRule="auto"/>
    </w:pPr>
    <w:rPr>
      <w:rFonts w:ascii="Times New Roman" w:hAnsi="Times New Roman"/>
      <w:sz w:val="24"/>
      <w:lang w:val="en-GB"/>
    </w:rPr>
  </w:style>
  <w:style w:type="character" w:styleId="Emphasis">
    <w:name w:val="Emphasis"/>
    <w:basedOn w:val="DefaultParagraphFont"/>
    <w:uiPriority w:val="20"/>
    <w:qFormat/>
    <w:rsid w:val="00026AD3"/>
    <w:rPr>
      <w:i/>
      <w:iCs/>
    </w:rPr>
  </w:style>
  <w:style w:type="character" w:customStyle="1" w:styleId="highlight">
    <w:name w:val="highlight"/>
    <w:basedOn w:val="DefaultParagraphFont"/>
    <w:rsid w:val="00026AD3"/>
  </w:style>
  <w:style w:type="character" w:customStyle="1" w:styleId="ref-lnk">
    <w:name w:val="ref-lnk"/>
    <w:basedOn w:val="DefaultParagraphFont"/>
    <w:rsid w:val="00026AD3"/>
  </w:style>
  <w:style w:type="character" w:customStyle="1" w:styleId="ref-overlay">
    <w:name w:val="ref-overlay"/>
    <w:basedOn w:val="DefaultParagraphFont"/>
    <w:rsid w:val="00026AD3"/>
  </w:style>
  <w:style w:type="character" w:customStyle="1" w:styleId="hlfld-contribauthor">
    <w:name w:val="hlfld-contribauthor"/>
    <w:basedOn w:val="DefaultParagraphFont"/>
    <w:rsid w:val="00026AD3"/>
  </w:style>
  <w:style w:type="character" w:customStyle="1" w:styleId="nlmgiven-names">
    <w:name w:val="nlm_given-names"/>
    <w:basedOn w:val="DefaultParagraphFont"/>
    <w:rsid w:val="00026AD3"/>
  </w:style>
  <w:style w:type="character" w:customStyle="1" w:styleId="nlmyear">
    <w:name w:val="nlm_year"/>
    <w:basedOn w:val="DefaultParagraphFont"/>
    <w:rsid w:val="00026AD3"/>
  </w:style>
  <w:style w:type="character" w:customStyle="1" w:styleId="nlmpublisher-loc">
    <w:name w:val="nlm_publisher-loc"/>
    <w:basedOn w:val="DefaultParagraphFont"/>
    <w:rsid w:val="00026AD3"/>
  </w:style>
  <w:style w:type="character" w:customStyle="1" w:styleId="nlmpublisher-name">
    <w:name w:val="nlm_publisher-name"/>
    <w:basedOn w:val="DefaultParagraphFont"/>
    <w:rsid w:val="00026AD3"/>
  </w:style>
  <w:style w:type="character" w:customStyle="1" w:styleId="ref-links">
    <w:name w:val="ref-links"/>
    <w:basedOn w:val="DefaultParagraphFont"/>
    <w:rsid w:val="00026AD3"/>
  </w:style>
  <w:style w:type="character" w:customStyle="1" w:styleId="xlinks-container">
    <w:name w:val="xlinks-container"/>
    <w:basedOn w:val="DefaultParagraphFont"/>
    <w:rsid w:val="00026AD3"/>
  </w:style>
  <w:style w:type="character" w:customStyle="1" w:styleId="googlescholar-container">
    <w:name w:val="googlescholar-container"/>
    <w:basedOn w:val="DefaultParagraphFont"/>
    <w:rsid w:val="00026AD3"/>
  </w:style>
  <w:style w:type="character" w:customStyle="1" w:styleId="nlmarticle-title">
    <w:name w:val="nlm_article-title"/>
    <w:basedOn w:val="DefaultParagraphFont"/>
    <w:rsid w:val="00026AD3"/>
  </w:style>
  <w:style w:type="character" w:customStyle="1" w:styleId="nlmfpage">
    <w:name w:val="nlm_fpage"/>
    <w:basedOn w:val="DefaultParagraphFont"/>
    <w:rsid w:val="00026AD3"/>
  </w:style>
  <w:style w:type="character" w:customStyle="1" w:styleId="nlmlpage">
    <w:name w:val="nlm_lpage"/>
    <w:basedOn w:val="DefaultParagraphFont"/>
    <w:rsid w:val="00026AD3"/>
  </w:style>
  <w:style w:type="paragraph" w:styleId="ListParagraph">
    <w:name w:val="List Paragraph"/>
    <w:basedOn w:val="Normal"/>
    <w:uiPriority w:val="34"/>
    <w:qFormat/>
    <w:rsid w:val="00DF6C31"/>
    <w:pPr>
      <w:spacing w:line="240" w:lineRule="auto"/>
      <w:ind w:left="720"/>
      <w:contextualSpacing/>
    </w:pPr>
    <w:rPr>
      <w:rFonts w:eastAsiaTheme="minorEastAsia"/>
      <w:lang w:eastAsia="en-GB"/>
    </w:rPr>
  </w:style>
  <w:style w:type="table" w:styleId="TableGrid">
    <w:name w:val="Table Grid"/>
    <w:basedOn w:val="TableNormal"/>
    <w:uiPriority w:val="39"/>
    <w:rsid w:val="00026AD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026AD3"/>
    <w:pPr>
      <w:spacing w:after="0" w:line="240" w:lineRule="auto"/>
    </w:pPr>
    <w:rPr>
      <w:lang w:val="en-GB"/>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26AD3"/>
    <w:rPr>
      <w:color w:val="808080"/>
      <w:shd w:val="clear" w:color="auto" w:fill="E6E6E6"/>
    </w:rPr>
  </w:style>
  <w:style w:type="paragraph" w:styleId="NormalWeb">
    <w:name w:val="Normal (Web)"/>
    <w:basedOn w:val="Normal"/>
    <w:uiPriority w:val="99"/>
    <w:semiHidden/>
    <w:unhideWhenUsed/>
    <w:rsid w:val="00026AD3"/>
    <w:pPr>
      <w:spacing w:before="100" w:beforeAutospacing="1" w:after="100" w:afterAutospacing="1" w:line="240" w:lineRule="auto"/>
    </w:pPr>
    <w:rPr>
      <w:rFonts w:eastAsia="Times New Roman" w:cs="Times New Roman"/>
      <w:szCs w:val="24"/>
      <w:lang w:eastAsia="en-GB"/>
    </w:rPr>
  </w:style>
  <w:style w:type="character" w:customStyle="1" w:styleId="nlmpub-id">
    <w:name w:val="nlm_pub-id"/>
    <w:basedOn w:val="DefaultParagraphFont"/>
    <w:rsid w:val="00026AD3"/>
  </w:style>
  <w:style w:type="character" w:customStyle="1" w:styleId="UnresolvedMention2">
    <w:name w:val="Unresolved Mention2"/>
    <w:basedOn w:val="DefaultParagraphFont"/>
    <w:uiPriority w:val="99"/>
    <w:semiHidden/>
    <w:unhideWhenUsed/>
    <w:rsid w:val="00026AD3"/>
    <w:rPr>
      <w:color w:val="605E5C"/>
      <w:shd w:val="clear" w:color="auto" w:fill="E1DFDD"/>
    </w:rPr>
  </w:style>
  <w:style w:type="character" w:customStyle="1" w:styleId="by-prefix">
    <w:name w:val="by-prefix"/>
    <w:basedOn w:val="DefaultParagraphFont"/>
    <w:rsid w:val="00026AD3"/>
  </w:style>
  <w:style w:type="paragraph" w:customStyle="1" w:styleId="article-author">
    <w:name w:val="article-author"/>
    <w:basedOn w:val="Normal"/>
    <w:rsid w:val="00026AD3"/>
    <w:pPr>
      <w:spacing w:before="100" w:beforeAutospacing="1" w:after="100" w:afterAutospacing="1" w:line="240" w:lineRule="auto"/>
    </w:pPr>
    <w:rPr>
      <w:rFonts w:eastAsia="Times New Roman" w:cs="Times New Roman"/>
      <w:szCs w:val="24"/>
      <w:lang w:val="en-US"/>
    </w:rPr>
  </w:style>
  <w:style w:type="character" w:customStyle="1" w:styleId="hgkelc">
    <w:name w:val="hgkelc"/>
    <w:basedOn w:val="DefaultParagraphFont"/>
    <w:rsid w:val="00026AD3"/>
  </w:style>
  <w:style w:type="character" w:customStyle="1" w:styleId="a">
    <w:name w:val="_"/>
    <w:basedOn w:val="DefaultParagraphFont"/>
    <w:rsid w:val="00026AD3"/>
  </w:style>
  <w:style w:type="table" w:customStyle="1" w:styleId="GridTable1Light-Accent51">
    <w:name w:val="Grid Table 1 Light - Accent 51"/>
    <w:basedOn w:val="TableNormal"/>
    <w:next w:val="GridTable1Light-Accent5"/>
    <w:uiPriority w:val="46"/>
    <w:rsid w:val="00026AD3"/>
    <w:pPr>
      <w:spacing w:after="0" w:line="240" w:lineRule="auto"/>
    </w:pPr>
    <w:rPr>
      <w:lang w:val="en-GB"/>
    </w:rPr>
    <w:tblPr>
      <w:tblStyleRowBandSize w:val="1"/>
      <w:tblStyleColBandSize w:val="1"/>
      <w:tblInd w:w="0" w:type="nil"/>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026AD3"/>
    <w:pPr>
      <w:spacing w:line="240" w:lineRule="auto"/>
    </w:pPr>
    <w:rPr>
      <w:sz w:val="20"/>
      <w:szCs w:val="20"/>
    </w:rPr>
  </w:style>
  <w:style w:type="character" w:customStyle="1" w:styleId="FootnoteTextChar">
    <w:name w:val="Footnote Text Char"/>
    <w:basedOn w:val="DefaultParagraphFont"/>
    <w:link w:val="FootnoteText"/>
    <w:uiPriority w:val="99"/>
    <w:rsid w:val="00026AD3"/>
    <w:rPr>
      <w:rFonts w:ascii="Times New Roman" w:hAnsi="Times New Roman"/>
      <w:sz w:val="20"/>
      <w:szCs w:val="20"/>
      <w:lang w:val="en-GB"/>
    </w:rPr>
  </w:style>
  <w:style w:type="character" w:styleId="FootnoteReference">
    <w:name w:val="footnote reference"/>
    <w:basedOn w:val="DefaultParagraphFont"/>
    <w:uiPriority w:val="99"/>
    <w:semiHidden/>
    <w:unhideWhenUsed/>
    <w:rsid w:val="00026AD3"/>
    <w:rPr>
      <w:vertAlign w:val="superscript"/>
    </w:rPr>
  </w:style>
  <w:style w:type="table" w:styleId="PlainTable4">
    <w:name w:val="Plain Table 4"/>
    <w:basedOn w:val="TableNormal"/>
    <w:uiPriority w:val="44"/>
    <w:rsid w:val="00026AD3"/>
    <w:pPr>
      <w:spacing w:after="0" w:line="240" w:lineRule="auto"/>
    </w:pPr>
    <w:rPr>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26AD3"/>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26AD3"/>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026AD3"/>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6AD3"/>
    <w:pPr>
      <w:spacing w:after="0" w:line="240" w:lineRule="auto"/>
    </w:pPr>
    <w:rPr>
      <w:rFonts w:ascii="Calibri" w:eastAsia="Calibri" w:hAnsi="Calibri" w:cs="Times New Roman"/>
      <w:lang w:val="de-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2C63"/>
    <w:pPr>
      <w:tabs>
        <w:tab w:val="left" w:pos="400"/>
        <w:tab w:val="right" w:leader="dot" w:pos="9356"/>
      </w:tabs>
      <w:spacing w:after="120" w:line="240" w:lineRule="auto"/>
    </w:pPr>
    <w:rPr>
      <w:noProof/>
      <w:lang w:val="en-US"/>
    </w:rPr>
  </w:style>
  <w:style w:type="paragraph" w:styleId="TOCHeading">
    <w:name w:val="TOC Heading"/>
    <w:basedOn w:val="Heading1"/>
    <w:next w:val="Normal"/>
    <w:uiPriority w:val="39"/>
    <w:unhideWhenUsed/>
    <w:qFormat/>
    <w:rsid w:val="00CA2C63"/>
    <w:pPr>
      <w:spacing w:after="240" w:line="240" w:lineRule="auto"/>
      <w:jc w:val="left"/>
      <w:outlineLvl w:val="9"/>
    </w:pPr>
    <w:rPr>
      <w:lang w:val="en-US"/>
    </w:rPr>
  </w:style>
  <w:style w:type="paragraph" w:styleId="TOC2">
    <w:name w:val="toc 2"/>
    <w:basedOn w:val="Normal"/>
    <w:next w:val="Normal"/>
    <w:autoRedefine/>
    <w:uiPriority w:val="39"/>
    <w:unhideWhenUsed/>
    <w:rsid w:val="00CA2C63"/>
    <w:pPr>
      <w:tabs>
        <w:tab w:val="right" w:leader="dot" w:pos="9352"/>
      </w:tabs>
      <w:spacing w:after="100" w:line="240" w:lineRule="auto"/>
      <w:ind w:left="238"/>
    </w:pPr>
  </w:style>
  <w:style w:type="table" w:customStyle="1" w:styleId="PlainTable211">
    <w:name w:val="Plain Table 211"/>
    <w:basedOn w:val="TableNormal"/>
    <w:uiPriority w:val="42"/>
    <w:rsid w:val="00CD4BCF"/>
    <w:pPr>
      <w:spacing w:after="0" w:line="240" w:lineRule="auto"/>
    </w:pPr>
    <w:rPr>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3">
    <w:name w:val="Unresolved Mention3"/>
    <w:basedOn w:val="DefaultParagraphFont"/>
    <w:uiPriority w:val="99"/>
    <w:semiHidden/>
    <w:unhideWhenUsed/>
    <w:rsid w:val="00B12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974599">
      <w:bodyDiv w:val="1"/>
      <w:marLeft w:val="0"/>
      <w:marRight w:val="0"/>
      <w:marTop w:val="0"/>
      <w:marBottom w:val="0"/>
      <w:divBdr>
        <w:top w:val="none" w:sz="0" w:space="0" w:color="auto"/>
        <w:left w:val="none" w:sz="0" w:space="0" w:color="auto"/>
        <w:bottom w:val="none" w:sz="0" w:space="0" w:color="auto"/>
        <w:right w:val="none" w:sz="0" w:space="0" w:color="auto"/>
      </w:divBdr>
    </w:div>
    <w:div w:id="707606549">
      <w:bodyDiv w:val="1"/>
      <w:marLeft w:val="0"/>
      <w:marRight w:val="0"/>
      <w:marTop w:val="0"/>
      <w:marBottom w:val="0"/>
      <w:divBdr>
        <w:top w:val="none" w:sz="0" w:space="0" w:color="auto"/>
        <w:left w:val="none" w:sz="0" w:space="0" w:color="auto"/>
        <w:bottom w:val="none" w:sz="0" w:space="0" w:color="auto"/>
        <w:right w:val="none" w:sz="0" w:space="0" w:color="auto"/>
      </w:divBdr>
    </w:div>
    <w:div w:id="1199389516">
      <w:bodyDiv w:val="1"/>
      <w:marLeft w:val="0"/>
      <w:marRight w:val="0"/>
      <w:marTop w:val="0"/>
      <w:marBottom w:val="0"/>
      <w:divBdr>
        <w:top w:val="none" w:sz="0" w:space="0" w:color="auto"/>
        <w:left w:val="none" w:sz="0" w:space="0" w:color="auto"/>
        <w:bottom w:val="none" w:sz="0" w:space="0" w:color="auto"/>
        <w:right w:val="none" w:sz="0" w:space="0" w:color="auto"/>
      </w:divBdr>
      <w:divsChild>
        <w:div w:id="1649624738">
          <w:marLeft w:val="0"/>
          <w:marRight w:val="0"/>
          <w:marTop w:val="0"/>
          <w:marBottom w:val="0"/>
          <w:divBdr>
            <w:top w:val="none" w:sz="0" w:space="0" w:color="auto"/>
            <w:left w:val="none" w:sz="0" w:space="0" w:color="auto"/>
            <w:bottom w:val="none" w:sz="0" w:space="0" w:color="auto"/>
            <w:right w:val="none" w:sz="0" w:space="0" w:color="auto"/>
          </w:divBdr>
          <w:divsChild>
            <w:div w:id="411388602">
              <w:marLeft w:val="0"/>
              <w:marRight w:val="0"/>
              <w:marTop w:val="0"/>
              <w:marBottom w:val="0"/>
              <w:divBdr>
                <w:top w:val="none" w:sz="0" w:space="0" w:color="auto"/>
                <w:left w:val="none" w:sz="0" w:space="0" w:color="auto"/>
                <w:bottom w:val="none" w:sz="0" w:space="0" w:color="auto"/>
                <w:right w:val="none" w:sz="0" w:space="0" w:color="auto"/>
              </w:divBdr>
              <w:divsChild>
                <w:div w:id="168907726">
                  <w:marLeft w:val="0"/>
                  <w:marRight w:val="0"/>
                  <w:marTop w:val="0"/>
                  <w:marBottom w:val="0"/>
                  <w:divBdr>
                    <w:top w:val="none" w:sz="0" w:space="0" w:color="auto"/>
                    <w:left w:val="none" w:sz="0" w:space="0" w:color="auto"/>
                    <w:bottom w:val="none" w:sz="0" w:space="0" w:color="auto"/>
                    <w:right w:val="none" w:sz="0" w:space="0" w:color="auto"/>
                  </w:divBdr>
                  <w:divsChild>
                    <w:div w:id="88907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95451">
      <w:bodyDiv w:val="1"/>
      <w:marLeft w:val="0"/>
      <w:marRight w:val="0"/>
      <w:marTop w:val="0"/>
      <w:marBottom w:val="0"/>
      <w:divBdr>
        <w:top w:val="none" w:sz="0" w:space="0" w:color="auto"/>
        <w:left w:val="none" w:sz="0" w:space="0" w:color="auto"/>
        <w:bottom w:val="none" w:sz="0" w:space="0" w:color="auto"/>
        <w:right w:val="none" w:sz="0" w:space="0" w:color="auto"/>
      </w:divBdr>
    </w:div>
    <w:div w:id="1811745922">
      <w:bodyDiv w:val="1"/>
      <w:marLeft w:val="0"/>
      <w:marRight w:val="0"/>
      <w:marTop w:val="0"/>
      <w:marBottom w:val="0"/>
      <w:divBdr>
        <w:top w:val="none" w:sz="0" w:space="0" w:color="auto"/>
        <w:left w:val="none" w:sz="0" w:space="0" w:color="auto"/>
        <w:bottom w:val="none" w:sz="0" w:space="0" w:color="auto"/>
        <w:right w:val="none" w:sz="0" w:space="0" w:color="auto"/>
      </w:divBdr>
      <w:divsChild>
        <w:div w:id="1552351524">
          <w:marLeft w:val="0"/>
          <w:marRight w:val="0"/>
          <w:marTop w:val="0"/>
          <w:marBottom w:val="0"/>
          <w:divBdr>
            <w:top w:val="none" w:sz="0" w:space="0" w:color="auto"/>
            <w:left w:val="none" w:sz="0" w:space="0" w:color="auto"/>
            <w:bottom w:val="none" w:sz="0" w:space="0" w:color="auto"/>
            <w:right w:val="none" w:sz="0" w:space="0" w:color="auto"/>
          </w:divBdr>
        </w:div>
        <w:div w:id="1399598860">
          <w:marLeft w:val="0"/>
          <w:marRight w:val="0"/>
          <w:marTop w:val="0"/>
          <w:marBottom w:val="0"/>
          <w:divBdr>
            <w:top w:val="none" w:sz="0" w:space="0" w:color="auto"/>
            <w:left w:val="none" w:sz="0" w:space="0" w:color="auto"/>
            <w:bottom w:val="none" w:sz="0" w:space="0" w:color="auto"/>
            <w:right w:val="none" w:sz="0" w:space="0" w:color="auto"/>
          </w:divBdr>
        </w:div>
        <w:div w:id="23676825">
          <w:marLeft w:val="0"/>
          <w:marRight w:val="0"/>
          <w:marTop w:val="0"/>
          <w:marBottom w:val="0"/>
          <w:divBdr>
            <w:top w:val="none" w:sz="0" w:space="0" w:color="auto"/>
            <w:left w:val="none" w:sz="0" w:space="0" w:color="auto"/>
            <w:bottom w:val="none" w:sz="0" w:space="0" w:color="auto"/>
            <w:right w:val="none" w:sz="0" w:space="0" w:color="auto"/>
          </w:divBdr>
        </w:div>
      </w:divsChild>
    </w:div>
    <w:div w:id="1938102489">
      <w:bodyDiv w:val="1"/>
      <w:marLeft w:val="0"/>
      <w:marRight w:val="0"/>
      <w:marTop w:val="0"/>
      <w:marBottom w:val="0"/>
      <w:divBdr>
        <w:top w:val="none" w:sz="0" w:space="0" w:color="auto"/>
        <w:left w:val="none" w:sz="0" w:space="0" w:color="auto"/>
        <w:bottom w:val="none" w:sz="0" w:space="0" w:color="auto"/>
        <w:right w:val="none" w:sz="0" w:space="0" w:color="auto"/>
      </w:divBdr>
      <w:divsChild>
        <w:div w:id="2059548479">
          <w:marLeft w:val="0"/>
          <w:marRight w:val="0"/>
          <w:marTop w:val="0"/>
          <w:marBottom w:val="0"/>
          <w:divBdr>
            <w:top w:val="none" w:sz="0" w:space="0" w:color="auto"/>
            <w:left w:val="none" w:sz="0" w:space="0" w:color="auto"/>
            <w:bottom w:val="none" w:sz="0" w:space="0" w:color="auto"/>
            <w:right w:val="none" w:sz="0" w:space="0" w:color="auto"/>
          </w:divBdr>
          <w:divsChild>
            <w:div w:id="1711761919">
              <w:marLeft w:val="0"/>
              <w:marRight w:val="0"/>
              <w:marTop w:val="0"/>
              <w:marBottom w:val="0"/>
              <w:divBdr>
                <w:top w:val="none" w:sz="0" w:space="0" w:color="auto"/>
                <w:left w:val="none" w:sz="0" w:space="0" w:color="auto"/>
                <w:bottom w:val="none" w:sz="0" w:space="0" w:color="auto"/>
                <w:right w:val="none" w:sz="0" w:space="0" w:color="auto"/>
              </w:divBdr>
              <w:divsChild>
                <w:div w:id="623468677">
                  <w:marLeft w:val="0"/>
                  <w:marRight w:val="0"/>
                  <w:marTop w:val="0"/>
                  <w:marBottom w:val="0"/>
                  <w:divBdr>
                    <w:top w:val="none" w:sz="0" w:space="0" w:color="auto"/>
                    <w:left w:val="none" w:sz="0" w:space="0" w:color="auto"/>
                    <w:bottom w:val="none" w:sz="0" w:space="0" w:color="auto"/>
                    <w:right w:val="none" w:sz="0" w:space="0" w:color="auto"/>
                  </w:divBdr>
                  <w:divsChild>
                    <w:div w:id="2463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s://www.dropbox.com/scl/fi/fz0nfxmes2hj2btltcyl9/narrative.wav?rlkey=blq20p5c02scs5s5ktx7ju0ok&amp;st=xear2p2g&amp;dl=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dropbox.com/scl/fi/go7j4zft3s5magqj48r9j/analytical.wav?rlkey=oij65az4fd18opcfbyn67ux4s&amp;st=ej3palhf&amp;dl=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https://www.dropbox.com/scl/fi/hqf7b80992v2dgi1ynisz/Blended.wav?rlkey=jp3jtvz78mjl7jevjgxo9tceg&amp;st=7ewsvx9j&amp;dl=0" TargetMode="External"/><Relationship Id="rId4" Type="http://schemas.openxmlformats.org/officeDocument/2006/relationships/settings" Target="settings.xml"/><Relationship Id="rId9" Type="http://schemas.openxmlformats.org/officeDocument/2006/relationships/hyperlink" Target="https://www.erim.eur.nl/about-erim/erim-journals-list-ejl/"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A4215-AE6A-44C3-891E-F45E4144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12681</Words>
  <Characters>72282</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Dhruv Grewal</dc:creator>
  <cp:keywords/>
  <dc:description/>
  <cp:lastModifiedBy>Davide Orazi</cp:lastModifiedBy>
  <cp:revision>2</cp:revision>
  <dcterms:created xsi:type="dcterms:W3CDTF">2025-02-09T01:19:00Z</dcterms:created>
  <dcterms:modified xsi:type="dcterms:W3CDTF">2025-02-09T01:19:00Z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306a34-4f90-403b-9fff-d1d3d6603342_Enabled">
    <vt:lpwstr>true</vt:lpwstr>
  </property>
  <property fmtid="{D5CDD505-2E9C-101B-9397-08002B2CF9AE}" pid="3" name="MSIP_Label_8b306a34-4f90-403b-9fff-d1d3d6603342_SetDate">
    <vt:lpwstr>2024-10-20T14:26:40Z</vt:lpwstr>
  </property>
  <property fmtid="{D5CDD505-2E9C-101B-9397-08002B2CF9AE}" pid="4" name="MSIP_Label_8b306a34-4f90-403b-9fff-d1d3d6603342_Method">
    <vt:lpwstr>Standard</vt:lpwstr>
  </property>
  <property fmtid="{D5CDD505-2E9C-101B-9397-08002B2CF9AE}" pid="5" name="MSIP_Label_8b306a34-4f90-403b-9fff-d1d3d6603342_Name">
    <vt:lpwstr>General</vt:lpwstr>
  </property>
  <property fmtid="{D5CDD505-2E9C-101B-9397-08002B2CF9AE}" pid="6" name="MSIP_Label_8b306a34-4f90-403b-9fff-d1d3d6603342_SiteId">
    <vt:lpwstr>e83d2ad7-3bcd-4d5c-9d6c-6ffa1a4434bf</vt:lpwstr>
  </property>
  <property fmtid="{D5CDD505-2E9C-101B-9397-08002B2CF9AE}" pid="7" name="MSIP_Label_8b306a34-4f90-403b-9fff-d1d3d6603342_ActionId">
    <vt:lpwstr>61765691-3dca-4a5e-a59d-7ad924d04765</vt:lpwstr>
  </property>
  <property fmtid="{D5CDD505-2E9C-101B-9397-08002B2CF9AE}" pid="8" name="MSIP_Label_8b306a34-4f90-403b-9fff-d1d3d6603342_ContentBits">
    <vt:lpwstr>0</vt:lpwstr>
  </property>
</Properties>
</file>