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4475A" w14:textId="77777777" w:rsidR="00A943F7" w:rsidRPr="00350908" w:rsidRDefault="00A943F7" w:rsidP="00A943F7">
      <w:pPr>
        <w:spacing w:after="0" w:line="240" w:lineRule="auto"/>
        <w:jc w:val="center"/>
        <w:rPr>
          <w:rFonts w:ascii="Times New Roman" w:eastAsia="MS Mincho" w:hAnsi="Times New Roman" w:cs="Times New Roman"/>
          <w:b/>
          <w:bCs/>
          <w:color w:val="000000" w:themeColor="text1"/>
          <w:sz w:val="24"/>
          <w:szCs w:val="24"/>
        </w:rPr>
      </w:pPr>
      <w:r w:rsidRPr="00350908">
        <w:rPr>
          <w:rFonts w:ascii="Times New Roman" w:eastAsia="MS Mincho" w:hAnsi="Times New Roman" w:cs="Times New Roman"/>
          <w:b/>
          <w:bCs/>
          <w:color w:val="000000" w:themeColor="text1"/>
          <w:sz w:val="24"/>
          <w:szCs w:val="24"/>
        </w:rPr>
        <w:t>Web Appendix III. Robustness Checks (Study 2)</w:t>
      </w:r>
    </w:p>
    <w:p w14:paraId="29B238C4" w14:textId="77777777" w:rsidR="00A943F7" w:rsidRPr="00350908" w:rsidRDefault="00A943F7" w:rsidP="00A943F7">
      <w:pPr>
        <w:spacing w:after="0" w:line="240" w:lineRule="auto"/>
        <w:rPr>
          <w:rFonts w:ascii="Times New Roman" w:eastAsia="MS Mincho" w:hAnsi="Times New Roman" w:cs="Times New Roman"/>
          <w:color w:val="000000" w:themeColor="text1"/>
          <w:sz w:val="24"/>
          <w:szCs w:val="24"/>
        </w:rPr>
      </w:pPr>
    </w:p>
    <w:p w14:paraId="35386E6D" w14:textId="77777777" w:rsidR="00A943F7" w:rsidRPr="00350908" w:rsidRDefault="00A943F7" w:rsidP="00A943F7">
      <w:pPr>
        <w:spacing w:after="0" w:line="240" w:lineRule="auto"/>
        <w:rPr>
          <w:rFonts w:ascii="Times New Roman" w:hAnsi="Times New Roman" w:cs="Times New Roman"/>
          <w:color w:val="000000" w:themeColor="text1"/>
          <w:sz w:val="24"/>
          <w:szCs w:val="24"/>
        </w:rPr>
      </w:pPr>
      <w:r w:rsidRPr="00350908">
        <w:rPr>
          <w:rFonts w:ascii="Times New Roman" w:hAnsi="Times New Roman" w:cs="Times New Roman"/>
          <w:color w:val="000000" w:themeColor="text1"/>
          <w:sz w:val="24"/>
          <w:szCs w:val="24"/>
        </w:rPr>
        <w:t xml:space="preserve">We conducted thirteen </w:t>
      </w:r>
      <w:proofErr w:type="gramStart"/>
      <w:r w:rsidRPr="00350908">
        <w:rPr>
          <w:rFonts w:ascii="Times New Roman" w:hAnsi="Times New Roman" w:cs="Times New Roman"/>
          <w:color w:val="000000" w:themeColor="text1"/>
          <w:sz w:val="24"/>
          <w:szCs w:val="24"/>
        </w:rPr>
        <w:t>robustness</w:t>
      </w:r>
      <w:proofErr w:type="gramEnd"/>
      <w:r w:rsidRPr="00350908">
        <w:rPr>
          <w:rFonts w:ascii="Times New Roman" w:hAnsi="Times New Roman" w:cs="Times New Roman"/>
          <w:color w:val="000000" w:themeColor="text1"/>
          <w:sz w:val="24"/>
          <w:szCs w:val="24"/>
        </w:rPr>
        <w:t xml:space="preserve"> checks. Results of the first twelve tests are displayed at the end of this appendix. First, we explored the possibility of curvilinear effects. The table below shows that none of the quadratic terms were significant, indicating linear effects of crowd size, product adoption, and customer satisfaction.</w:t>
      </w:r>
    </w:p>
    <w:p w14:paraId="50F1206A" w14:textId="77777777" w:rsidR="00A943F7" w:rsidRPr="00350908" w:rsidRDefault="00A943F7" w:rsidP="00A943F7">
      <w:pPr>
        <w:spacing w:after="0" w:line="240" w:lineRule="auto"/>
        <w:rPr>
          <w:rFonts w:ascii="Times New Roman" w:hAnsi="Times New Roman" w:cs="Times New Roman"/>
          <w:color w:val="000000" w:themeColor="text1"/>
          <w:sz w:val="24"/>
          <w:szCs w:val="24"/>
        </w:rPr>
      </w:pPr>
    </w:p>
    <w:p w14:paraId="4D757406" w14:textId="77777777" w:rsidR="00A943F7" w:rsidRPr="00350908" w:rsidRDefault="00A943F7" w:rsidP="00A943F7">
      <w:pPr>
        <w:spacing w:after="0" w:line="240" w:lineRule="auto"/>
        <w:rPr>
          <w:rFonts w:ascii="Times New Roman" w:hAnsi="Times New Roman" w:cs="Times New Roman"/>
          <w:color w:val="000000" w:themeColor="text1"/>
          <w:sz w:val="24"/>
          <w:szCs w:val="24"/>
        </w:rPr>
      </w:pPr>
      <w:r w:rsidRPr="00350908">
        <w:rPr>
          <w:rFonts w:ascii="Times New Roman" w:hAnsi="Times New Roman" w:cs="Times New Roman"/>
          <w:color w:val="000000" w:themeColor="text1"/>
          <w:sz w:val="24"/>
          <w:szCs w:val="24"/>
        </w:rPr>
        <w:t xml:space="preserve">Second, </w:t>
      </w:r>
      <w:bookmarkStart w:id="0" w:name="_Hlk139425334"/>
      <w:r w:rsidRPr="00350908">
        <w:rPr>
          <w:rFonts w:ascii="Times New Roman" w:hAnsi="Times New Roman" w:cs="Times New Roman"/>
          <w:color w:val="000000" w:themeColor="text1"/>
          <w:sz w:val="24"/>
          <w:szCs w:val="24"/>
        </w:rPr>
        <w:t xml:space="preserve">all examined projects in this study were successfully </w:t>
      </w:r>
      <w:proofErr w:type="gramStart"/>
      <w:r w:rsidRPr="00350908">
        <w:rPr>
          <w:rFonts w:ascii="Times New Roman" w:hAnsi="Times New Roman" w:cs="Times New Roman"/>
          <w:color w:val="000000" w:themeColor="text1"/>
          <w:sz w:val="24"/>
          <w:szCs w:val="24"/>
        </w:rPr>
        <w:t>crowdfunded</w:t>
      </w:r>
      <w:proofErr w:type="gramEnd"/>
      <w:r w:rsidRPr="00350908">
        <w:rPr>
          <w:rFonts w:ascii="Times New Roman" w:hAnsi="Times New Roman" w:cs="Times New Roman"/>
          <w:color w:val="000000" w:themeColor="text1"/>
          <w:sz w:val="24"/>
          <w:szCs w:val="24"/>
        </w:rPr>
        <w:t>. However, as Study 1 showed, entrepreneurs may launch unsuccessfully funded products. Our sample did not capture this possibility, which may result in sample-induced endogeneity. As such, we adopted Heckman’s two-stage correction procedures to address this issue. We adopted a matching sample of failed crowdfunding projects and chose two factors as exclusion restrictions: (1) the number of reward tiers and (2) whether a project was featured on the crowdfunding website. Both factors were related to the stage-one outcome (</w:t>
      </w:r>
      <w:r w:rsidRPr="00350908">
        <w:rPr>
          <w:rFonts w:ascii="Times New Roman" w:hAnsi="Times New Roman" w:cs="Times New Roman"/>
          <w:i/>
          <w:iCs/>
          <w:color w:val="000000" w:themeColor="text1"/>
          <w:sz w:val="24"/>
          <w:szCs w:val="24"/>
        </w:rPr>
        <w:t>p</w:t>
      </w:r>
      <w:r w:rsidRPr="00350908">
        <w:rPr>
          <w:rFonts w:ascii="Times New Roman" w:hAnsi="Times New Roman" w:cs="Times New Roman"/>
          <w:color w:val="000000" w:themeColor="text1"/>
          <w:sz w:val="24"/>
          <w:szCs w:val="24"/>
        </w:rPr>
        <w:t>&lt;.01). We built a probit model (0=failed; 1=succeeded) at stage one and reexamined hypotheses related to the crowdfunding-commercialization link at stage two: direct effects (H1 and H2) and moderation effects (H5 and H6). The findings remained consistent.</w:t>
      </w:r>
      <w:bookmarkEnd w:id="0"/>
    </w:p>
    <w:p w14:paraId="2DF0EB23" w14:textId="77777777" w:rsidR="00A943F7" w:rsidRPr="00350908" w:rsidRDefault="00A943F7" w:rsidP="00A943F7">
      <w:pPr>
        <w:spacing w:after="0" w:line="240" w:lineRule="auto"/>
        <w:rPr>
          <w:rFonts w:ascii="Times New Roman" w:hAnsi="Times New Roman" w:cs="Times New Roman"/>
          <w:sz w:val="24"/>
          <w:szCs w:val="24"/>
        </w:rPr>
      </w:pPr>
    </w:p>
    <w:p w14:paraId="0E797935" w14:textId="77777777" w:rsidR="00A943F7" w:rsidRPr="00350908" w:rsidRDefault="00A943F7" w:rsidP="00A943F7">
      <w:pPr>
        <w:spacing w:after="0" w:line="240" w:lineRule="auto"/>
        <w:rPr>
          <w:rFonts w:ascii="Times New Roman" w:hAnsi="Times New Roman" w:cs="Times New Roman"/>
          <w:sz w:val="24"/>
          <w:szCs w:val="24"/>
        </w:rPr>
      </w:pPr>
      <w:r w:rsidRPr="00350908">
        <w:rPr>
          <w:rFonts w:ascii="Times New Roman" w:hAnsi="Times New Roman" w:cs="Times New Roman"/>
          <w:sz w:val="24"/>
          <w:szCs w:val="24"/>
        </w:rPr>
        <w:t xml:space="preserve">Third, cases with zero reviews were removed for the hypothesis testing. One may ask whether this created a selection bias because the number of ratings was used to measure product adoption, and zero reviews may imply the least adoption. To address this issue, we added cases with zero reviews to the sample and retested the hypotheses associated with product adoption: H1, H3, and H5. Out of all zero-review cases, seven met every criterion used in the data-cleaning process (see Data Collection). We added them to the original sample. Since the log function did not apply to zero, the value of one was added before the log transformation. The new sample, which contained zero-review cases, yielded consistent findings, minimizing the concern for the selection bias. </w:t>
      </w:r>
    </w:p>
    <w:p w14:paraId="652B9169" w14:textId="77777777" w:rsidR="00A943F7" w:rsidRPr="00350908" w:rsidRDefault="00A943F7" w:rsidP="00A943F7">
      <w:pPr>
        <w:spacing w:after="0" w:line="240" w:lineRule="auto"/>
        <w:rPr>
          <w:rFonts w:ascii="Times New Roman" w:hAnsi="Times New Roman" w:cs="Times New Roman"/>
          <w:color w:val="000000" w:themeColor="text1"/>
          <w:sz w:val="24"/>
          <w:szCs w:val="24"/>
        </w:rPr>
      </w:pPr>
    </w:p>
    <w:p w14:paraId="53765AF6" w14:textId="77777777" w:rsidR="00A943F7" w:rsidRPr="00350908" w:rsidRDefault="00A943F7" w:rsidP="00A943F7">
      <w:pPr>
        <w:spacing w:after="0" w:line="240" w:lineRule="auto"/>
        <w:rPr>
          <w:rFonts w:ascii="Times New Roman" w:hAnsi="Times New Roman" w:cs="Times New Roman"/>
          <w:color w:val="000000" w:themeColor="text1"/>
          <w:sz w:val="24"/>
          <w:szCs w:val="24"/>
        </w:rPr>
      </w:pPr>
      <w:r w:rsidRPr="00350908">
        <w:rPr>
          <w:rFonts w:ascii="Times New Roman" w:hAnsi="Times New Roman" w:cs="Times New Roman"/>
          <w:color w:val="000000" w:themeColor="text1"/>
          <w:sz w:val="24"/>
          <w:szCs w:val="24"/>
        </w:rPr>
        <w:t>Fourth, entrepreneurs sometimes offer symbolic “thank you” rather than actual products to backers who pledge a small amount (e.g., $1). Also, entrepreneurs may offer “</w:t>
      </w:r>
      <w:proofErr w:type="gramStart"/>
      <w:r w:rsidRPr="00350908">
        <w:rPr>
          <w:rFonts w:ascii="Times New Roman" w:hAnsi="Times New Roman" w:cs="Times New Roman"/>
          <w:color w:val="000000" w:themeColor="text1"/>
          <w:sz w:val="24"/>
          <w:szCs w:val="24"/>
        </w:rPr>
        <w:t>low-value</w:t>
      </w:r>
      <w:proofErr w:type="gramEnd"/>
      <w:r w:rsidRPr="00350908">
        <w:rPr>
          <w:rFonts w:ascii="Times New Roman" w:hAnsi="Times New Roman" w:cs="Times New Roman"/>
          <w:color w:val="000000" w:themeColor="text1"/>
          <w:sz w:val="24"/>
          <w:szCs w:val="24"/>
        </w:rPr>
        <w:t>” items (e.g., t-shirts with the brand logo) rather than the crowdfunded product as a reward. One may argue that those backers are less engaged and have a lesser effect on mainstream consumers. Accordingly, we collected data about reward tiers in each crowdfunding campaign and recalculated crowd size by removing the backer groups who received “thank you” and “</w:t>
      </w:r>
      <w:proofErr w:type="gramStart"/>
      <w:r w:rsidRPr="00350908">
        <w:rPr>
          <w:rFonts w:ascii="Times New Roman" w:hAnsi="Times New Roman" w:cs="Times New Roman"/>
          <w:color w:val="000000" w:themeColor="text1"/>
          <w:sz w:val="24"/>
          <w:szCs w:val="24"/>
        </w:rPr>
        <w:t>low-value</w:t>
      </w:r>
      <w:proofErr w:type="gramEnd"/>
      <w:r w:rsidRPr="00350908">
        <w:rPr>
          <w:rFonts w:ascii="Times New Roman" w:hAnsi="Times New Roman" w:cs="Times New Roman"/>
          <w:color w:val="000000" w:themeColor="text1"/>
          <w:sz w:val="24"/>
          <w:szCs w:val="24"/>
        </w:rPr>
        <w:t>” items. The results based on the modified independent variable remained consistent.</w:t>
      </w:r>
    </w:p>
    <w:p w14:paraId="7E8C65D5" w14:textId="77777777" w:rsidR="00A943F7" w:rsidRPr="00350908" w:rsidRDefault="00A943F7" w:rsidP="00A943F7">
      <w:pPr>
        <w:spacing w:after="0" w:line="240" w:lineRule="auto"/>
        <w:rPr>
          <w:rFonts w:ascii="Times New Roman" w:hAnsi="Times New Roman" w:cs="Times New Roman"/>
          <w:color w:val="000000" w:themeColor="text1"/>
          <w:sz w:val="24"/>
          <w:szCs w:val="24"/>
        </w:rPr>
      </w:pPr>
    </w:p>
    <w:p w14:paraId="6B2B8DBE" w14:textId="77777777" w:rsidR="00A943F7" w:rsidRPr="00350908" w:rsidRDefault="00A943F7" w:rsidP="00A943F7">
      <w:pPr>
        <w:spacing w:after="0" w:line="240" w:lineRule="auto"/>
        <w:rPr>
          <w:rFonts w:ascii="Times New Roman" w:hAnsi="Times New Roman" w:cs="Times New Roman"/>
          <w:color w:val="000000" w:themeColor="text1"/>
          <w:sz w:val="24"/>
          <w:szCs w:val="24"/>
        </w:rPr>
      </w:pPr>
      <w:r w:rsidRPr="00350908">
        <w:rPr>
          <w:rFonts w:ascii="Times New Roman" w:hAnsi="Times New Roman" w:cs="Times New Roman"/>
          <w:color w:val="000000" w:themeColor="text1"/>
          <w:sz w:val="24"/>
          <w:szCs w:val="24"/>
        </w:rPr>
        <w:t xml:space="preserve">Fifth, we adopted the number of ratings to measure product adoption. An alternative measure to indicate the popularity of a product is sales rank. We collected this information at Time 1 and used the sales rank under each Amazon subcategory (same as the control variable competition). Not all products had the subcategory rank reported on Amazon at the time of data collection, but we were able to identify 195 valid cases. Since the competition under each subcategory was substantially different, the sales rank was a relative term. Thus, we computed a score by dividing the sale rank by the number of products listed in each subcategory and then log-transformed it </w:t>
      </w:r>
      <w:proofErr w:type="gramStart"/>
      <w:r w:rsidRPr="00350908">
        <w:rPr>
          <w:rFonts w:ascii="Times New Roman" w:hAnsi="Times New Roman" w:cs="Times New Roman"/>
          <w:color w:val="000000" w:themeColor="text1"/>
          <w:sz w:val="24"/>
          <w:szCs w:val="24"/>
        </w:rPr>
        <w:t>for</w:t>
      </w:r>
      <w:proofErr w:type="gramEnd"/>
      <w:r w:rsidRPr="00350908">
        <w:rPr>
          <w:rFonts w:ascii="Times New Roman" w:hAnsi="Times New Roman" w:cs="Times New Roman"/>
          <w:color w:val="000000" w:themeColor="text1"/>
          <w:sz w:val="24"/>
          <w:szCs w:val="24"/>
        </w:rPr>
        <w:t xml:space="preserve"> normality. First, we found this variable was significantly correlated with the number of ratings (r=-.29, </w:t>
      </w:r>
      <w:r w:rsidRPr="00350908">
        <w:rPr>
          <w:rFonts w:ascii="Times New Roman" w:hAnsi="Times New Roman" w:cs="Times New Roman"/>
          <w:i/>
          <w:iCs/>
          <w:color w:val="000000" w:themeColor="text1"/>
          <w:sz w:val="24"/>
          <w:szCs w:val="24"/>
        </w:rPr>
        <w:t>p</w:t>
      </w:r>
      <w:r w:rsidRPr="00350908">
        <w:rPr>
          <w:rFonts w:ascii="Times New Roman" w:hAnsi="Times New Roman" w:cs="Times New Roman"/>
          <w:color w:val="000000" w:themeColor="text1"/>
          <w:sz w:val="24"/>
          <w:szCs w:val="24"/>
        </w:rPr>
        <w:t xml:space="preserve">&lt;.01). We then used this variable as an alternative measure for product </w:t>
      </w:r>
      <w:r w:rsidRPr="00350908">
        <w:rPr>
          <w:rFonts w:ascii="Times New Roman" w:hAnsi="Times New Roman" w:cs="Times New Roman"/>
          <w:color w:val="000000" w:themeColor="text1"/>
          <w:sz w:val="24"/>
          <w:szCs w:val="24"/>
        </w:rPr>
        <w:lastRenderedPageBreak/>
        <w:t xml:space="preserve">adoption, retested all Time-1 hypotheses, and found consistent results. The coefficient for this variable was negative because the higher the rank, the less popular the product was. </w:t>
      </w:r>
    </w:p>
    <w:p w14:paraId="00E9AB7D" w14:textId="77777777" w:rsidR="00A943F7" w:rsidRPr="00350908" w:rsidRDefault="00A943F7" w:rsidP="00A943F7">
      <w:pPr>
        <w:spacing w:after="0" w:line="240" w:lineRule="auto"/>
        <w:rPr>
          <w:rFonts w:ascii="Times New Roman" w:hAnsi="Times New Roman" w:cs="Times New Roman"/>
          <w:color w:val="000000" w:themeColor="text1"/>
          <w:sz w:val="24"/>
          <w:szCs w:val="24"/>
        </w:rPr>
      </w:pPr>
    </w:p>
    <w:p w14:paraId="1F647875" w14:textId="77777777" w:rsidR="00A943F7" w:rsidRPr="00350908" w:rsidRDefault="00A943F7" w:rsidP="00A943F7">
      <w:pPr>
        <w:spacing w:after="0" w:line="240" w:lineRule="auto"/>
        <w:rPr>
          <w:rFonts w:ascii="Times New Roman" w:hAnsi="Times New Roman" w:cs="Times New Roman"/>
          <w:color w:val="000000" w:themeColor="text1"/>
          <w:sz w:val="24"/>
          <w:szCs w:val="24"/>
        </w:rPr>
      </w:pPr>
      <w:r w:rsidRPr="00350908">
        <w:rPr>
          <w:rFonts w:ascii="Times New Roman" w:hAnsi="Times New Roman" w:cs="Times New Roman"/>
          <w:color w:val="000000" w:themeColor="text1"/>
          <w:sz w:val="24"/>
          <w:szCs w:val="24"/>
        </w:rPr>
        <w:t xml:space="preserve">Sixth, in the original model testing, we were unable to </w:t>
      </w:r>
      <w:proofErr w:type="gramStart"/>
      <w:r w:rsidRPr="00350908">
        <w:rPr>
          <w:rFonts w:ascii="Times New Roman" w:hAnsi="Times New Roman" w:cs="Times New Roman"/>
          <w:color w:val="000000" w:themeColor="text1"/>
          <w:sz w:val="24"/>
          <w:szCs w:val="24"/>
        </w:rPr>
        <w:t>control for</w:t>
      </w:r>
      <w:proofErr w:type="gramEnd"/>
      <w:r w:rsidRPr="00350908">
        <w:rPr>
          <w:rFonts w:ascii="Times New Roman" w:hAnsi="Times New Roman" w:cs="Times New Roman"/>
          <w:color w:val="000000" w:themeColor="text1"/>
          <w:sz w:val="24"/>
          <w:szCs w:val="24"/>
        </w:rPr>
        <w:t xml:space="preserve"> pledge amount due to high multicollinearity (VIF&gt;15). To address this issue, we created a new control variable, the ratio of pledge amount (=pledge amount/funding goal), which resolved the multicollinearity issue. We used this ratio to replace the funding goal (original control variable) and retested all hypotheses. The findings remained consistent at both Time 1 and Time 2.</w:t>
      </w:r>
    </w:p>
    <w:p w14:paraId="6C6DF41F" w14:textId="77777777" w:rsidR="00A943F7" w:rsidRPr="00350908" w:rsidRDefault="00A943F7" w:rsidP="00A943F7">
      <w:pPr>
        <w:spacing w:after="0" w:line="240" w:lineRule="auto"/>
        <w:rPr>
          <w:rFonts w:ascii="Times New Roman" w:hAnsi="Times New Roman" w:cs="Times New Roman"/>
          <w:color w:val="000000" w:themeColor="text1"/>
          <w:sz w:val="24"/>
          <w:szCs w:val="24"/>
        </w:rPr>
      </w:pPr>
    </w:p>
    <w:p w14:paraId="513B49E0" w14:textId="77777777" w:rsidR="00A943F7" w:rsidRPr="00350908" w:rsidRDefault="00A943F7" w:rsidP="00A943F7">
      <w:pPr>
        <w:spacing w:after="0" w:line="240" w:lineRule="auto"/>
        <w:rPr>
          <w:rFonts w:ascii="Times New Roman" w:hAnsi="Times New Roman" w:cs="Times New Roman"/>
          <w:color w:val="000000" w:themeColor="text1"/>
          <w:sz w:val="24"/>
          <w:szCs w:val="24"/>
        </w:rPr>
      </w:pPr>
      <w:r w:rsidRPr="00350908">
        <w:rPr>
          <w:rFonts w:ascii="Times New Roman" w:hAnsi="Times New Roman" w:cs="Times New Roman"/>
          <w:color w:val="000000" w:themeColor="text1"/>
          <w:sz w:val="24"/>
          <w:szCs w:val="24"/>
        </w:rPr>
        <w:t>Seventh, our sample included projects from both Kickstarter and Indiegogo. While Kickstarter adopted an all-or-nothing model (must reach the goal to obtain backers’ pledges), Indiegogo allowed project creators to choose between all-or-nothing or keep-it-all (flexible goal). The options on Indiegogo may be a confounding factor. As such, we retested all hypotheses by using only the Kickstarter subsample (n</w:t>
      </w:r>
      <w:r w:rsidRPr="00350908">
        <w:rPr>
          <w:rFonts w:ascii="Times New Roman" w:hAnsi="Times New Roman" w:cs="Times New Roman"/>
          <w:color w:val="000000" w:themeColor="text1"/>
          <w:sz w:val="24"/>
          <w:szCs w:val="24"/>
          <w:vertAlign w:val="subscript"/>
        </w:rPr>
        <w:t>time1</w:t>
      </w:r>
      <w:r w:rsidRPr="00350908">
        <w:rPr>
          <w:rFonts w:ascii="Times New Roman" w:hAnsi="Times New Roman" w:cs="Times New Roman"/>
          <w:color w:val="000000" w:themeColor="text1"/>
          <w:sz w:val="24"/>
          <w:szCs w:val="24"/>
        </w:rPr>
        <w:t>=159; n</w:t>
      </w:r>
      <w:r w:rsidRPr="00350908">
        <w:rPr>
          <w:rFonts w:ascii="Times New Roman" w:hAnsi="Times New Roman" w:cs="Times New Roman"/>
          <w:color w:val="000000" w:themeColor="text1"/>
          <w:sz w:val="24"/>
          <w:szCs w:val="24"/>
          <w:vertAlign w:val="subscript"/>
        </w:rPr>
        <w:t>time2</w:t>
      </w:r>
      <w:r w:rsidRPr="00350908">
        <w:rPr>
          <w:rFonts w:ascii="Times New Roman" w:hAnsi="Times New Roman" w:cs="Times New Roman"/>
          <w:color w:val="000000" w:themeColor="text1"/>
          <w:sz w:val="24"/>
          <w:szCs w:val="24"/>
        </w:rPr>
        <w:t>=156). The findings remained consistent.</w:t>
      </w:r>
    </w:p>
    <w:p w14:paraId="6A8DFB4D" w14:textId="77777777" w:rsidR="00A943F7" w:rsidRPr="00350908" w:rsidRDefault="00A943F7" w:rsidP="00A943F7">
      <w:pPr>
        <w:spacing w:after="0" w:line="240" w:lineRule="auto"/>
        <w:rPr>
          <w:rFonts w:ascii="Times New Roman" w:hAnsi="Times New Roman" w:cs="Times New Roman"/>
          <w:color w:val="000000" w:themeColor="text1"/>
          <w:sz w:val="24"/>
          <w:szCs w:val="24"/>
        </w:rPr>
      </w:pPr>
    </w:p>
    <w:p w14:paraId="63EEAC83" w14:textId="77777777" w:rsidR="00A943F7" w:rsidRPr="00350908" w:rsidRDefault="00A943F7" w:rsidP="00A943F7">
      <w:pPr>
        <w:spacing w:after="0" w:line="240" w:lineRule="auto"/>
        <w:rPr>
          <w:rFonts w:ascii="Times New Roman" w:hAnsi="Times New Roman" w:cs="Times New Roman"/>
          <w:color w:val="000000" w:themeColor="text1"/>
          <w:sz w:val="24"/>
          <w:szCs w:val="24"/>
        </w:rPr>
      </w:pPr>
      <w:r w:rsidRPr="00350908">
        <w:rPr>
          <w:rFonts w:ascii="Times New Roman" w:hAnsi="Times New Roman" w:cs="Times New Roman"/>
          <w:color w:val="000000" w:themeColor="text1"/>
          <w:sz w:val="24"/>
          <w:szCs w:val="24"/>
        </w:rPr>
        <w:t xml:space="preserve">Eighth, </w:t>
      </w:r>
      <w:bookmarkStart w:id="1" w:name="_Hlk135586346"/>
      <w:r w:rsidRPr="00350908">
        <w:rPr>
          <w:rFonts w:ascii="Times New Roman" w:hAnsi="Times New Roman" w:cs="Times New Roman"/>
          <w:color w:val="000000" w:themeColor="text1"/>
          <w:sz w:val="24"/>
          <w:szCs w:val="24"/>
        </w:rPr>
        <w:t xml:space="preserve">this sample included products with one or more reviews. One can argue that only a few reviews may not reflect overall customer satisfaction. To address this issue, we adopted a subsample (25 percentile), which represented the top 75% of cases with the most reviews, for hypothesis testing. The average number of reviews was 200.77 at Time 1 (n=159) and 269.95 at Time 2 (n=155). This subsample led to consistent results. </w:t>
      </w:r>
      <w:bookmarkEnd w:id="1"/>
    </w:p>
    <w:p w14:paraId="565CFAE0" w14:textId="77777777" w:rsidR="00A943F7" w:rsidRPr="00350908" w:rsidRDefault="00A943F7" w:rsidP="00A943F7">
      <w:pPr>
        <w:spacing w:after="0" w:line="240" w:lineRule="auto"/>
        <w:rPr>
          <w:rFonts w:ascii="Times New Roman" w:hAnsi="Times New Roman" w:cs="Times New Roman"/>
          <w:color w:val="000000" w:themeColor="text1"/>
          <w:sz w:val="24"/>
          <w:szCs w:val="24"/>
        </w:rPr>
      </w:pPr>
    </w:p>
    <w:p w14:paraId="481142AF" w14:textId="77777777" w:rsidR="00A943F7" w:rsidRPr="00350908" w:rsidRDefault="00A943F7" w:rsidP="00A943F7">
      <w:pPr>
        <w:spacing w:after="0" w:line="240" w:lineRule="auto"/>
        <w:rPr>
          <w:rFonts w:ascii="Times New Roman" w:hAnsi="Times New Roman" w:cs="Times New Roman"/>
          <w:color w:val="000000" w:themeColor="text1"/>
          <w:sz w:val="24"/>
          <w:szCs w:val="24"/>
        </w:rPr>
      </w:pPr>
      <w:r w:rsidRPr="00350908">
        <w:rPr>
          <w:rFonts w:ascii="Times New Roman" w:hAnsi="Times New Roman" w:cs="Times New Roman"/>
          <w:color w:val="000000" w:themeColor="text1"/>
          <w:sz w:val="24"/>
          <w:szCs w:val="24"/>
        </w:rPr>
        <w:t xml:space="preserve">Ninth, this research examines time to market, which may be determined by entrepreneurs’ decisions to wait until the holiday season to introduce their new products. To determine </w:t>
      </w:r>
      <w:proofErr w:type="gramStart"/>
      <w:r w:rsidRPr="00350908">
        <w:rPr>
          <w:rFonts w:ascii="Times New Roman" w:hAnsi="Times New Roman" w:cs="Times New Roman"/>
          <w:color w:val="000000" w:themeColor="text1"/>
          <w:sz w:val="24"/>
          <w:szCs w:val="24"/>
        </w:rPr>
        <w:t>whether or not</w:t>
      </w:r>
      <w:proofErr w:type="gramEnd"/>
      <w:r w:rsidRPr="00350908">
        <w:rPr>
          <w:rFonts w:ascii="Times New Roman" w:hAnsi="Times New Roman" w:cs="Times New Roman"/>
          <w:color w:val="000000" w:themeColor="text1"/>
          <w:sz w:val="24"/>
          <w:szCs w:val="24"/>
        </w:rPr>
        <w:t xml:space="preserve"> this timing of entry has a confounding effect, we removed products launched within three weeks, respectively, before Christmas Eve and Black Friday, two major holiday shopping seasons. Results based on those modified samples remained consistent at Time 1 (n=191) and Time 2 (n=186). One week and two weeks were also used as criteria for modifying the sample. Results remained consistent. In the table below, we reported results based on the three-week </w:t>
      </w:r>
      <w:proofErr w:type="gramStart"/>
      <w:r w:rsidRPr="00350908">
        <w:rPr>
          <w:rFonts w:ascii="Times New Roman" w:hAnsi="Times New Roman" w:cs="Times New Roman"/>
          <w:color w:val="000000" w:themeColor="text1"/>
          <w:sz w:val="24"/>
          <w:szCs w:val="24"/>
        </w:rPr>
        <w:t>criterion</w:t>
      </w:r>
      <w:proofErr w:type="gramEnd"/>
      <w:r w:rsidRPr="00350908">
        <w:rPr>
          <w:rFonts w:ascii="Times New Roman" w:hAnsi="Times New Roman" w:cs="Times New Roman"/>
          <w:color w:val="000000" w:themeColor="text1"/>
          <w:sz w:val="24"/>
          <w:szCs w:val="24"/>
        </w:rPr>
        <w:t>.</w:t>
      </w:r>
    </w:p>
    <w:p w14:paraId="59380F36" w14:textId="77777777" w:rsidR="00A943F7" w:rsidRPr="00350908" w:rsidRDefault="00A943F7" w:rsidP="00A943F7">
      <w:pPr>
        <w:spacing w:after="0" w:line="240" w:lineRule="auto"/>
        <w:rPr>
          <w:rFonts w:ascii="Times New Roman" w:hAnsi="Times New Roman" w:cs="Times New Roman"/>
          <w:color w:val="000000" w:themeColor="text1"/>
          <w:sz w:val="24"/>
          <w:szCs w:val="24"/>
        </w:rPr>
      </w:pPr>
    </w:p>
    <w:p w14:paraId="56AC6A13" w14:textId="77777777" w:rsidR="00A943F7" w:rsidRPr="00350908" w:rsidRDefault="00A943F7" w:rsidP="00A943F7">
      <w:pPr>
        <w:spacing w:after="0" w:line="240" w:lineRule="auto"/>
        <w:rPr>
          <w:rFonts w:ascii="Times New Roman" w:hAnsi="Times New Roman" w:cs="Times New Roman"/>
          <w:color w:val="000000" w:themeColor="text1"/>
          <w:sz w:val="24"/>
          <w:szCs w:val="24"/>
        </w:rPr>
      </w:pPr>
      <w:r w:rsidRPr="00350908">
        <w:rPr>
          <w:rFonts w:ascii="Times New Roman" w:hAnsi="Times New Roman" w:cs="Times New Roman"/>
          <w:color w:val="000000" w:themeColor="text1"/>
          <w:sz w:val="24"/>
          <w:szCs w:val="24"/>
        </w:rPr>
        <w:t xml:space="preserve">Tenth, </w:t>
      </w:r>
      <w:bookmarkStart w:id="2" w:name="_Hlk135525619"/>
      <w:bookmarkStart w:id="3" w:name="_Hlk139425487"/>
      <w:r w:rsidRPr="00350908">
        <w:rPr>
          <w:rFonts w:ascii="Times New Roman" w:hAnsi="Times New Roman" w:cs="Times New Roman"/>
          <w:color w:val="000000" w:themeColor="text1"/>
          <w:sz w:val="24"/>
          <w:szCs w:val="24"/>
        </w:rPr>
        <w:t xml:space="preserve">the sample in this study contained books. This product category differs from others because its innovativeness is embedded in its experiential elements (e.g., story) rather than the book itself. In addition, books tend to have a longer product life cycle, as compared to other categories in our sample, which may potentially affect the survival rate. Indeed, Table 6 shows the likelihood of survival of books was significantly higher at Time 1 (b=1.54, </w:t>
      </w:r>
      <w:r w:rsidRPr="00350908">
        <w:rPr>
          <w:rFonts w:ascii="Times New Roman" w:hAnsi="Times New Roman" w:cs="Times New Roman"/>
          <w:i/>
          <w:iCs/>
          <w:color w:val="000000" w:themeColor="text1"/>
          <w:sz w:val="24"/>
          <w:szCs w:val="24"/>
        </w:rPr>
        <w:t>p</w:t>
      </w:r>
      <w:r w:rsidRPr="00350908">
        <w:rPr>
          <w:rFonts w:ascii="Times New Roman" w:hAnsi="Times New Roman" w:cs="Times New Roman"/>
          <w:color w:val="000000" w:themeColor="text1"/>
          <w:sz w:val="24"/>
          <w:szCs w:val="24"/>
        </w:rPr>
        <w:t xml:space="preserve">&lt;.05), and it was marginally significant at Time 2 (b=1.40, </w:t>
      </w:r>
      <w:r w:rsidRPr="00350908">
        <w:rPr>
          <w:rFonts w:ascii="Times New Roman" w:hAnsi="Times New Roman" w:cs="Times New Roman"/>
          <w:i/>
          <w:iCs/>
          <w:color w:val="000000" w:themeColor="text1"/>
          <w:sz w:val="24"/>
          <w:szCs w:val="24"/>
        </w:rPr>
        <w:t>p</w:t>
      </w:r>
      <w:r w:rsidRPr="00350908">
        <w:rPr>
          <w:rFonts w:ascii="Times New Roman" w:hAnsi="Times New Roman" w:cs="Times New Roman"/>
          <w:color w:val="000000" w:themeColor="text1"/>
          <w:sz w:val="24"/>
          <w:szCs w:val="24"/>
        </w:rPr>
        <w:t>&lt;.10). Furthermore, we did not find any differences between the three other categories. To rule out alternative explanations, we removed books from the sample and then retested all hypotheses with the remaining cases (n</w:t>
      </w:r>
      <w:r w:rsidRPr="00350908">
        <w:rPr>
          <w:rFonts w:ascii="Times New Roman" w:hAnsi="Times New Roman" w:cs="Times New Roman"/>
          <w:color w:val="000000" w:themeColor="text1"/>
          <w:sz w:val="24"/>
          <w:szCs w:val="24"/>
          <w:vertAlign w:val="subscript"/>
        </w:rPr>
        <w:t>time1</w:t>
      </w:r>
      <w:r w:rsidRPr="00350908">
        <w:rPr>
          <w:rFonts w:ascii="Times New Roman" w:hAnsi="Times New Roman" w:cs="Times New Roman"/>
          <w:color w:val="000000" w:themeColor="text1"/>
          <w:sz w:val="24"/>
          <w:szCs w:val="24"/>
        </w:rPr>
        <w:t>=181; n</w:t>
      </w:r>
      <w:r w:rsidRPr="00350908">
        <w:rPr>
          <w:rFonts w:ascii="Times New Roman" w:hAnsi="Times New Roman" w:cs="Times New Roman"/>
          <w:color w:val="000000" w:themeColor="text1"/>
          <w:sz w:val="24"/>
          <w:szCs w:val="24"/>
          <w:vertAlign w:val="subscript"/>
        </w:rPr>
        <w:t>time2</w:t>
      </w:r>
      <w:r w:rsidRPr="00350908">
        <w:rPr>
          <w:rFonts w:ascii="Times New Roman" w:hAnsi="Times New Roman" w:cs="Times New Roman"/>
          <w:color w:val="000000" w:themeColor="text1"/>
          <w:sz w:val="24"/>
          <w:szCs w:val="24"/>
        </w:rPr>
        <w:t>=177). The table below shows consistent findings.</w:t>
      </w:r>
      <w:bookmarkEnd w:id="2"/>
      <w:r w:rsidRPr="00350908">
        <w:rPr>
          <w:rFonts w:ascii="Times New Roman" w:hAnsi="Times New Roman" w:cs="Times New Roman"/>
          <w:color w:val="000000" w:themeColor="text1"/>
          <w:sz w:val="24"/>
          <w:szCs w:val="24"/>
        </w:rPr>
        <w:t xml:space="preserve"> </w:t>
      </w:r>
      <w:bookmarkEnd w:id="3"/>
    </w:p>
    <w:p w14:paraId="2F6E447A" w14:textId="77777777" w:rsidR="00A943F7" w:rsidRPr="00350908" w:rsidRDefault="00A943F7" w:rsidP="00A943F7">
      <w:pPr>
        <w:spacing w:after="0" w:line="240" w:lineRule="auto"/>
        <w:rPr>
          <w:rFonts w:ascii="Times New Roman" w:hAnsi="Times New Roman" w:cs="Times New Roman"/>
          <w:color w:val="000000" w:themeColor="text1"/>
          <w:sz w:val="24"/>
          <w:szCs w:val="24"/>
        </w:rPr>
      </w:pPr>
    </w:p>
    <w:p w14:paraId="3445D38A" w14:textId="77777777" w:rsidR="00A943F7" w:rsidRPr="00350908" w:rsidRDefault="00A943F7" w:rsidP="00A943F7">
      <w:pPr>
        <w:spacing w:after="0" w:line="240" w:lineRule="auto"/>
        <w:rPr>
          <w:rFonts w:ascii="Times New Roman" w:hAnsi="Times New Roman" w:cs="Times New Roman"/>
          <w:color w:val="000000" w:themeColor="text1"/>
          <w:sz w:val="24"/>
          <w:szCs w:val="24"/>
        </w:rPr>
      </w:pPr>
      <w:bookmarkStart w:id="4" w:name="_Hlk210738155"/>
      <w:r w:rsidRPr="00350908">
        <w:rPr>
          <w:rFonts w:ascii="Times New Roman" w:hAnsi="Times New Roman" w:cs="Times New Roman"/>
          <w:color w:val="000000" w:themeColor="text1"/>
          <w:sz w:val="24"/>
          <w:szCs w:val="24"/>
        </w:rPr>
        <w:t xml:space="preserve">Eleventh, </w:t>
      </w:r>
      <w:bookmarkStart w:id="5" w:name="_Hlk135931687"/>
      <w:r w:rsidRPr="00350908">
        <w:rPr>
          <w:rFonts w:ascii="Times New Roman" w:hAnsi="Times New Roman" w:cs="Times New Roman"/>
          <w:color w:val="000000" w:themeColor="text1"/>
          <w:sz w:val="24"/>
          <w:szCs w:val="24"/>
        </w:rPr>
        <w:t xml:space="preserve">our data contained blockbuster crowdfunding campaigns (i.e., had a disproportionately large backer crowd). Since we suggested that crowd size could potentially worsen product quality and thus customer satisfaction, one could argue that those blockbuster projects may lead to </w:t>
      </w:r>
      <w:proofErr w:type="gramStart"/>
      <w:r w:rsidRPr="00350908">
        <w:rPr>
          <w:rFonts w:ascii="Times New Roman" w:hAnsi="Times New Roman" w:cs="Times New Roman"/>
          <w:color w:val="000000" w:themeColor="text1"/>
          <w:sz w:val="24"/>
          <w:szCs w:val="24"/>
        </w:rPr>
        <w:t>a greater</w:t>
      </w:r>
      <w:proofErr w:type="gramEnd"/>
      <w:r w:rsidRPr="00350908">
        <w:rPr>
          <w:rFonts w:ascii="Times New Roman" w:hAnsi="Times New Roman" w:cs="Times New Roman"/>
          <w:color w:val="000000" w:themeColor="text1"/>
          <w:sz w:val="24"/>
          <w:szCs w:val="24"/>
        </w:rPr>
        <w:t xml:space="preserve"> quality concern. If so, the effect of crowd size on customer satisfaction could have been inflated in the full sample. To investigate this issue, we identified 25 outliers in the data (i.e., they had disproportionately high numbers of backers) and removed them to retest </w:t>
      </w:r>
      <w:r w:rsidRPr="00350908">
        <w:rPr>
          <w:rFonts w:ascii="Times New Roman" w:hAnsi="Times New Roman" w:cs="Times New Roman"/>
          <w:color w:val="000000" w:themeColor="text1"/>
          <w:sz w:val="24"/>
          <w:szCs w:val="24"/>
        </w:rPr>
        <w:lastRenderedPageBreak/>
        <w:t>hypotheses (n</w:t>
      </w:r>
      <w:r w:rsidRPr="00350908">
        <w:rPr>
          <w:rFonts w:ascii="Times New Roman" w:hAnsi="Times New Roman" w:cs="Times New Roman"/>
          <w:color w:val="000000" w:themeColor="text1"/>
          <w:sz w:val="24"/>
          <w:szCs w:val="24"/>
          <w:vertAlign w:val="subscript"/>
        </w:rPr>
        <w:t>time1</w:t>
      </w:r>
      <w:r w:rsidRPr="00350908">
        <w:rPr>
          <w:rFonts w:ascii="Times New Roman" w:hAnsi="Times New Roman" w:cs="Times New Roman"/>
          <w:color w:val="000000" w:themeColor="text1"/>
          <w:sz w:val="24"/>
          <w:szCs w:val="24"/>
        </w:rPr>
        <w:t>=186; n</w:t>
      </w:r>
      <w:r w:rsidRPr="00350908">
        <w:rPr>
          <w:rFonts w:ascii="Times New Roman" w:hAnsi="Times New Roman" w:cs="Times New Roman"/>
          <w:color w:val="000000" w:themeColor="text1"/>
          <w:sz w:val="24"/>
          <w:szCs w:val="24"/>
          <w:vertAlign w:val="subscript"/>
        </w:rPr>
        <w:t>time2</w:t>
      </w:r>
      <w:r w:rsidRPr="00350908">
        <w:rPr>
          <w:rFonts w:ascii="Times New Roman" w:hAnsi="Times New Roman" w:cs="Times New Roman"/>
          <w:color w:val="000000" w:themeColor="text1"/>
          <w:sz w:val="24"/>
          <w:szCs w:val="24"/>
        </w:rPr>
        <w:t>=183). Results remained consistent, and we did not observe a significant drop in the coefficients for the crowd-satisfaction relationship, suggesting that the effect of crowd size was linear.</w:t>
      </w:r>
    </w:p>
    <w:bookmarkEnd w:id="4"/>
    <w:p w14:paraId="75D11917" w14:textId="77777777" w:rsidR="00A943F7" w:rsidRPr="00350908" w:rsidRDefault="00A943F7" w:rsidP="00A943F7">
      <w:pPr>
        <w:spacing w:after="0" w:line="240" w:lineRule="auto"/>
        <w:rPr>
          <w:rFonts w:ascii="Times New Roman" w:hAnsi="Times New Roman" w:cs="Times New Roman"/>
          <w:color w:val="000000" w:themeColor="text1"/>
          <w:sz w:val="24"/>
          <w:szCs w:val="24"/>
        </w:rPr>
      </w:pPr>
    </w:p>
    <w:bookmarkEnd w:id="5"/>
    <w:p w14:paraId="71BC7DE4" w14:textId="77777777" w:rsidR="00A943F7" w:rsidRPr="00350908" w:rsidRDefault="00A943F7" w:rsidP="00A943F7">
      <w:pPr>
        <w:spacing w:after="0" w:line="240" w:lineRule="auto"/>
        <w:rPr>
          <w:rFonts w:ascii="Times New Roman" w:hAnsi="Times New Roman" w:cs="Times New Roman"/>
          <w:color w:val="000000" w:themeColor="text1"/>
          <w:sz w:val="24"/>
          <w:szCs w:val="24"/>
        </w:rPr>
      </w:pPr>
      <w:r w:rsidRPr="00350908">
        <w:rPr>
          <w:rFonts w:ascii="Times New Roman" w:hAnsi="Times New Roman" w:cs="Times New Roman"/>
          <w:color w:val="000000" w:themeColor="text1"/>
          <w:sz w:val="24"/>
          <w:szCs w:val="24"/>
        </w:rPr>
        <w:t>Twelfth, while this research showcases a relationship between crowdfunding and commercialization, entrepreneurs at times employ the crowdfunding outcome as a signal to attract additional investors (e.g., venture capitalists) (Colombo and Shafi, 2021), and the crowdfunding and commercial success may eventually lead to an acquisition of the entrepreneurial firm. In this regard, commercialization may not be the sole purpose of crowdfunding. To address this issue, we collected acquisition and financial information from Crunchbase, a widely adopted database about startups. We identified 145 firms (n</w:t>
      </w:r>
      <w:r w:rsidRPr="00350908">
        <w:rPr>
          <w:rFonts w:ascii="Times New Roman" w:hAnsi="Times New Roman" w:cs="Times New Roman"/>
          <w:color w:val="000000" w:themeColor="text1"/>
          <w:sz w:val="24"/>
          <w:szCs w:val="24"/>
          <w:vertAlign w:val="subscript"/>
        </w:rPr>
        <w:t>time1</w:t>
      </w:r>
      <w:r w:rsidRPr="00350908">
        <w:rPr>
          <w:rFonts w:ascii="Times New Roman" w:hAnsi="Times New Roman" w:cs="Times New Roman"/>
          <w:color w:val="000000" w:themeColor="text1"/>
          <w:sz w:val="24"/>
          <w:szCs w:val="24"/>
        </w:rPr>
        <w:t>=145; n</w:t>
      </w:r>
      <w:r w:rsidRPr="00350908">
        <w:rPr>
          <w:rFonts w:ascii="Times New Roman" w:hAnsi="Times New Roman" w:cs="Times New Roman"/>
          <w:color w:val="000000" w:themeColor="text1"/>
          <w:sz w:val="24"/>
          <w:szCs w:val="24"/>
          <w:vertAlign w:val="subscript"/>
        </w:rPr>
        <w:t>time2</w:t>
      </w:r>
      <w:r w:rsidRPr="00350908">
        <w:rPr>
          <w:rFonts w:ascii="Times New Roman" w:hAnsi="Times New Roman" w:cs="Times New Roman"/>
          <w:color w:val="000000" w:themeColor="text1"/>
          <w:sz w:val="24"/>
          <w:szCs w:val="24"/>
        </w:rPr>
        <w:t>=140) from this database that matched our sample. Using information from Crunchbase, we created two new control variables: (1) acquisition (0=no; 1=yes); (2) subsequent funding (i.e., funds obtained after the crowdfunding campaign). We retested all hypotheses with the 145 cases and the two new control variables. The results remained consistent.</w:t>
      </w:r>
    </w:p>
    <w:p w14:paraId="67367B74" w14:textId="77777777" w:rsidR="00A943F7" w:rsidRPr="00350908" w:rsidRDefault="00A943F7" w:rsidP="00A943F7">
      <w:pPr>
        <w:spacing w:after="0" w:line="240" w:lineRule="auto"/>
        <w:rPr>
          <w:rFonts w:ascii="Times New Roman" w:hAnsi="Times New Roman" w:cs="Times New Roman"/>
          <w:color w:val="000000" w:themeColor="text1"/>
          <w:sz w:val="24"/>
          <w:szCs w:val="24"/>
        </w:rPr>
      </w:pPr>
    </w:p>
    <w:p w14:paraId="302AF313" w14:textId="77777777" w:rsidR="00A943F7" w:rsidRPr="00350908" w:rsidRDefault="00A943F7" w:rsidP="00A943F7">
      <w:pPr>
        <w:spacing w:after="0" w:line="240" w:lineRule="auto"/>
        <w:rPr>
          <w:rFonts w:ascii="Times New Roman" w:eastAsia="MS Mincho" w:hAnsi="Times New Roman" w:cs="Times New Roman"/>
          <w:color w:val="000000" w:themeColor="text1"/>
          <w:sz w:val="24"/>
          <w:szCs w:val="24"/>
        </w:rPr>
      </w:pPr>
      <w:r w:rsidRPr="00350908">
        <w:rPr>
          <w:rFonts w:ascii="Times New Roman" w:hAnsi="Times New Roman" w:cs="Times New Roman"/>
          <w:sz w:val="24"/>
          <w:szCs w:val="24"/>
        </w:rPr>
        <w:t xml:space="preserve">Last, while in this study we </w:t>
      </w:r>
      <w:proofErr w:type="gramStart"/>
      <w:r w:rsidRPr="00350908">
        <w:rPr>
          <w:rFonts w:ascii="Times New Roman" w:hAnsi="Times New Roman" w:cs="Times New Roman"/>
          <w:sz w:val="24"/>
          <w:szCs w:val="24"/>
        </w:rPr>
        <w:t>controlled for</w:t>
      </w:r>
      <w:proofErr w:type="gramEnd"/>
      <w:r w:rsidRPr="00350908">
        <w:rPr>
          <w:rFonts w:ascii="Times New Roman" w:hAnsi="Times New Roman" w:cs="Times New Roman"/>
          <w:sz w:val="24"/>
          <w:szCs w:val="24"/>
        </w:rPr>
        <w:t xml:space="preserve"> product category, which captured category heterogeneity, product complexity in the sample varied even within a given category. A complex product, as compared to a simpler one, is likely to influence customer preferences and have more manufacturing issues that affect product quality. In this regard, it is meaningful to examine </w:t>
      </w:r>
      <w:proofErr w:type="gramStart"/>
      <w:r w:rsidRPr="00350908">
        <w:rPr>
          <w:rFonts w:ascii="Times New Roman" w:hAnsi="Times New Roman" w:cs="Times New Roman"/>
          <w:sz w:val="24"/>
          <w:szCs w:val="24"/>
        </w:rPr>
        <w:t>whether or not</w:t>
      </w:r>
      <w:proofErr w:type="gramEnd"/>
      <w:r w:rsidRPr="00350908">
        <w:rPr>
          <w:rFonts w:ascii="Times New Roman" w:hAnsi="Times New Roman" w:cs="Times New Roman"/>
          <w:sz w:val="24"/>
          <w:szCs w:val="24"/>
        </w:rPr>
        <w:t xml:space="preserve"> product heterogeneity alters the relationships between crowd size and commercialization performance. We adopted the funding goal and price as proxies for product complexity. A higher funding goal suggests that more resources are needed for product development and production, and entrepreneurs are more likely to encounter unexpected operational complexities in large projects. In addition, our sample contained only entrepreneurial products from small ventures rather than luxury goods or established products, whose prices often involved sophisticated branding strategies. Thus, the price for the examined products was likely to be cost-driven, to a large degree. Since cost reflects the complexities involved in the development and manufacturing of a product, price serves as an indicator of product complexity. We used the funding goal and price, respectively, as moderators and found that neither altered the effects in H1 and H2 at Time 1 and Time 2 (</w:t>
      </w:r>
      <w:proofErr w:type="spellStart"/>
      <w:r w:rsidRPr="00350908">
        <w:rPr>
          <w:rFonts w:ascii="Times New Roman" w:hAnsi="Times New Roman" w:cs="Times New Roman"/>
          <w:i/>
          <w:sz w:val="24"/>
          <w:szCs w:val="24"/>
        </w:rPr>
        <w:t>p</w:t>
      </w:r>
      <w:r w:rsidRPr="00350908">
        <w:rPr>
          <w:rFonts w:ascii="Times New Roman" w:hAnsi="Times New Roman" w:cs="Times New Roman"/>
          <w:sz w:val="24"/>
          <w:szCs w:val="24"/>
        </w:rPr>
        <w:t>s</w:t>
      </w:r>
      <w:proofErr w:type="spellEnd"/>
      <w:r w:rsidRPr="00350908">
        <w:rPr>
          <w:rFonts w:ascii="Times New Roman" w:hAnsi="Times New Roman" w:cs="Times New Roman"/>
          <w:sz w:val="24"/>
          <w:szCs w:val="24"/>
        </w:rPr>
        <w:t>=.44 to .99). Furthermore, product heterogeneity is related to product life cycle. For example, complex products tend to be riskier, which can potentially shorten their product life cycles. As such, we tested the moderation effects of the funding goal and price on the relationships between product adoption/customer satisfaction on product survival and did not find significant results (</w:t>
      </w:r>
      <w:proofErr w:type="spellStart"/>
      <w:r w:rsidRPr="00350908">
        <w:rPr>
          <w:rFonts w:ascii="Times New Roman" w:hAnsi="Times New Roman" w:cs="Times New Roman"/>
          <w:i/>
          <w:sz w:val="24"/>
          <w:szCs w:val="24"/>
        </w:rPr>
        <w:t>p</w:t>
      </w:r>
      <w:r w:rsidRPr="00350908">
        <w:rPr>
          <w:rFonts w:ascii="Times New Roman" w:hAnsi="Times New Roman" w:cs="Times New Roman"/>
          <w:sz w:val="24"/>
          <w:szCs w:val="24"/>
        </w:rPr>
        <w:t>s</w:t>
      </w:r>
      <w:proofErr w:type="spellEnd"/>
      <w:r w:rsidRPr="00350908">
        <w:rPr>
          <w:rFonts w:ascii="Times New Roman" w:hAnsi="Times New Roman" w:cs="Times New Roman"/>
          <w:sz w:val="24"/>
          <w:szCs w:val="24"/>
        </w:rPr>
        <w:t>=.16 to .96). In summary, these findings strengthen our conclusion about the effects of crowd size on commercialization.</w:t>
      </w:r>
    </w:p>
    <w:p w14:paraId="7ABBE2E3" w14:textId="77777777" w:rsidR="00A943F7" w:rsidRPr="00350908" w:rsidRDefault="00A943F7" w:rsidP="00A943F7">
      <w:pPr>
        <w:spacing w:after="0" w:line="240" w:lineRule="auto"/>
        <w:rPr>
          <w:rFonts w:ascii="Times New Roman" w:eastAsia="MS Mincho" w:hAnsi="Times New Roman" w:cs="Times New Roman"/>
          <w:color w:val="000000" w:themeColor="text1"/>
          <w:sz w:val="24"/>
          <w:szCs w:val="24"/>
        </w:rPr>
      </w:pPr>
    </w:p>
    <w:p w14:paraId="14FC0725" w14:textId="77777777" w:rsidR="00A943F7" w:rsidRPr="00350908" w:rsidRDefault="00A943F7" w:rsidP="00A943F7">
      <w:pPr>
        <w:spacing w:after="0" w:line="240" w:lineRule="auto"/>
        <w:rPr>
          <w:rFonts w:ascii="Times New Roman" w:eastAsia="MS Mincho" w:hAnsi="Times New Roman" w:cs="Times New Roman"/>
          <w:color w:val="000000" w:themeColor="text1"/>
          <w:sz w:val="24"/>
          <w:szCs w:val="24"/>
        </w:rPr>
        <w:sectPr w:rsidR="00A943F7" w:rsidRPr="00350908" w:rsidSect="00A943F7">
          <w:pgSz w:w="12240" w:h="15840"/>
          <w:pgMar w:top="1440" w:right="1440" w:bottom="1440" w:left="1440" w:header="720" w:footer="720" w:gutter="0"/>
          <w:cols w:space="720"/>
          <w:docGrid w:linePitch="360"/>
        </w:sectPr>
      </w:pPr>
    </w:p>
    <w:p w14:paraId="23AAC07A" w14:textId="77777777" w:rsidR="00A943F7" w:rsidRPr="00350908" w:rsidRDefault="00A943F7" w:rsidP="00A943F7">
      <w:pPr>
        <w:spacing w:after="0" w:line="240" w:lineRule="auto"/>
        <w:rPr>
          <w:rFonts w:ascii="Times New Roman" w:eastAsia="MS Mincho" w:hAnsi="Times New Roman" w:cs="Times New Roman"/>
          <w:b/>
          <w:bCs/>
          <w:color w:val="000000" w:themeColor="text1"/>
          <w:sz w:val="24"/>
          <w:szCs w:val="24"/>
          <w:lang w:val="en-GB"/>
        </w:rPr>
      </w:pPr>
      <w:r w:rsidRPr="00350908">
        <w:rPr>
          <w:rFonts w:ascii="Times New Roman" w:eastAsia="MS Mincho" w:hAnsi="Times New Roman" w:cs="Times New Roman"/>
          <w:b/>
          <w:bCs/>
          <w:color w:val="000000" w:themeColor="text1"/>
          <w:sz w:val="24"/>
          <w:szCs w:val="24"/>
          <w:lang w:val="en-GB"/>
        </w:rPr>
        <w:lastRenderedPageBreak/>
        <w:t>Results of Robustness Checks</w:t>
      </w:r>
    </w:p>
    <w:tbl>
      <w:tblPr>
        <w:tblStyle w:val="TableGrid"/>
        <w:tblW w:w="14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810"/>
        <w:gridCol w:w="810"/>
        <w:gridCol w:w="270"/>
        <w:gridCol w:w="810"/>
        <w:gridCol w:w="810"/>
        <w:gridCol w:w="270"/>
        <w:gridCol w:w="1080"/>
        <w:gridCol w:w="1080"/>
        <w:gridCol w:w="270"/>
        <w:gridCol w:w="1080"/>
        <w:gridCol w:w="1170"/>
        <w:gridCol w:w="270"/>
        <w:gridCol w:w="900"/>
        <w:gridCol w:w="900"/>
        <w:gridCol w:w="270"/>
        <w:gridCol w:w="900"/>
        <w:gridCol w:w="900"/>
      </w:tblGrid>
      <w:tr w:rsidR="00A943F7" w:rsidRPr="00350908" w14:paraId="7EFECBB1" w14:textId="77777777" w:rsidTr="00DB32FE">
        <w:tc>
          <w:tcPr>
            <w:tcW w:w="1440" w:type="dxa"/>
            <w:tcBorders>
              <w:top w:val="single" w:sz="6" w:space="0" w:color="auto"/>
              <w:bottom w:val="single" w:sz="6" w:space="0" w:color="auto"/>
            </w:tcBorders>
          </w:tcPr>
          <w:p w14:paraId="68A6DE56"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bookmarkStart w:id="6" w:name="_Hlk139327114"/>
            <w:r w:rsidRPr="00350908">
              <w:rPr>
                <w:rFonts w:ascii="Times New Roman" w:eastAsia="MS Mincho" w:hAnsi="Times New Roman" w:cs="Times New Roman"/>
                <w:b/>
                <w:bCs/>
                <w:color w:val="000000" w:themeColor="text1"/>
                <w:sz w:val="20"/>
                <w:szCs w:val="20"/>
              </w:rPr>
              <w:t>Robustness Check</w:t>
            </w:r>
          </w:p>
        </w:tc>
        <w:tc>
          <w:tcPr>
            <w:tcW w:w="1620" w:type="dxa"/>
            <w:gridSpan w:val="2"/>
            <w:tcBorders>
              <w:top w:val="single" w:sz="6" w:space="0" w:color="auto"/>
              <w:bottom w:val="single" w:sz="6" w:space="0" w:color="auto"/>
            </w:tcBorders>
          </w:tcPr>
          <w:p w14:paraId="64AC7729"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H1</w:t>
            </w:r>
          </w:p>
        </w:tc>
        <w:tc>
          <w:tcPr>
            <w:tcW w:w="270" w:type="dxa"/>
            <w:tcBorders>
              <w:top w:val="single" w:sz="6" w:space="0" w:color="auto"/>
              <w:bottom w:val="single" w:sz="6" w:space="0" w:color="auto"/>
            </w:tcBorders>
          </w:tcPr>
          <w:p w14:paraId="47644BA4"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p>
        </w:tc>
        <w:tc>
          <w:tcPr>
            <w:tcW w:w="1620" w:type="dxa"/>
            <w:gridSpan w:val="2"/>
            <w:tcBorders>
              <w:top w:val="single" w:sz="6" w:space="0" w:color="auto"/>
              <w:bottom w:val="single" w:sz="6" w:space="0" w:color="auto"/>
            </w:tcBorders>
          </w:tcPr>
          <w:p w14:paraId="6DB6B40F"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H2</w:t>
            </w:r>
          </w:p>
        </w:tc>
        <w:tc>
          <w:tcPr>
            <w:tcW w:w="270" w:type="dxa"/>
            <w:tcBorders>
              <w:top w:val="single" w:sz="6" w:space="0" w:color="auto"/>
              <w:bottom w:val="single" w:sz="6" w:space="0" w:color="auto"/>
            </w:tcBorders>
          </w:tcPr>
          <w:p w14:paraId="1526895B"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p>
        </w:tc>
        <w:tc>
          <w:tcPr>
            <w:tcW w:w="2160" w:type="dxa"/>
            <w:gridSpan w:val="2"/>
            <w:tcBorders>
              <w:top w:val="single" w:sz="6" w:space="0" w:color="auto"/>
              <w:bottom w:val="single" w:sz="6" w:space="0" w:color="auto"/>
            </w:tcBorders>
          </w:tcPr>
          <w:p w14:paraId="02701CBD"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H3</w:t>
            </w:r>
          </w:p>
        </w:tc>
        <w:tc>
          <w:tcPr>
            <w:tcW w:w="270" w:type="dxa"/>
            <w:tcBorders>
              <w:top w:val="single" w:sz="6" w:space="0" w:color="auto"/>
              <w:bottom w:val="single" w:sz="6" w:space="0" w:color="auto"/>
            </w:tcBorders>
          </w:tcPr>
          <w:p w14:paraId="220B2660"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p>
        </w:tc>
        <w:tc>
          <w:tcPr>
            <w:tcW w:w="2250" w:type="dxa"/>
            <w:gridSpan w:val="2"/>
            <w:tcBorders>
              <w:top w:val="single" w:sz="6" w:space="0" w:color="auto"/>
              <w:bottom w:val="single" w:sz="6" w:space="0" w:color="auto"/>
            </w:tcBorders>
          </w:tcPr>
          <w:p w14:paraId="20CBEEB2"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H4</w:t>
            </w:r>
          </w:p>
        </w:tc>
        <w:tc>
          <w:tcPr>
            <w:tcW w:w="270" w:type="dxa"/>
            <w:tcBorders>
              <w:top w:val="single" w:sz="6" w:space="0" w:color="auto"/>
              <w:bottom w:val="single" w:sz="6" w:space="0" w:color="auto"/>
            </w:tcBorders>
          </w:tcPr>
          <w:p w14:paraId="4A90E786"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p>
        </w:tc>
        <w:tc>
          <w:tcPr>
            <w:tcW w:w="1800" w:type="dxa"/>
            <w:gridSpan w:val="2"/>
            <w:tcBorders>
              <w:top w:val="single" w:sz="6" w:space="0" w:color="auto"/>
              <w:bottom w:val="single" w:sz="6" w:space="0" w:color="auto"/>
            </w:tcBorders>
          </w:tcPr>
          <w:p w14:paraId="340ED6BF"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H5</w:t>
            </w:r>
          </w:p>
        </w:tc>
        <w:tc>
          <w:tcPr>
            <w:tcW w:w="270" w:type="dxa"/>
            <w:tcBorders>
              <w:top w:val="single" w:sz="6" w:space="0" w:color="auto"/>
              <w:bottom w:val="single" w:sz="6" w:space="0" w:color="auto"/>
            </w:tcBorders>
          </w:tcPr>
          <w:p w14:paraId="385139C6"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p>
        </w:tc>
        <w:tc>
          <w:tcPr>
            <w:tcW w:w="1800" w:type="dxa"/>
            <w:gridSpan w:val="2"/>
            <w:tcBorders>
              <w:top w:val="single" w:sz="6" w:space="0" w:color="auto"/>
              <w:bottom w:val="single" w:sz="6" w:space="0" w:color="auto"/>
            </w:tcBorders>
          </w:tcPr>
          <w:p w14:paraId="1F223959"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H6</w:t>
            </w:r>
          </w:p>
        </w:tc>
      </w:tr>
      <w:tr w:rsidR="00A943F7" w:rsidRPr="00350908" w14:paraId="3213DC71" w14:textId="77777777" w:rsidTr="00DB32FE">
        <w:tc>
          <w:tcPr>
            <w:tcW w:w="1440" w:type="dxa"/>
            <w:tcBorders>
              <w:top w:val="single" w:sz="6" w:space="0" w:color="auto"/>
            </w:tcBorders>
          </w:tcPr>
          <w:p w14:paraId="0FD946A1" w14:textId="77777777" w:rsidR="00A943F7" w:rsidRPr="00350908" w:rsidRDefault="00A943F7" w:rsidP="00DB32FE">
            <w:pPr>
              <w:spacing w:line="240" w:lineRule="auto"/>
              <w:rPr>
                <w:rFonts w:ascii="Times New Roman" w:eastAsia="MS Mincho" w:hAnsi="Times New Roman" w:cs="Times New Roman"/>
                <w:color w:val="000000" w:themeColor="text1"/>
                <w:sz w:val="20"/>
                <w:szCs w:val="20"/>
              </w:rPr>
            </w:pPr>
          </w:p>
        </w:tc>
        <w:tc>
          <w:tcPr>
            <w:tcW w:w="810" w:type="dxa"/>
            <w:tcBorders>
              <w:top w:val="single" w:sz="6" w:space="0" w:color="auto"/>
              <w:bottom w:val="single" w:sz="6" w:space="0" w:color="auto"/>
            </w:tcBorders>
          </w:tcPr>
          <w:p w14:paraId="1D7755BF" w14:textId="77777777" w:rsidR="00A943F7" w:rsidRPr="00350908" w:rsidRDefault="00A943F7" w:rsidP="00DB32FE">
            <w:pPr>
              <w:spacing w:line="240" w:lineRule="auto"/>
              <w:ind w:right="-16"/>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Time 1</w:t>
            </w:r>
          </w:p>
        </w:tc>
        <w:tc>
          <w:tcPr>
            <w:tcW w:w="810" w:type="dxa"/>
            <w:tcBorders>
              <w:top w:val="single" w:sz="6" w:space="0" w:color="auto"/>
              <w:bottom w:val="single" w:sz="6" w:space="0" w:color="auto"/>
            </w:tcBorders>
          </w:tcPr>
          <w:p w14:paraId="06215044" w14:textId="77777777" w:rsidR="00A943F7" w:rsidRPr="00350908" w:rsidRDefault="00A943F7" w:rsidP="00DB32FE">
            <w:pPr>
              <w:spacing w:line="240" w:lineRule="auto"/>
              <w:ind w:right="-112"/>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Time 2</w:t>
            </w:r>
          </w:p>
        </w:tc>
        <w:tc>
          <w:tcPr>
            <w:tcW w:w="270" w:type="dxa"/>
            <w:tcBorders>
              <w:top w:val="single" w:sz="6" w:space="0" w:color="auto"/>
            </w:tcBorders>
          </w:tcPr>
          <w:p w14:paraId="4710E5F1"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p>
        </w:tc>
        <w:tc>
          <w:tcPr>
            <w:tcW w:w="810" w:type="dxa"/>
            <w:tcBorders>
              <w:top w:val="single" w:sz="6" w:space="0" w:color="auto"/>
              <w:bottom w:val="single" w:sz="6" w:space="0" w:color="auto"/>
            </w:tcBorders>
          </w:tcPr>
          <w:p w14:paraId="6E5232F4" w14:textId="77777777" w:rsidR="00A943F7" w:rsidRPr="00350908" w:rsidRDefault="00A943F7" w:rsidP="00DB32FE">
            <w:pPr>
              <w:spacing w:line="240" w:lineRule="auto"/>
              <w:ind w:right="-106"/>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Time 1</w:t>
            </w:r>
          </w:p>
        </w:tc>
        <w:tc>
          <w:tcPr>
            <w:tcW w:w="810" w:type="dxa"/>
            <w:tcBorders>
              <w:top w:val="single" w:sz="6" w:space="0" w:color="auto"/>
              <w:bottom w:val="single" w:sz="6" w:space="0" w:color="auto"/>
            </w:tcBorders>
          </w:tcPr>
          <w:p w14:paraId="6279A3C3" w14:textId="77777777" w:rsidR="00A943F7" w:rsidRPr="00350908" w:rsidRDefault="00A943F7" w:rsidP="00DB32FE">
            <w:pPr>
              <w:spacing w:line="240" w:lineRule="auto"/>
              <w:ind w:right="-103"/>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Time 2</w:t>
            </w:r>
          </w:p>
        </w:tc>
        <w:tc>
          <w:tcPr>
            <w:tcW w:w="270" w:type="dxa"/>
            <w:tcBorders>
              <w:top w:val="single" w:sz="6" w:space="0" w:color="auto"/>
            </w:tcBorders>
          </w:tcPr>
          <w:p w14:paraId="6F8C6A0C"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p>
        </w:tc>
        <w:tc>
          <w:tcPr>
            <w:tcW w:w="1080" w:type="dxa"/>
            <w:tcBorders>
              <w:top w:val="single" w:sz="6" w:space="0" w:color="auto"/>
              <w:bottom w:val="single" w:sz="6" w:space="0" w:color="auto"/>
            </w:tcBorders>
          </w:tcPr>
          <w:p w14:paraId="78CD3203"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Time 1</w:t>
            </w:r>
          </w:p>
        </w:tc>
        <w:tc>
          <w:tcPr>
            <w:tcW w:w="1080" w:type="dxa"/>
            <w:tcBorders>
              <w:top w:val="single" w:sz="6" w:space="0" w:color="auto"/>
              <w:bottom w:val="single" w:sz="6" w:space="0" w:color="auto"/>
            </w:tcBorders>
          </w:tcPr>
          <w:p w14:paraId="73048D68"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Time 2</w:t>
            </w:r>
          </w:p>
        </w:tc>
        <w:tc>
          <w:tcPr>
            <w:tcW w:w="270" w:type="dxa"/>
            <w:tcBorders>
              <w:top w:val="single" w:sz="6" w:space="0" w:color="auto"/>
            </w:tcBorders>
          </w:tcPr>
          <w:p w14:paraId="10B1B36A"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p>
        </w:tc>
        <w:tc>
          <w:tcPr>
            <w:tcW w:w="1080" w:type="dxa"/>
            <w:tcBorders>
              <w:top w:val="single" w:sz="6" w:space="0" w:color="auto"/>
              <w:bottom w:val="single" w:sz="6" w:space="0" w:color="auto"/>
            </w:tcBorders>
          </w:tcPr>
          <w:p w14:paraId="0C3C9AE4"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Time 1</w:t>
            </w:r>
          </w:p>
        </w:tc>
        <w:tc>
          <w:tcPr>
            <w:tcW w:w="1170" w:type="dxa"/>
            <w:tcBorders>
              <w:top w:val="single" w:sz="6" w:space="0" w:color="auto"/>
              <w:bottom w:val="single" w:sz="6" w:space="0" w:color="auto"/>
            </w:tcBorders>
          </w:tcPr>
          <w:p w14:paraId="0C0EC4D8"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Time 2</w:t>
            </w:r>
          </w:p>
        </w:tc>
        <w:tc>
          <w:tcPr>
            <w:tcW w:w="270" w:type="dxa"/>
            <w:tcBorders>
              <w:top w:val="single" w:sz="6" w:space="0" w:color="auto"/>
            </w:tcBorders>
          </w:tcPr>
          <w:p w14:paraId="2DA245CC"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p>
        </w:tc>
        <w:tc>
          <w:tcPr>
            <w:tcW w:w="900" w:type="dxa"/>
            <w:tcBorders>
              <w:top w:val="single" w:sz="6" w:space="0" w:color="auto"/>
              <w:bottom w:val="single" w:sz="6" w:space="0" w:color="auto"/>
            </w:tcBorders>
          </w:tcPr>
          <w:p w14:paraId="455C66D8"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Time 1</w:t>
            </w:r>
          </w:p>
        </w:tc>
        <w:tc>
          <w:tcPr>
            <w:tcW w:w="900" w:type="dxa"/>
            <w:tcBorders>
              <w:top w:val="single" w:sz="6" w:space="0" w:color="auto"/>
              <w:bottom w:val="single" w:sz="6" w:space="0" w:color="auto"/>
            </w:tcBorders>
          </w:tcPr>
          <w:p w14:paraId="04E24E1B"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Time 2</w:t>
            </w:r>
          </w:p>
        </w:tc>
        <w:tc>
          <w:tcPr>
            <w:tcW w:w="270" w:type="dxa"/>
            <w:tcBorders>
              <w:top w:val="single" w:sz="6" w:space="0" w:color="auto"/>
            </w:tcBorders>
          </w:tcPr>
          <w:p w14:paraId="78DB08EB"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p>
        </w:tc>
        <w:tc>
          <w:tcPr>
            <w:tcW w:w="900" w:type="dxa"/>
            <w:tcBorders>
              <w:top w:val="single" w:sz="6" w:space="0" w:color="auto"/>
              <w:bottom w:val="single" w:sz="6" w:space="0" w:color="auto"/>
            </w:tcBorders>
          </w:tcPr>
          <w:p w14:paraId="05F21889"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Time 1</w:t>
            </w:r>
          </w:p>
        </w:tc>
        <w:tc>
          <w:tcPr>
            <w:tcW w:w="900" w:type="dxa"/>
            <w:tcBorders>
              <w:top w:val="single" w:sz="6" w:space="0" w:color="auto"/>
              <w:bottom w:val="single" w:sz="6" w:space="0" w:color="auto"/>
            </w:tcBorders>
          </w:tcPr>
          <w:p w14:paraId="33A3E84F"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Time 2</w:t>
            </w:r>
          </w:p>
        </w:tc>
      </w:tr>
      <w:tr w:rsidR="00A943F7" w:rsidRPr="00350908" w14:paraId="0AC3F309" w14:textId="77777777" w:rsidTr="00DB32FE">
        <w:trPr>
          <w:trHeight w:val="354"/>
        </w:trPr>
        <w:tc>
          <w:tcPr>
            <w:tcW w:w="1440" w:type="dxa"/>
          </w:tcPr>
          <w:p w14:paraId="3EFCA84D"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Curvilinear</w:t>
            </w:r>
          </w:p>
        </w:tc>
        <w:tc>
          <w:tcPr>
            <w:tcW w:w="810" w:type="dxa"/>
          </w:tcPr>
          <w:p w14:paraId="7DD1763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810" w:type="dxa"/>
          </w:tcPr>
          <w:p w14:paraId="67B16A4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1C46421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810" w:type="dxa"/>
          </w:tcPr>
          <w:p w14:paraId="4E6142B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810" w:type="dxa"/>
          </w:tcPr>
          <w:p w14:paraId="04495DB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0D9C28C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3AD4BC6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1080" w:type="dxa"/>
          </w:tcPr>
          <w:p w14:paraId="0E4C5CB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228C984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06BB2C3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1170" w:type="dxa"/>
          </w:tcPr>
          <w:p w14:paraId="559D2CC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09CC8BF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072348B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900" w:type="dxa"/>
          </w:tcPr>
          <w:p w14:paraId="6FAA871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270" w:type="dxa"/>
          </w:tcPr>
          <w:p w14:paraId="7C0CCCE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121C99A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900" w:type="dxa"/>
          </w:tcPr>
          <w:p w14:paraId="6E3F3AE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r>
      <w:tr w:rsidR="00A943F7" w:rsidRPr="00350908" w14:paraId="509D534E" w14:textId="77777777" w:rsidTr="00DB32FE">
        <w:trPr>
          <w:trHeight w:val="558"/>
        </w:trPr>
        <w:tc>
          <w:tcPr>
            <w:tcW w:w="1440" w:type="dxa"/>
          </w:tcPr>
          <w:p w14:paraId="1A4F5373"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Heckman correction</w:t>
            </w:r>
          </w:p>
        </w:tc>
        <w:tc>
          <w:tcPr>
            <w:tcW w:w="810" w:type="dxa"/>
          </w:tcPr>
          <w:p w14:paraId="7041189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b=.59</w:t>
            </w:r>
          </w:p>
          <w:p w14:paraId="0C58A94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4062D59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b=.64</w:t>
            </w:r>
          </w:p>
          <w:p w14:paraId="2AA9090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31CC1F1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810" w:type="dxa"/>
          </w:tcPr>
          <w:p w14:paraId="7ED1B57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b=-.16</w:t>
            </w:r>
          </w:p>
          <w:p w14:paraId="4E2C20C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0DF1435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b=-.15</w:t>
            </w:r>
          </w:p>
          <w:p w14:paraId="7BB10F0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529BA3F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37EE1BC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1080" w:type="dxa"/>
          </w:tcPr>
          <w:p w14:paraId="44ABEA4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270" w:type="dxa"/>
          </w:tcPr>
          <w:p w14:paraId="1248330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76D9C5E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1170" w:type="dxa"/>
          </w:tcPr>
          <w:p w14:paraId="1B8A9B5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270" w:type="dxa"/>
          </w:tcPr>
          <w:p w14:paraId="2F754F4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426E993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900" w:type="dxa"/>
          </w:tcPr>
          <w:p w14:paraId="27F82DE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7705610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246894F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b=-.11</w:t>
            </w:r>
          </w:p>
          <w:p w14:paraId="5B27F44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900" w:type="dxa"/>
          </w:tcPr>
          <w:p w14:paraId="26D3A0F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b=-.10</w:t>
            </w:r>
          </w:p>
          <w:p w14:paraId="1FD1D9C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r>
      <w:tr w:rsidR="00A943F7" w:rsidRPr="00350908" w14:paraId="5DD152B5" w14:textId="77777777" w:rsidTr="00DB32FE">
        <w:trPr>
          <w:trHeight w:val="819"/>
        </w:trPr>
        <w:tc>
          <w:tcPr>
            <w:tcW w:w="1440" w:type="dxa"/>
          </w:tcPr>
          <w:p w14:paraId="3E91BC44"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Zero reviews</w:t>
            </w:r>
          </w:p>
        </w:tc>
        <w:tc>
          <w:tcPr>
            <w:tcW w:w="810" w:type="dxa"/>
          </w:tcPr>
          <w:p w14:paraId="77F049E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b=.58</w:t>
            </w:r>
          </w:p>
          <w:p w14:paraId="584F1A0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6DA6379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b=.65</w:t>
            </w:r>
          </w:p>
          <w:p w14:paraId="1CAE71E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6B551FB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810" w:type="dxa"/>
          </w:tcPr>
          <w:p w14:paraId="3BAE4CB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810" w:type="dxa"/>
          </w:tcPr>
          <w:p w14:paraId="28C1693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270" w:type="dxa"/>
          </w:tcPr>
          <w:p w14:paraId="1EEF067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52D759F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IE=.24</w:t>
            </w:r>
          </w:p>
          <w:p w14:paraId="2AA26F8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[.10, .49]</w:t>
            </w:r>
          </w:p>
        </w:tc>
        <w:tc>
          <w:tcPr>
            <w:tcW w:w="1080" w:type="dxa"/>
          </w:tcPr>
          <w:p w14:paraId="349D8D5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IE=.38</w:t>
            </w:r>
          </w:p>
          <w:p w14:paraId="1B445A1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[.19, .72]</w:t>
            </w:r>
          </w:p>
        </w:tc>
        <w:tc>
          <w:tcPr>
            <w:tcW w:w="270" w:type="dxa"/>
          </w:tcPr>
          <w:p w14:paraId="2841C8A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7EBB786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1170" w:type="dxa"/>
          </w:tcPr>
          <w:p w14:paraId="7906B0B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270" w:type="dxa"/>
          </w:tcPr>
          <w:p w14:paraId="10B5C68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288DFA7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900" w:type="dxa"/>
          </w:tcPr>
          <w:p w14:paraId="69CF784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5745569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1A16C34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900" w:type="dxa"/>
          </w:tcPr>
          <w:p w14:paraId="764F5DE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r>
      <w:tr w:rsidR="00A943F7" w:rsidRPr="00350908" w14:paraId="27964D90" w14:textId="77777777" w:rsidTr="00DB32FE">
        <w:trPr>
          <w:trHeight w:val="819"/>
        </w:trPr>
        <w:tc>
          <w:tcPr>
            <w:tcW w:w="1440" w:type="dxa"/>
          </w:tcPr>
          <w:p w14:paraId="425EDF2B" w14:textId="77777777" w:rsidR="00A943F7" w:rsidRPr="00350908" w:rsidRDefault="00A943F7" w:rsidP="00DB32FE">
            <w:pPr>
              <w:spacing w:line="240" w:lineRule="auto"/>
              <w:ind w:right="-106"/>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No “thank you” &amp; “</w:t>
            </w:r>
            <w:proofErr w:type="gramStart"/>
            <w:r w:rsidRPr="00350908">
              <w:rPr>
                <w:rFonts w:ascii="Times New Roman" w:eastAsia="MS Mincho" w:hAnsi="Times New Roman" w:cs="Times New Roman"/>
                <w:b/>
                <w:bCs/>
                <w:color w:val="000000" w:themeColor="text1"/>
                <w:sz w:val="20"/>
                <w:szCs w:val="20"/>
              </w:rPr>
              <w:t>low-value</w:t>
            </w:r>
            <w:proofErr w:type="gramEnd"/>
            <w:r w:rsidRPr="00350908">
              <w:rPr>
                <w:rFonts w:ascii="Times New Roman" w:eastAsia="MS Mincho" w:hAnsi="Times New Roman" w:cs="Times New Roman"/>
                <w:b/>
                <w:bCs/>
                <w:color w:val="000000" w:themeColor="text1"/>
                <w:sz w:val="20"/>
                <w:szCs w:val="20"/>
              </w:rPr>
              <w:t>” items</w:t>
            </w:r>
          </w:p>
        </w:tc>
        <w:tc>
          <w:tcPr>
            <w:tcW w:w="810" w:type="dxa"/>
          </w:tcPr>
          <w:p w14:paraId="4CA4404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b=.56</w:t>
            </w:r>
          </w:p>
          <w:p w14:paraId="54438EF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3ED1183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b=.62</w:t>
            </w:r>
          </w:p>
          <w:p w14:paraId="7699BD9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030AD64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810" w:type="dxa"/>
          </w:tcPr>
          <w:p w14:paraId="51CBDB1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b=-.14</w:t>
            </w:r>
          </w:p>
          <w:p w14:paraId="14A0745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6A9B476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b=-.14</w:t>
            </w:r>
          </w:p>
          <w:p w14:paraId="620F1D8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78ED699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46F9792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IE=.25</w:t>
            </w:r>
          </w:p>
          <w:p w14:paraId="6BA90A1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[.12, .51]</w:t>
            </w:r>
          </w:p>
        </w:tc>
        <w:tc>
          <w:tcPr>
            <w:tcW w:w="1080" w:type="dxa"/>
          </w:tcPr>
          <w:p w14:paraId="4EF5983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IE=.31</w:t>
            </w:r>
          </w:p>
          <w:p w14:paraId="3EDD006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[.15, .63]</w:t>
            </w:r>
          </w:p>
        </w:tc>
        <w:tc>
          <w:tcPr>
            <w:tcW w:w="270" w:type="dxa"/>
          </w:tcPr>
          <w:p w14:paraId="3F65060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21A5CEA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IE=-.13</w:t>
            </w:r>
          </w:p>
          <w:p w14:paraId="70F5C3C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1F64340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36,-</w:t>
            </w:r>
            <w:proofErr w:type="gramEnd"/>
            <w:r w:rsidRPr="00350908">
              <w:rPr>
                <w:rFonts w:ascii="Times New Roman" w:eastAsia="MS Mincho" w:hAnsi="Times New Roman" w:cs="Times New Roman"/>
                <w:color w:val="000000" w:themeColor="text1"/>
                <w:sz w:val="20"/>
                <w:szCs w:val="20"/>
              </w:rPr>
              <w:t>.03]</w:t>
            </w:r>
          </w:p>
        </w:tc>
        <w:tc>
          <w:tcPr>
            <w:tcW w:w="1170" w:type="dxa"/>
          </w:tcPr>
          <w:p w14:paraId="622C09A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IE=-.11</w:t>
            </w:r>
          </w:p>
          <w:p w14:paraId="4E7BAFE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7A17EF0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35,-</w:t>
            </w:r>
            <w:proofErr w:type="gramEnd"/>
            <w:r w:rsidRPr="00350908">
              <w:rPr>
                <w:rFonts w:ascii="Times New Roman" w:eastAsia="MS Mincho" w:hAnsi="Times New Roman" w:cs="Times New Roman"/>
                <w:color w:val="000000" w:themeColor="text1"/>
                <w:sz w:val="20"/>
                <w:szCs w:val="20"/>
              </w:rPr>
              <w:t>.01]</w:t>
            </w:r>
          </w:p>
        </w:tc>
        <w:tc>
          <w:tcPr>
            <w:tcW w:w="270" w:type="dxa"/>
          </w:tcPr>
          <w:p w14:paraId="0339F60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619F2DA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900" w:type="dxa"/>
          </w:tcPr>
          <w:p w14:paraId="32A7165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4F11F58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7F06278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b=-.11</w:t>
            </w:r>
          </w:p>
          <w:p w14:paraId="2A26F87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900" w:type="dxa"/>
          </w:tcPr>
          <w:p w14:paraId="34172E2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b=-.10</w:t>
            </w:r>
          </w:p>
          <w:p w14:paraId="78531D4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r>
      <w:tr w:rsidR="00A943F7" w:rsidRPr="00350908" w14:paraId="1768F9C9" w14:textId="77777777" w:rsidTr="00DB32FE">
        <w:trPr>
          <w:trHeight w:val="819"/>
        </w:trPr>
        <w:tc>
          <w:tcPr>
            <w:tcW w:w="1440" w:type="dxa"/>
          </w:tcPr>
          <w:p w14:paraId="4C2A4608"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Sales ranks</w:t>
            </w:r>
          </w:p>
        </w:tc>
        <w:tc>
          <w:tcPr>
            <w:tcW w:w="810" w:type="dxa"/>
          </w:tcPr>
          <w:p w14:paraId="0CCD8E0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b=-.63</w:t>
            </w:r>
          </w:p>
          <w:p w14:paraId="44CD81D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1AFA3DB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270" w:type="dxa"/>
          </w:tcPr>
          <w:p w14:paraId="0D1F5D7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810" w:type="dxa"/>
          </w:tcPr>
          <w:p w14:paraId="0750937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b=-.15</w:t>
            </w:r>
          </w:p>
          <w:p w14:paraId="393606C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68AF1C9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270" w:type="dxa"/>
          </w:tcPr>
          <w:p w14:paraId="20E8C95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1D7FD09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IE=.26</w:t>
            </w:r>
          </w:p>
          <w:p w14:paraId="4B71F21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[.08, .65]</w:t>
            </w:r>
          </w:p>
        </w:tc>
        <w:tc>
          <w:tcPr>
            <w:tcW w:w="1080" w:type="dxa"/>
          </w:tcPr>
          <w:p w14:paraId="6D624AC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270" w:type="dxa"/>
          </w:tcPr>
          <w:p w14:paraId="6EDAB07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56B1BEA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IE=-.14</w:t>
            </w:r>
          </w:p>
          <w:p w14:paraId="7BEB96E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180A243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39,-</w:t>
            </w:r>
            <w:proofErr w:type="gramEnd"/>
            <w:r w:rsidRPr="00350908">
              <w:rPr>
                <w:rFonts w:ascii="Times New Roman" w:eastAsia="MS Mincho" w:hAnsi="Times New Roman" w:cs="Times New Roman"/>
                <w:color w:val="000000" w:themeColor="text1"/>
                <w:sz w:val="20"/>
                <w:szCs w:val="20"/>
              </w:rPr>
              <w:t>.03]</w:t>
            </w:r>
          </w:p>
        </w:tc>
        <w:tc>
          <w:tcPr>
            <w:tcW w:w="1170" w:type="dxa"/>
          </w:tcPr>
          <w:p w14:paraId="581D3B0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c>
          <w:tcPr>
            <w:tcW w:w="270" w:type="dxa"/>
          </w:tcPr>
          <w:p w14:paraId="746F94C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77AC5AF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900" w:type="dxa"/>
          </w:tcPr>
          <w:p w14:paraId="2A2A44C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329DE6D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6EAE217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b=-.08</w:t>
            </w:r>
          </w:p>
          <w:p w14:paraId="2947D8F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tc>
        <w:tc>
          <w:tcPr>
            <w:tcW w:w="900" w:type="dxa"/>
          </w:tcPr>
          <w:p w14:paraId="445BF8E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n/a</w:t>
            </w:r>
          </w:p>
        </w:tc>
      </w:tr>
      <w:tr w:rsidR="00A943F7" w:rsidRPr="00350908" w14:paraId="28853A93" w14:textId="77777777" w:rsidTr="00DB32FE">
        <w:trPr>
          <w:trHeight w:val="792"/>
        </w:trPr>
        <w:tc>
          <w:tcPr>
            <w:tcW w:w="1440" w:type="dxa"/>
          </w:tcPr>
          <w:p w14:paraId="31434027" w14:textId="77777777" w:rsidR="00A943F7" w:rsidRPr="00350908" w:rsidRDefault="00A943F7" w:rsidP="00DB32FE">
            <w:pPr>
              <w:spacing w:line="240" w:lineRule="auto"/>
              <w:ind w:right="-106"/>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Ratio of pledge amount</w:t>
            </w:r>
          </w:p>
        </w:tc>
        <w:tc>
          <w:tcPr>
            <w:tcW w:w="810" w:type="dxa"/>
          </w:tcPr>
          <w:p w14:paraId="7C00F17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b=.66</w:t>
            </w:r>
          </w:p>
          <w:p w14:paraId="4B3CE94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7ACF254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b=.68</w:t>
            </w:r>
          </w:p>
          <w:p w14:paraId="77D6341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6F9936C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810" w:type="dxa"/>
          </w:tcPr>
          <w:p w14:paraId="63D7B48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b=-.13</w:t>
            </w:r>
          </w:p>
          <w:p w14:paraId="6535947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538D182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b=-.11</w:t>
            </w:r>
          </w:p>
          <w:p w14:paraId="66E5881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tc>
        <w:tc>
          <w:tcPr>
            <w:tcW w:w="270" w:type="dxa"/>
          </w:tcPr>
          <w:p w14:paraId="0EA272A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0914850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IE=.27</w:t>
            </w:r>
          </w:p>
          <w:p w14:paraId="733F03C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[.10,.60]</w:t>
            </w:r>
          </w:p>
        </w:tc>
        <w:tc>
          <w:tcPr>
            <w:tcW w:w="1080" w:type="dxa"/>
          </w:tcPr>
          <w:p w14:paraId="5381AF2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IE=.35</w:t>
            </w:r>
          </w:p>
          <w:p w14:paraId="312969B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[.17, .69]</w:t>
            </w:r>
          </w:p>
        </w:tc>
        <w:tc>
          <w:tcPr>
            <w:tcW w:w="270" w:type="dxa"/>
          </w:tcPr>
          <w:p w14:paraId="1CC9B00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0072E3E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IE=-.15</w:t>
            </w:r>
          </w:p>
          <w:p w14:paraId="529CA7F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5EE5AE2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33,-</w:t>
            </w:r>
            <w:proofErr w:type="gramEnd"/>
            <w:r w:rsidRPr="00350908">
              <w:rPr>
                <w:rFonts w:ascii="Times New Roman" w:eastAsia="MS Mincho" w:hAnsi="Times New Roman" w:cs="Times New Roman"/>
                <w:color w:val="000000" w:themeColor="text1"/>
                <w:sz w:val="20"/>
                <w:szCs w:val="20"/>
              </w:rPr>
              <w:t>.03]</w:t>
            </w:r>
          </w:p>
        </w:tc>
        <w:tc>
          <w:tcPr>
            <w:tcW w:w="1170" w:type="dxa"/>
          </w:tcPr>
          <w:p w14:paraId="2C566B7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IE=-.13</w:t>
            </w:r>
          </w:p>
          <w:p w14:paraId="0A65FD5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05B4BA2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12,-</w:t>
            </w:r>
            <w:proofErr w:type="gramEnd"/>
            <w:r w:rsidRPr="00350908">
              <w:rPr>
                <w:rFonts w:ascii="Times New Roman" w:eastAsia="MS Mincho" w:hAnsi="Times New Roman" w:cs="Times New Roman"/>
                <w:color w:val="000000" w:themeColor="text1"/>
                <w:sz w:val="20"/>
                <w:szCs w:val="20"/>
              </w:rPr>
              <w:t>.004]</w:t>
            </w:r>
          </w:p>
        </w:tc>
        <w:tc>
          <w:tcPr>
            <w:tcW w:w="270" w:type="dxa"/>
          </w:tcPr>
          <w:p w14:paraId="0156A2A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73AA4F0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900" w:type="dxa"/>
          </w:tcPr>
          <w:p w14:paraId="67A7D85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2D23DB4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539FD97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b=-.11</w:t>
            </w:r>
          </w:p>
          <w:p w14:paraId="36662CD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p w14:paraId="08D38EC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3718104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b=-.10</w:t>
            </w:r>
          </w:p>
          <w:p w14:paraId="313533E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p w14:paraId="61161DE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r>
      <w:tr w:rsidR="00A943F7" w:rsidRPr="00350908" w14:paraId="5311C669" w14:textId="77777777" w:rsidTr="00DB32FE">
        <w:trPr>
          <w:trHeight w:val="792"/>
        </w:trPr>
        <w:tc>
          <w:tcPr>
            <w:tcW w:w="1440" w:type="dxa"/>
          </w:tcPr>
          <w:p w14:paraId="1A24DA38"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Kickstarter only</w:t>
            </w:r>
          </w:p>
        </w:tc>
        <w:tc>
          <w:tcPr>
            <w:tcW w:w="810" w:type="dxa"/>
          </w:tcPr>
          <w:p w14:paraId="12D44E6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b=.58</w:t>
            </w:r>
          </w:p>
          <w:p w14:paraId="75D0271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4D77C81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b=.66</w:t>
            </w:r>
          </w:p>
          <w:p w14:paraId="0743D93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50F1226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810" w:type="dxa"/>
          </w:tcPr>
          <w:p w14:paraId="4DC1497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b=-.16</w:t>
            </w:r>
          </w:p>
          <w:p w14:paraId="0B2D479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631FECA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b=-.16</w:t>
            </w:r>
          </w:p>
          <w:p w14:paraId="5AC7A8F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38AA498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77D3773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IE=.24</w:t>
            </w:r>
          </w:p>
          <w:p w14:paraId="069060A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[.07, .63]</w:t>
            </w:r>
          </w:p>
        </w:tc>
        <w:tc>
          <w:tcPr>
            <w:tcW w:w="1080" w:type="dxa"/>
          </w:tcPr>
          <w:p w14:paraId="6BD8B60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IE=.32</w:t>
            </w:r>
          </w:p>
          <w:p w14:paraId="73CB9F0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[.13, .80]</w:t>
            </w:r>
          </w:p>
        </w:tc>
        <w:tc>
          <w:tcPr>
            <w:tcW w:w="270" w:type="dxa"/>
          </w:tcPr>
          <w:p w14:paraId="659FC46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3D3E719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IE=-.22</w:t>
            </w:r>
          </w:p>
          <w:p w14:paraId="1F97B2D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19B418C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62,-</w:t>
            </w:r>
            <w:proofErr w:type="gramEnd"/>
            <w:r w:rsidRPr="00350908">
              <w:rPr>
                <w:rFonts w:ascii="Times New Roman" w:eastAsia="MS Mincho" w:hAnsi="Times New Roman" w:cs="Times New Roman"/>
                <w:color w:val="000000" w:themeColor="text1"/>
                <w:sz w:val="20"/>
                <w:szCs w:val="20"/>
              </w:rPr>
              <w:t>.05]</w:t>
            </w:r>
          </w:p>
        </w:tc>
        <w:tc>
          <w:tcPr>
            <w:tcW w:w="1170" w:type="dxa"/>
          </w:tcPr>
          <w:p w14:paraId="2D265E4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IE=-.23</w:t>
            </w:r>
          </w:p>
          <w:p w14:paraId="33FAE20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3ABD9DB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66,-</w:t>
            </w:r>
            <w:proofErr w:type="gramEnd"/>
            <w:r w:rsidRPr="00350908">
              <w:rPr>
                <w:rFonts w:ascii="Times New Roman" w:eastAsia="MS Mincho" w:hAnsi="Times New Roman" w:cs="Times New Roman"/>
                <w:color w:val="000000" w:themeColor="text1"/>
                <w:sz w:val="20"/>
                <w:szCs w:val="20"/>
              </w:rPr>
              <w:t>.04]</w:t>
            </w:r>
          </w:p>
        </w:tc>
        <w:tc>
          <w:tcPr>
            <w:tcW w:w="270" w:type="dxa"/>
          </w:tcPr>
          <w:p w14:paraId="1757CB9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1E2A71D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900" w:type="dxa"/>
          </w:tcPr>
          <w:p w14:paraId="5D5D327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5B6613B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761013F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b=-.12</w:t>
            </w:r>
          </w:p>
          <w:p w14:paraId="61DA266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tc>
        <w:tc>
          <w:tcPr>
            <w:tcW w:w="900" w:type="dxa"/>
          </w:tcPr>
          <w:p w14:paraId="08FFD7B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b=-.13</w:t>
            </w:r>
          </w:p>
          <w:p w14:paraId="5A037E5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tc>
      </w:tr>
      <w:tr w:rsidR="00A943F7" w:rsidRPr="00350908" w14:paraId="0B0D06D7" w14:textId="77777777" w:rsidTr="00DB32FE">
        <w:trPr>
          <w:trHeight w:val="810"/>
        </w:trPr>
        <w:tc>
          <w:tcPr>
            <w:tcW w:w="1440" w:type="dxa"/>
          </w:tcPr>
          <w:p w14:paraId="6BF593F1"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 xml:space="preserve">25 </w:t>
            </w:r>
            <w:proofErr w:type="gramStart"/>
            <w:r w:rsidRPr="00350908">
              <w:rPr>
                <w:rFonts w:ascii="Times New Roman" w:eastAsia="MS Mincho" w:hAnsi="Times New Roman" w:cs="Times New Roman"/>
                <w:b/>
                <w:bCs/>
                <w:color w:val="000000" w:themeColor="text1"/>
                <w:sz w:val="20"/>
                <w:szCs w:val="20"/>
              </w:rPr>
              <w:t>percentile</w:t>
            </w:r>
            <w:proofErr w:type="gramEnd"/>
          </w:p>
          <w:p w14:paraId="473970AC"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p>
        </w:tc>
        <w:tc>
          <w:tcPr>
            <w:tcW w:w="810" w:type="dxa"/>
          </w:tcPr>
          <w:p w14:paraId="01A4548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b=.39</w:t>
            </w:r>
          </w:p>
          <w:p w14:paraId="184B4A9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1B790EE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b=.47</w:t>
            </w:r>
          </w:p>
          <w:p w14:paraId="0E3E3C1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0493A04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810" w:type="dxa"/>
          </w:tcPr>
          <w:p w14:paraId="2E7866D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b=-.10</w:t>
            </w:r>
          </w:p>
          <w:p w14:paraId="5C0D702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tc>
        <w:tc>
          <w:tcPr>
            <w:tcW w:w="810" w:type="dxa"/>
          </w:tcPr>
          <w:p w14:paraId="0A93580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b=-.10</w:t>
            </w:r>
          </w:p>
          <w:p w14:paraId="51A5B36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tc>
        <w:tc>
          <w:tcPr>
            <w:tcW w:w="270" w:type="dxa"/>
          </w:tcPr>
          <w:p w14:paraId="5CE0579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258D78F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IE=.28</w:t>
            </w:r>
          </w:p>
          <w:p w14:paraId="3F66D3F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[.13, .69]</w:t>
            </w:r>
          </w:p>
        </w:tc>
        <w:tc>
          <w:tcPr>
            <w:tcW w:w="1080" w:type="dxa"/>
          </w:tcPr>
          <w:p w14:paraId="66DF10C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IE=.42</w:t>
            </w:r>
          </w:p>
          <w:p w14:paraId="1692D4B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[.21,1.01]</w:t>
            </w:r>
          </w:p>
        </w:tc>
        <w:tc>
          <w:tcPr>
            <w:tcW w:w="270" w:type="dxa"/>
          </w:tcPr>
          <w:p w14:paraId="19F856F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672C0DD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IE=-.18</w:t>
            </w:r>
          </w:p>
          <w:p w14:paraId="201B534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5356E61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48,-</w:t>
            </w:r>
            <w:proofErr w:type="gramEnd"/>
            <w:r w:rsidRPr="00350908">
              <w:rPr>
                <w:rFonts w:ascii="Times New Roman" w:eastAsia="MS Mincho" w:hAnsi="Times New Roman" w:cs="Times New Roman"/>
                <w:color w:val="000000" w:themeColor="text1"/>
                <w:sz w:val="20"/>
                <w:szCs w:val="20"/>
              </w:rPr>
              <w:t>.03]</w:t>
            </w:r>
          </w:p>
        </w:tc>
        <w:tc>
          <w:tcPr>
            <w:tcW w:w="1170" w:type="dxa"/>
          </w:tcPr>
          <w:p w14:paraId="47C6FB7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IE=-.22</w:t>
            </w:r>
          </w:p>
          <w:p w14:paraId="37AAEE8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338CD3F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69,-</w:t>
            </w:r>
            <w:proofErr w:type="gramEnd"/>
            <w:r w:rsidRPr="00350908">
              <w:rPr>
                <w:rFonts w:ascii="Times New Roman" w:eastAsia="MS Mincho" w:hAnsi="Times New Roman" w:cs="Times New Roman"/>
                <w:color w:val="000000" w:themeColor="text1"/>
                <w:sz w:val="20"/>
                <w:szCs w:val="20"/>
              </w:rPr>
              <w:t>.05]</w:t>
            </w:r>
          </w:p>
        </w:tc>
        <w:tc>
          <w:tcPr>
            <w:tcW w:w="270" w:type="dxa"/>
          </w:tcPr>
          <w:p w14:paraId="3CAD2D7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5AB5C33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p w14:paraId="0A0EC31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735E0B7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p w14:paraId="79EB899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270" w:type="dxa"/>
          </w:tcPr>
          <w:p w14:paraId="5C0AFF5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2CF3569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b=-.10</w:t>
            </w:r>
          </w:p>
          <w:p w14:paraId="0E4DEDD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tc>
        <w:tc>
          <w:tcPr>
            <w:tcW w:w="900" w:type="dxa"/>
          </w:tcPr>
          <w:p w14:paraId="5EA95AA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b=-.09</w:t>
            </w:r>
          </w:p>
          <w:p w14:paraId="22073F1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tc>
      </w:tr>
      <w:tr w:rsidR="00A943F7" w:rsidRPr="00350908" w14:paraId="74D3E657" w14:textId="77777777" w:rsidTr="00DB32FE">
        <w:trPr>
          <w:trHeight w:val="783"/>
        </w:trPr>
        <w:tc>
          <w:tcPr>
            <w:tcW w:w="1440" w:type="dxa"/>
          </w:tcPr>
          <w:p w14:paraId="0DCC2EA4"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No holiday season</w:t>
            </w:r>
          </w:p>
        </w:tc>
        <w:tc>
          <w:tcPr>
            <w:tcW w:w="810" w:type="dxa"/>
          </w:tcPr>
          <w:p w14:paraId="6D25F67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b=.54</w:t>
            </w:r>
          </w:p>
          <w:p w14:paraId="646CDF2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3FB92CA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b=.60</w:t>
            </w:r>
          </w:p>
          <w:p w14:paraId="3DF24AC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132B547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810" w:type="dxa"/>
          </w:tcPr>
          <w:p w14:paraId="0053239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b=-.16</w:t>
            </w:r>
          </w:p>
          <w:p w14:paraId="1089BFC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0F8E562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b=-.15</w:t>
            </w:r>
          </w:p>
          <w:p w14:paraId="628B4AB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14BD73B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430D633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IE=.26</w:t>
            </w:r>
          </w:p>
          <w:p w14:paraId="73A3004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[.12, .56]</w:t>
            </w:r>
          </w:p>
        </w:tc>
        <w:tc>
          <w:tcPr>
            <w:tcW w:w="1080" w:type="dxa"/>
          </w:tcPr>
          <w:p w14:paraId="4F4D92F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IE=.37</w:t>
            </w:r>
          </w:p>
          <w:p w14:paraId="6E0B96A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[.18, .75]</w:t>
            </w:r>
          </w:p>
        </w:tc>
        <w:tc>
          <w:tcPr>
            <w:tcW w:w="270" w:type="dxa"/>
          </w:tcPr>
          <w:p w14:paraId="4D9F296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6E036EB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IE=-.18</w:t>
            </w:r>
          </w:p>
          <w:p w14:paraId="14BC363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1378585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47,-</w:t>
            </w:r>
            <w:proofErr w:type="gramEnd"/>
            <w:r w:rsidRPr="00350908">
              <w:rPr>
                <w:rFonts w:ascii="Times New Roman" w:eastAsia="MS Mincho" w:hAnsi="Times New Roman" w:cs="Times New Roman"/>
                <w:color w:val="000000" w:themeColor="text1"/>
                <w:sz w:val="20"/>
                <w:szCs w:val="20"/>
              </w:rPr>
              <w:t>.04]</w:t>
            </w:r>
          </w:p>
        </w:tc>
        <w:tc>
          <w:tcPr>
            <w:tcW w:w="1170" w:type="dxa"/>
          </w:tcPr>
          <w:p w14:paraId="0AE0AC5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IE=-.18</w:t>
            </w:r>
          </w:p>
          <w:p w14:paraId="6841213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25A3DBA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47,-</w:t>
            </w:r>
            <w:proofErr w:type="gramEnd"/>
            <w:r w:rsidRPr="00350908">
              <w:rPr>
                <w:rFonts w:ascii="Times New Roman" w:eastAsia="MS Mincho" w:hAnsi="Times New Roman" w:cs="Times New Roman"/>
                <w:color w:val="000000" w:themeColor="text1"/>
                <w:sz w:val="20"/>
                <w:szCs w:val="20"/>
              </w:rPr>
              <w:t>.05]</w:t>
            </w:r>
          </w:p>
        </w:tc>
        <w:tc>
          <w:tcPr>
            <w:tcW w:w="270" w:type="dxa"/>
          </w:tcPr>
          <w:p w14:paraId="1A2E50A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7DD8552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900" w:type="dxa"/>
          </w:tcPr>
          <w:p w14:paraId="6F48A8F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5187E5A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6582E9C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b=-.11</w:t>
            </w:r>
          </w:p>
          <w:p w14:paraId="6A4E44A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tc>
        <w:tc>
          <w:tcPr>
            <w:tcW w:w="900" w:type="dxa"/>
          </w:tcPr>
          <w:p w14:paraId="57AD066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b=-.09</w:t>
            </w:r>
          </w:p>
          <w:p w14:paraId="23DB4C5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p w14:paraId="2F0BDAC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r>
      <w:tr w:rsidR="00A943F7" w:rsidRPr="00350908" w14:paraId="43BBD71D" w14:textId="77777777" w:rsidTr="00DB32FE">
        <w:trPr>
          <w:trHeight w:val="801"/>
        </w:trPr>
        <w:tc>
          <w:tcPr>
            <w:tcW w:w="1440" w:type="dxa"/>
          </w:tcPr>
          <w:p w14:paraId="00389BB5"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No book</w:t>
            </w:r>
          </w:p>
        </w:tc>
        <w:tc>
          <w:tcPr>
            <w:tcW w:w="810" w:type="dxa"/>
          </w:tcPr>
          <w:p w14:paraId="16BA2B3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b=.58</w:t>
            </w:r>
          </w:p>
          <w:p w14:paraId="7F18F39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7B45AD7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b=.65</w:t>
            </w:r>
          </w:p>
          <w:p w14:paraId="3B1BC64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33937AB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810" w:type="dxa"/>
          </w:tcPr>
          <w:p w14:paraId="3BD7E39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b=-.15</w:t>
            </w:r>
          </w:p>
          <w:p w14:paraId="6444317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272B636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b=-.14</w:t>
            </w:r>
          </w:p>
          <w:p w14:paraId="469020F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224E257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2B00D9E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IE=.27</w:t>
            </w:r>
          </w:p>
          <w:p w14:paraId="5AB3E37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[.12, .58]</w:t>
            </w:r>
          </w:p>
        </w:tc>
        <w:tc>
          <w:tcPr>
            <w:tcW w:w="1080" w:type="dxa"/>
          </w:tcPr>
          <w:p w14:paraId="422AD5D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IE=.36</w:t>
            </w:r>
          </w:p>
          <w:p w14:paraId="005AE2D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[.17, .76]</w:t>
            </w:r>
          </w:p>
        </w:tc>
        <w:tc>
          <w:tcPr>
            <w:tcW w:w="270" w:type="dxa"/>
          </w:tcPr>
          <w:p w14:paraId="39BC1E8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00EB05A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IE=-.18</w:t>
            </w:r>
          </w:p>
          <w:p w14:paraId="5344577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7FDB755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52,-</w:t>
            </w:r>
            <w:proofErr w:type="gramEnd"/>
            <w:r w:rsidRPr="00350908">
              <w:rPr>
                <w:rFonts w:ascii="Times New Roman" w:eastAsia="MS Mincho" w:hAnsi="Times New Roman" w:cs="Times New Roman"/>
                <w:color w:val="000000" w:themeColor="text1"/>
                <w:sz w:val="20"/>
                <w:szCs w:val="20"/>
              </w:rPr>
              <w:t>.02]</w:t>
            </w:r>
          </w:p>
        </w:tc>
        <w:tc>
          <w:tcPr>
            <w:tcW w:w="1170" w:type="dxa"/>
          </w:tcPr>
          <w:p w14:paraId="2131C0D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IE=-.18</w:t>
            </w:r>
          </w:p>
          <w:p w14:paraId="0CBF7BA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28F6979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48,-</w:t>
            </w:r>
            <w:proofErr w:type="gramEnd"/>
            <w:r w:rsidRPr="00350908">
              <w:rPr>
                <w:rFonts w:ascii="Times New Roman" w:eastAsia="MS Mincho" w:hAnsi="Times New Roman" w:cs="Times New Roman"/>
                <w:color w:val="000000" w:themeColor="text1"/>
                <w:sz w:val="20"/>
                <w:szCs w:val="20"/>
              </w:rPr>
              <w:t>.02]</w:t>
            </w:r>
          </w:p>
        </w:tc>
        <w:tc>
          <w:tcPr>
            <w:tcW w:w="270" w:type="dxa"/>
          </w:tcPr>
          <w:p w14:paraId="17218BD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7CFE7BB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900" w:type="dxa"/>
          </w:tcPr>
          <w:p w14:paraId="49DDEA2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616DF5E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527F56D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b=-.12</w:t>
            </w:r>
          </w:p>
          <w:p w14:paraId="7A3256B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p w14:paraId="783636B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52DE3B8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b=-.11</w:t>
            </w:r>
          </w:p>
          <w:p w14:paraId="329ED900"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p w14:paraId="12F7B3D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r>
      <w:tr w:rsidR="00A943F7" w:rsidRPr="00350908" w14:paraId="0C709DB9" w14:textId="77777777" w:rsidTr="00DB32FE">
        <w:trPr>
          <w:trHeight w:val="819"/>
        </w:trPr>
        <w:tc>
          <w:tcPr>
            <w:tcW w:w="1440" w:type="dxa"/>
          </w:tcPr>
          <w:p w14:paraId="1838455C" w14:textId="77777777" w:rsidR="00A943F7" w:rsidRPr="00350908" w:rsidRDefault="00A943F7" w:rsidP="00DB32FE">
            <w:pPr>
              <w:spacing w:line="240" w:lineRule="auto"/>
              <w:ind w:right="-107"/>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No blockbuster projects</w:t>
            </w:r>
          </w:p>
        </w:tc>
        <w:tc>
          <w:tcPr>
            <w:tcW w:w="810" w:type="dxa"/>
          </w:tcPr>
          <w:p w14:paraId="41C99B6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b=.53</w:t>
            </w:r>
          </w:p>
          <w:p w14:paraId="6E5AEAF2"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30F438C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b=.61</w:t>
            </w:r>
          </w:p>
          <w:p w14:paraId="243315A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56D2FFC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810" w:type="dxa"/>
          </w:tcPr>
          <w:p w14:paraId="77AAAFF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b=-.19</w:t>
            </w:r>
          </w:p>
          <w:p w14:paraId="6A2E2FB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Pr>
          <w:p w14:paraId="08E938F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b=-.16</w:t>
            </w:r>
          </w:p>
          <w:p w14:paraId="763AA85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Pr>
          <w:p w14:paraId="4358877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3652B2A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IE=.24</w:t>
            </w:r>
          </w:p>
          <w:p w14:paraId="1D9DA91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[.08, .57]</w:t>
            </w:r>
          </w:p>
        </w:tc>
        <w:tc>
          <w:tcPr>
            <w:tcW w:w="1080" w:type="dxa"/>
          </w:tcPr>
          <w:p w14:paraId="446D603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IE=.37</w:t>
            </w:r>
          </w:p>
          <w:p w14:paraId="33116EB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[.17, .80]</w:t>
            </w:r>
          </w:p>
        </w:tc>
        <w:tc>
          <w:tcPr>
            <w:tcW w:w="270" w:type="dxa"/>
          </w:tcPr>
          <w:p w14:paraId="3ED1D7B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Pr>
          <w:p w14:paraId="134D9B3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IE=-.22</w:t>
            </w:r>
          </w:p>
          <w:p w14:paraId="2349547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4F3B3DB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61,-</w:t>
            </w:r>
            <w:proofErr w:type="gramEnd"/>
            <w:r w:rsidRPr="00350908">
              <w:rPr>
                <w:rFonts w:ascii="Times New Roman" w:eastAsia="MS Mincho" w:hAnsi="Times New Roman" w:cs="Times New Roman"/>
                <w:color w:val="000000" w:themeColor="text1"/>
                <w:sz w:val="20"/>
                <w:szCs w:val="20"/>
              </w:rPr>
              <w:t>.02]</w:t>
            </w:r>
          </w:p>
        </w:tc>
        <w:tc>
          <w:tcPr>
            <w:tcW w:w="1170" w:type="dxa"/>
          </w:tcPr>
          <w:p w14:paraId="2EBC5EF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IE=-.20</w:t>
            </w:r>
          </w:p>
          <w:p w14:paraId="0B9310E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23FB4C9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60,-</w:t>
            </w:r>
            <w:proofErr w:type="gramEnd"/>
            <w:r w:rsidRPr="00350908">
              <w:rPr>
                <w:rFonts w:ascii="Times New Roman" w:eastAsia="MS Mincho" w:hAnsi="Times New Roman" w:cs="Times New Roman"/>
                <w:color w:val="000000" w:themeColor="text1"/>
                <w:sz w:val="20"/>
                <w:szCs w:val="20"/>
              </w:rPr>
              <w:t>.01]</w:t>
            </w:r>
          </w:p>
        </w:tc>
        <w:tc>
          <w:tcPr>
            <w:tcW w:w="270" w:type="dxa"/>
          </w:tcPr>
          <w:p w14:paraId="7AB660A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41A69CB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900" w:type="dxa"/>
          </w:tcPr>
          <w:p w14:paraId="2FD60AC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Pr>
          <w:p w14:paraId="4168D514"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6DC3371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b=-.11</w:t>
            </w:r>
          </w:p>
          <w:p w14:paraId="7525F4A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p w14:paraId="4C278F99"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Pr>
          <w:p w14:paraId="24BCADD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b=-.12</w:t>
            </w:r>
          </w:p>
          <w:p w14:paraId="7565A8A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p w14:paraId="58032A0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r>
      <w:tr w:rsidR="00A943F7" w:rsidRPr="00350908" w14:paraId="7F0E67AB" w14:textId="77777777" w:rsidTr="00DB32FE">
        <w:tc>
          <w:tcPr>
            <w:tcW w:w="1440" w:type="dxa"/>
            <w:tcBorders>
              <w:bottom w:val="single" w:sz="4" w:space="0" w:color="auto"/>
            </w:tcBorders>
          </w:tcPr>
          <w:p w14:paraId="575F7EBF" w14:textId="77777777" w:rsidR="00A943F7" w:rsidRPr="00350908" w:rsidRDefault="00A943F7" w:rsidP="00DB32FE">
            <w:pPr>
              <w:spacing w:line="240" w:lineRule="auto"/>
              <w:rPr>
                <w:rFonts w:ascii="Times New Roman" w:eastAsia="MS Mincho" w:hAnsi="Times New Roman" w:cs="Times New Roman"/>
                <w:b/>
                <w:bCs/>
                <w:color w:val="000000" w:themeColor="text1"/>
                <w:sz w:val="20"/>
                <w:szCs w:val="20"/>
              </w:rPr>
            </w:pPr>
            <w:r w:rsidRPr="00350908">
              <w:rPr>
                <w:rFonts w:ascii="Times New Roman" w:eastAsia="MS Mincho" w:hAnsi="Times New Roman" w:cs="Times New Roman"/>
                <w:b/>
                <w:bCs/>
                <w:color w:val="000000" w:themeColor="text1"/>
                <w:sz w:val="20"/>
                <w:szCs w:val="20"/>
              </w:rPr>
              <w:t>Acquisition &amp; funding</w:t>
            </w:r>
          </w:p>
        </w:tc>
        <w:tc>
          <w:tcPr>
            <w:tcW w:w="810" w:type="dxa"/>
            <w:tcBorders>
              <w:bottom w:val="single" w:sz="4" w:space="0" w:color="auto"/>
            </w:tcBorders>
          </w:tcPr>
          <w:p w14:paraId="058E5C9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b=.49</w:t>
            </w:r>
          </w:p>
          <w:p w14:paraId="4183330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Borders>
              <w:bottom w:val="single" w:sz="4" w:space="0" w:color="auto"/>
            </w:tcBorders>
          </w:tcPr>
          <w:p w14:paraId="614A288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b=.57</w:t>
            </w:r>
          </w:p>
          <w:p w14:paraId="7502973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270" w:type="dxa"/>
            <w:tcBorders>
              <w:bottom w:val="single" w:sz="4" w:space="0" w:color="auto"/>
            </w:tcBorders>
          </w:tcPr>
          <w:p w14:paraId="7F700BB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810" w:type="dxa"/>
            <w:tcBorders>
              <w:bottom w:val="single" w:sz="4" w:space="0" w:color="auto"/>
            </w:tcBorders>
          </w:tcPr>
          <w:p w14:paraId="087D891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b=-.16</w:t>
            </w:r>
          </w:p>
          <w:p w14:paraId="5301716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&lt;.01</w:t>
            </w:r>
          </w:p>
        </w:tc>
        <w:tc>
          <w:tcPr>
            <w:tcW w:w="810" w:type="dxa"/>
            <w:tcBorders>
              <w:bottom w:val="single" w:sz="4" w:space="0" w:color="auto"/>
            </w:tcBorders>
          </w:tcPr>
          <w:p w14:paraId="796856C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b=-.15</w:t>
            </w:r>
          </w:p>
          <w:p w14:paraId="32D612B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tc>
        <w:tc>
          <w:tcPr>
            <w:tcW w:w="270" w:type="dxa"/>
            <w:tcBorders>
              <w:bottom w:val="single" w:sz="4" w:space="0" w:color="auto"/>
            </w:tcBorders>
          </w:tcPr>
          <w:p w14:paraId="5999E60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Borders>
              <w:bottom w:val="single" w:sz="4" w:space="0" w:color="auto"/>
            </w:tcBorders>
          </w:tcPr>
          <w:p w14:paraId="00198C2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IE=.19</w:t>
            </w:r>
          </w:p>
          <w:p w14:paraId="6F23960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[.02, .67]</w:t>
            </w:r>
          </w:p>
        </w:tc>
        <w:tc>
          <w:tcPr>
            <w:tcW w:w="1080" w:type="dxa"/>
            <w:tcBorders>
              <w:bottom w:val="single" w:sz="4" w:space="0" w:color="auto"/>
            </w:tcBorders>
          </w:tcPr>
          <w:p w14:paraId="43406CA8"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IE=.33</w:t>
            </w:r>
          </w:p>
          <w:p w14:paraId="19953AE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 [.12, 1.05]</w:t>
            </w:r>
          </w:p>
        </w:tc>
        <w:tc>
          <w:tcPr>
            <w:tcW w:w="270" w:type="dxa"/>
            <w:tcBorders>
              <w:bottom w:val="single" w:sz="4" w:space="0" w:color="auto"/>
            </w:tcBorders>
          </w:tcPr>
          <w:p w14:paraId="0D028465"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1080" w:type="dxa"/>
            <w:tcBorders>
              <w:bottom w:val="single" w:sz="4" w:space="0" w:color="auto"/>
            </w:tcBorders>
          </w:tcPr>
          <w:p w14:paraId="349DD88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IE=-.19</w:t>
            </w:r>
          </w:p>
          <w:p w14:paraId="26898C77"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05DE72A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64,-</w:t>
            </w:r>
            <w:proofErr w:type="gramEnd"/>
            <w:r w:rsidRPr="00350908">
              <w:rPr>
                <w:rFonts w:ascii="Times New Roman" w:eastAsia="MS Mincho" w:hAnsi="Times New Roman" w:cs="Times New Roman"/>
                <w:color w:val="000000" w:themeColor="text1"/>
                <w:sz w:val="20"/>
                <w:szCs w:val="20"/>
              </w:rPr>
              <w:t>.01]</w:t>
            </w:r>
          </w:p>
        </w:tc>
        <w:tc>
          <w:tcPr>
            <w:tcW w:w="1170" w:type="dxa"/>
            <w:tcBorders>
              <w:bottom w:val="single" w:sz="4" w:space="0" w:color="auto"/>
            </w:tcBorders>
          </w:tcPr>
          <w:p w14:paraId="41E0ED5F"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IE=-.20</w:t>
            </w:r>
          </w:p>
          <w:p w14:paraId="6CFF2FA6"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95% CI =</w:t>
            </w:r>
          </w:p>
          <w:p w14:paraId="14D3E0D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w:t>
            </w:r>
            <w:proofErr w:type="gramStart"/>
            <w:r w:rsidRPr="00350908">
              <w:rPr>
                <w:rFonts w:ascii="Times New Roman" w:eastAsia="MS Mincho" w:hAnsi="Times New Roman" w:cs="Times New Roman"/>
                <w:color w:val="000000" w:themeColor="text1"/>
                <w:sz w:val="20"/>
                <w:szCs w:val="20"/>
              </w:rPr>
              <w:t>72,-</w:t>
            </w:r>
            <w:proofErr w:type="gramEnd"/>
            <w:r w:rsidRPr="00350908">
              <w:rPr>
                <w:rFonts w:ascii="Times New Roman" w:eastAsia="MS Mincho" w:hAnsi="Times New Roman" w:cs="Times New Roman"/>
                <w:color w:val="000000" w:themeColor="text1"/>
                <w:sz w:val="20"/>
                <w:szCs w:val="20"/>
              </w:rPr>
              <w:t>.01]</w:t>
            </w:r>
          </w:p>
        </w:tc>
        <w:tc>
          <w:tcPr>
            <w:tcW w:w="270" w:type="dxa"/>
            <w:tcBorders>
              <w:bottom w:val="single" w:sz="4" w:space="0" w:color="auto"/>
            </w:tcBorders>
          </w:tcPr>
          <w:p w14:paraId="1F65D441"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Borders>
              <w:bottom w:val="single" w:sz="4" w:space="0" w:color="auto"/>
            </w:tcBorders>
          </w:tcPr>
          <w:p w14:paraId="208C78E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900" w:type="dxa"/>
            <w:tcBorders>
              <w:bottom w:val="single" w:sz="4" w:space="0" w:color="auto"/>
            </w:tcBorders>
          </w:tcPr>
          <w:p w14:paraId="48075E6E"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roofErr w:type="spellStart"/>
            <w:r w:rsidRPr="00350908">
              <w:rPr>
                <w:rFonts w:ascii="Times New Roman" w:eastAsia="MS Mincho" w:hAnsi="Times New Roman" w:cs="Times New Roman"/>
                <w:color w:val="000000" w:themeColor="text1"/>
                <w:sz w:val="20"/>
                <w:szCs w:val="20"/>
              </w:rPr>
              <w:t>n.s</w:t>
            </w:r>
            <w:proofErr w:type="spellEnd"/>
            <w:r w:rsidRPr="00350908">
              <w:rPr>
                <w:rFonts w:ascii="Times New Roman" w:eastAsia="MS Mincho" w:hAnsi="Times New Roman" w:cs="Times New Roman"/>
                <w:color w:val="000000" w:themeColor="text1"/>
                <w:sz w:val="20"/>
                <w:szCs w:val="20"/>
              </w:rPr>
              <w:t>.</w:t>
            </w:r>
          </w:p>
        </w:tc>
        <w:tc>
          <w:tcPr>
            <w:tcW w:w="270" w:type="dxa"/>
            <w:tcBorders>
              <w:bottom w:val="single" w:sz="4" w:space="0" w:color="auto"/>
            </w:tcBorders>
          </w:tcPr>
          <w:p w14:paraId="5DBE8F5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Borders>
              <w:bottom w:val="single" w:sz="4" w:space="0" w:color="auto"/>
            </w:tcBorders>
          </w:tcPr>
          <w:p w14:paraId="728E7763"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b=-.12</w:t>
            </w:r>
          </w:p>
          <w:p w14:paraId="5E870F4B"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p w14:paraId="7E6293AC"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c>
          <w:tcPr>
            <w:tcW w:w="900" w:type="dxa"/>
            <w:tcBorders>
              <w:bottom w:val="single" w:sz="4" w:space="0" w:color="auto"/>
            </w:tcBorders>
          </w:tcPr>
          <w:p w14:paraId="26C82F1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color w:val="000000" w:themeColor="text1"/>
                <w:sz w:val="20"/>
                <w:szCs w:val="20"/>
              </w:rPr>
              <w:t>b=-.11</w:t>
            </w:r>
          </w:p>
          <w:p w14:paraId="68C4284D"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r w:rsidRPr="00350908">
              <w:rPr>
                <w:rFonts w:ascii="Times New Roman" w:eastAsia="MS Mincho" w:hAnsi="Times New Roman" w:cs="Times New Roman"/>
                <w:i/>
                <w:iCs/>
                <w:color w:val="000000" w:themeColor="text1"/>
                <w:sz w:val="20"/>
                <w:szCs w:val="20"/>
              </w:rPr>
              <w:t>p</w:t>
            </w:r>
            <w:r w:rsidRPr="00350908">
              <w:rPr>
                <w:rFonts w:ascii="Times New Roman" w:eastAsia="MS Mincho" w:hAnsi="Times New Roman" w:cs="Times New Roman"/>
                <w:color w:val="000000" w:themeColor="text1"/>
                <w:sz w:val="20"/>
                <w:szCs w:val="20"/>
              </w:rPr>
              <w:t>&lt;.05</w:t>
            </w:r>
          </w:p>
          <w:p w14:paraId="484AF7BA" w14:textId="77777777" w:rsidR="00A943F7" w:rsidRPr="00350908" w:rsidRDefault="00A943F7" w:rsidP="00DB32FE">
            <w:pPr>
              <w:spacing w:line="240" w:lineRule="auto"/>
              <w:jc w:val="center"/>
              <w:rPr>
                <w:rFonts w:ascii="Times New Roman" w:eastAsia="MS Mincho" w:hAnsi="Times New Roman" w:cs="Times New Roman"/>
                <w:color w:val="000000" w:themeColor="text1"/>
                <w:sz w:val="20"/>
                <w:szCs w:val="20"/>
              </w:rPr>
            </w:pPr>
          </w:p>
        </w:tc>
      </w:tr>
    </w:tbl>
    <w:p w14:paraId="1BF11D71" w14:textId="1F50CEA4" w:rsidR="00A943F7" w:rsidRPr="00A943F7" w:rsidRDefault="00A943F7" w:rsidP="00A943F7">
      <w:pPr>
        <w:spacing w:before="40" w:after="0" w:line="240" w:lineRule="auto"/>
        <w:ind w:right="-450"/>
        <w:rPr>
          <w:lang w:val="en-GB"/>
        </w:rPr>
      </w:pPr>
      <w:bookmarkStart w:id="7" w:name="_Hlk135525733"/>
      <w:bookmarkEnd w:id="6"/>
      <w:r w:rsidRPr="00350908">
        <w:rPr>
          <w:rFonts w:ascii="Times New Roman" w:eastAsia="MS Mincho" w:hAnsi="Times New Roman" w:cs="Times New Roman"/>
          <w:color w:val="000000" w:themeColor="text1"/>
          <w:sz w:val="19"/>
          <w:szCs w:val="19"/>
        </w:rPr>
        <w:t xml:space="preserve">b=coefficient for linear term; </w:t>
      </w:r>
      <w:proofErr w:type="spellStart"/>
      <w:r w:rsidRPr="00350908">
        <w:rPr>
          <w:rFonts w:ascii="Times New Roman" w:eastAsia="MS Mincho" w:hAnsi="Times New Roman" w:cs="Times New Roman"/>
          <w:color w:val="000000" w:themeColor="text1"/>
          <w:sz w:val="19"/>
          <w:szCs w:val="19"/>
        </w:rPr>
        <w:t>b</w:t>
      </w:r>
      <w:r w:rsidRPr="00350908">
        <w:rPr>
          <w:rFonts w:ascii="Times New Roman" w:eastAsia="MS Mincho" w:hAnsi="Times New Roman" w:cs="Times New Roman"/>
          <w:color w:val="000000" w:themeColor="text1"/>
          <w:sz w:val="19"/>
          <w:szCs w:val="19"/>
          <w:vertAlign w:val="subscript"/>
        </w:rPr>
        <w:t>q</w:t>
      </w:r>
      <w:proofErr w:type="spellEnd"/>
      <w:r w:rsidRPr="00350908">
        <w:rPr>
          <w:rFonts w:ascii="Times New Roman" w:eastAsia="MS Mincho" w:hAnsi="Times New Roman" w:cs="Times New Roman"/>
          <w:color w:val="000000" w:themeColor="text1"/>
          <w:sz w:val="19"/>
          <w:szCs w:val="19"/>
        </w:rPr>
        <w:t xml:space="preserve">=coefficient for quadratic term; IE=indirect effect; </w:t>
      </w:r>
      <w:proofErr w:type="spellStart"/>
      <w:r w:rsidRPr="00350908">
        <w:rPr>
          <w:rFonts w:ascii="Times New Roman" w:eastAsia="MS Mincho" w:hAnsi="Times New Roman" w:cs="Times New Roman"/>
          <w:color w:val="000000" w:themeColor="text1"/>
          <w:sz w:val="19"/>
          <w:szCs w:val="19"/>
        </w:rPr>
        <w:t>IE</w:t>
      </w:r>
      <w:r w:rsidRPr="00350908">
        <w:rPr>
          <w:rFonts w:ascii="Times New Roman" w:eastAsia="MS Mincho" w:hAnsi="Times New Roman" w:cs="Times New Roman"/>
          <w:color w:val="000000" w:themeColor="text1"/>
          <w:sz w:val="19"/>
          <w:szCs w:val="19"/>
          <w:vertAlign w:val="subscript"/>
        </w:rPr>
        <w:t>q</w:t>
      </w:r>
      <w:proofErr w:type="spellEnd"/>
      <w:r w:rsidRPr="00350908">
        <w:rPr>
          <w:rFonts w:ascii="Times New Roman" w:eastAsia="MS Mincho" w:hAnsi="Times New Roman" w:cs="Times New Roman"/>
          <w:color w:val="000000" w:themeColor="text1"/>
          <w:sz w:val="19"/>
          <w:szCs w:val="19"/>
        </w:rPr>
        <w:t xml:space="preserve">=indirect effect for quadratic term; CI=confidence interval; </w:t>
      </w:r>
      <w:bookmarkEnd w:id="7"/>
      <w:proofErr w:type="spellStart"/>
      <w:r w:rsidRPr="00350908">
        <w:rPr>
          <w:rFonts w:ascii="Times New Roman" w:eastAsia="MS Mincho" w:hAnsi="Times New Roman" w:cs="Times New Roman"/>
          <w:color w:val="000000" w:themeColor="text1"/>
          <w:sz w:val="19"/>
          <w:szCs w:val="19"/>
        </w:rPr>
        <w:t>n.s</w:t>
      </w:r>
      <w:proofErr w:type="spellEnd"/>
      <w:r w:rsidRPr="00350908">
        <w:rPr>
          <w:rFonts w:ascii="Times New Roman" w:eastAsia="MS Mincho" w:hAnsi="Times New Roman" w:cs="Times New Roman"/>
          <w:color w:val="000000" w:themeColor="text1"/>
          <w:sz w:val="19"/>
          <w:szCs w:val="19"/>
        </w:rPr>
        <w:t>.=not significant; n/a= not applicable</w:t>
      </w:r>
    </w:p>
    <w:sectPr w:rsidR="00A943F7" w:rsidRPr="00A943F7" w:rsidSect="00A943F7">
      <w:pgSz w:w="15840" w:h="12240" w:orient="landscape"/>
      <w:pgMar w:top="1008" w:right="864" w:bottom="1008"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3F7"/>
    <w:rsid w:val="00217923"/>
    <w:rsid w:val="002C6FBC"/>
    <w:rsid w:val="008B6111"/>
    <w:rsid w:val="009E2D04"/>
    <w:rsid w:val="00A943F7"/>
    <w:rsid w:val="00E47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D4143"/>
  <w15:chartTrackingRefBased/>
  <w15:docId w15:val="{0D45C991-A611-4FCD-9C20-234CD6F9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3F7"/>
    <w:pPr>
      <w:spacing w:line="256" w:lineRule="auto"/>
    </w:pPr>
    <w:rPr>
      <w:kern w:val="0"/>
      <w:sz w:val="22"/>
      <w:szCs w:val="22"/>
      <w14:ligatures w14:val="none"/>
    </w:rPr>
  </w:style>
  <w:style w:type="paragraph" w:styleId="Heading1">
    <w:name w:val="heading 1"/>
    <w:basedOn w:val="Normal"/>
    <w:next w:val="Normal"/>
    <w:link w:val="Heading1Char"/>
    <w:uiPriority w:val="9"/>
    <w:qFormat/>
    <w:rsid w:val="00A943F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943F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943F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943F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943F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943F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943F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943F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943F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3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43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43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43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43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43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3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3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3F7"/>
    <w:rPr>
      <w:rFonts w:eastAsiaTheme="majorEastAsia" w:cstheme="majorBidi"/>
      <w:color w:val="272727" w:themeColor="text1" w:themeTint="D8"/>
    </w:rPr>
  </w:style>
  <w:style w:type="paragraph" w:styleId="Title">
    <w:name w:val="Title"/>
    <w:basedOn w:val="Normal"/>
    <w:next w:val="Normal"/>
    <w:link w:val="TitleChar"/>
    <w:uiPriority w:val="10"/>
    <w:qFormat/>
    <w:rsid w:val="00A943F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943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3F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943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3F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943F7"/>
    <w:rPr>
      <w:i/>
      <w:iCs/>
      <w:color w:val="404040" w:themeColor="text1" w:themeTint="BF"/>
    </w:rPr>
  </w:style>
  <w:style w:type="paragraph" w:styleId="ListParagraph">
    <w:name w:val="List Paragraph"/>
    <w:basedOn w:val="Normal"/>
    <w:uiPriority w:val="34"/>
    <w:qFormat/>
    <w:rsid w:val="00A943F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943F7"/>
    <w:rPr>
      <w:i/>
      <w:iCs/>
      <w:color w:val="0F4761" w:themeColor="accent1" w:themeShade="BF"/>
    </w:rPr>
  </w:style>
  <w:style w:type="paragraph" w:styleId="IntenseQuote">
    <w:name w:val="Intense Quote"/>
    <w:basedOn w:val="Normal"/>
    <w:next w:val="Normal"/>
    <w:link w:val="IntenseQuoteChar"/>
    <w:uiPriority w:val="30"/>
    <w:qFormat/>
    <w:rsid w:val="00A943F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943F7"/>
    <w:rPr>
      <w:i/>
      <w:iCs/>
      <w:color w:val="0F4761" w:themeColor="accent1" w:themeShade="BF"/>
    </w:rPr>
  </w:style>
  <w:style w:type="character" w:styleId="IntenseReference">
    <w:name w:val="Intense Reference"/>
    <w:basedOn w:val="DefaultParagraphFont"/>
    <w:uiPriority w:val="32"/>
    <w:qFormat/>
    <w:rsid w:val="00A943F7"/>
    <w:rPr>
      <w:b/>
      <w:bCs/>
      <w:smallCaps/>
      <w:color w:val="0F4761" w:themeColor="accent1" w:themeShade="BF"/>
      <w:spacing w:val="5"/>
    </w:rPr>
  </w:style>
  <w:style w:type="table" w:styleId="TableGrid">
    <w:name w:val="Table Grid"/>
    <w:basedOn w:val="TableNormal"/>
    <w:uiPriority w:val="39"/>
    <w:rsid w:val="00A943F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1971</Words>
  <Characters>10650</Characters>
  <Application>Microsoft Office Word</Application>
  <DocSecurity>0</DocSecurity>
  <Lines>529</Lines>
  <Paragraphs>303</Paragraphs>
  <ScaleCrop>false</ScaleCrop>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Haisu</dc:creator>
  <cp:keywords/>
  <dc:description/>
  <cp:lastModifiedBy>Zhang, Haisu</cp:lastModifiedBy>
  <cp:revision>4</cp:revision>
  <dcterms:created xsi:type="dcterms:W3CDTF">2025-10-22T08:06:00Z</dcterms:created>
  <dcterms:modified xsi:type="dcterms:W3CDTF">2025-10-22T08:12:00Z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cabf8645-7407-499a-a61c-6810eef71778</vt:lpwstr>
  </property>
</Properties>
</file>