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AFF90" w14:textId="77777777" w:rsidR="00C77FE3" w:rsidRPr="00BA0363" w:rsidRDefault="00C77FE3" w:rsidP="00C77FE3">
      <w:pPr>
        <w:spacing w:line="480" w:lineRule="auto"/>
        <w:jc w:val="center"/>
        <w:rPr>
          <w:b/>
          <w:bCs/>
          <w:sz w:val="23"/>
          <w:szCs w:val="23"/>
        </w:rPr>
      </w:pPr>
      <w:r w:rsidRPr="00BA0363">
        <w:rPr>
          <w:b/>
          <w:bCs/>
          <w:sz w:val="23"/>
          <w:szCs w:val="23"/>
        </w:rPr>
        <w:t>Web Appendix A: Consumer Survey</w:t>
      </w:r>
    </w:p>
    <w:p w14:paraId="750AEA43" w14:textId="77777777" w:rsidR="00C77FE3" w:rsidRPr="00BA0363" w:rsidRDefault="00C77FE3" w:rsidP="00C77FE3">
      <w:pPr>
        <w:pStyle w:val="p1"/>
        <w:spacing w:before="0" w:beforeAutospacing="0" w:after="0" w:afterAutospacing="0" w:line="480" w:lineRule="auto"/>
        <w:rPr>
          <w:sz w:val="23"/>
          <w:szCs w:val="23"/>
        </w:rPr>
      </w:pPr>
      <w:r w:rsidRPr="00BA0363">
        <w:rPr>
          <w:sz w:val="23"/>
          <w:szCs w:val="23"/>
        </w:rPr>
        <w:t>We conducted an online survey (</w:t>
      </w:r>
      <w:r>
        <w:rPr>
          <w:sz w:val="23"/>
          <w:szCs w:val="23"/>
        </w:rPr>
        <w:t>Prolific</w:t>
      </w:r>
      <w:r w:rsidRPr="00BA0363">
        <w:rPr>
          <w:sz w:val="23"/>
          <w:szCs w:val="23"/>
        </w:rPr>
        <w:t>) with 1,</w:t>
      </w:r>
      <w:r>
        <w:rPr>
          <w:sz w:val="23"/>
          <w:szCs w:val="23"/>
        </w:rPr>
        <w:t>003</w:t>
      </w:r>
      <w:r w:rsidRPr="00BA0363">
        <w:rPr>
          <w:sz w:val="23"/>
          <w:szCs w:val="23"/>
        </w:rPr>
        <w:t xml:space="preserve"> </w:t>
      </w:r>
      <w:r>
        <w:rPr>
          <w:sz w:val="23"/>
          <w:szCs w:val="23"/>
        </w:rPr>
        <w:t>respondents</w:t>
      </w:r>
      <w:r w:rsidRPr="00BA0363">
        <w:rPr>
          <w:sz w:val="23"/>
          <w:szCs w:val="23"/>
        </w:rPr>
        <w:t xml:space="preserve">, focusing on four product categories: laptops, automobiles, banks, and mobile service providers. Each participant was randomly assigned to one category </w:t>
      </w:r>
      <w:r>
        <w:rPr>
          <w:sz w:val="23"/>
          <w:szCs w:val="23"/>
        </w:rPr>
        <w:t>comprising</w:t>
      </w:r>
      <w:r w:rsidRPr="00BA0363">
        <w:rPr>
          <w:sz w:val="23"/>
          <w:szCs w:val="23"/>
        </w:rPr>
        <w:t xml:space="preserve"> a subset of brands. Respondents </w:t>
      </w:r>
      <w:r>
        <w:rPr>
          <w:sz w:val="23"/>
          <w:szCs w:val="23"/>
        </w:rPr>
        <w:t xml:space="preserve">first </w:t>
      </w:r>
      <w:r w:rsidRPr="00BA0363">
        <w:rPr>
          <w:sz w:val="23"/>
          <w:szCs w:val="23"/>
        </w:rPr>
        <w:t xml:space="preserve">selected a brand they currently use or are closely familiar with </w:t>
      </w:r>
      <w:r>
        <w:rPr>
          <w:sz w:val="23"/>
          <w:szCs w:val="23"/>
        </w:rPr>
        <w:t>and then</w:t>
      </w:r>
      <w:r w:rsidRPr="00BA0363">
        <w:rPr>
          <w:sz w:val="23"/>
          <w:szCs w:val="23"/>
        </w:rPr>
        <w:t xml:space="preserve"> answered a series of </w:t>
      </w:r>
      <w:r>
        <w:rPr>
          <w:sz w:val="23"/>
          <w:szCs w:val="23"/>
        </w:rPr>
        <w:t>CSAT</w:t>
      </w:r>
      <w:r w:rsidRPr="00BA0363">
        <w:rPr>
          <w:sz w:val="23"/>
          <w:szCs w:val="23"/>
        </w:rPr>
        <w:t xml:space="preserve"> questions. The survey incorporated </w:t>
      </w:r>
      <w:r>
        <w:rPr>
          <w:sz w:val="23"/>
          <w:szCs w:val="23"/>
        </w:rPr>
        <w:t>eight</w:t>
      </w:r>
      <w:r w:rsidRPr="00BA0363">
        <w:rPr>
          <w:sz w:val="23"/>
          <w:szCs w:val="23"/>
        </w:rPr>
        <w:t xml:space="preserve"> scales: Anderson and Sullivan (1993), ACSI, Oliver (1980, 2006</w:t>
      </w:r>
      <w:r>
        <w:rPr>
          <w:sz w:val="23"/>
          <w:szCs w:val="23"/>
        </w:rPr>
        <w:t>a, b</w:t>
      </w:r>
      <w:r w:rsidRPr="00BA0363">
        <w:rPr>
          <w:sz w:val="23"/>
          <w:szCs w:val="23"/>
        </w:rPr>
        <w:t>), Mittal and Kamakura (200</w:t>
      </w:r>
      <w:r>
        <w:rPr>
          <w:sz w:val="23"/>
          <w:szCs w:val="23"/>
        </w:rPr>
        <w:t>1</w:t>
      </w:r>
      <w:r w:rsidRPr="00BA0363">
        <w:rPr>
          <w:sz w:val="23"/>
          <w:szCs w:val="23"/>
        </w:rPr>
        <w:t xml:space="preserve">), </w:t>
      </w:r>
      <w:proofErr w:type="spellStart"/>
      <w:r w:rsidRPr="00BA0363">
        <w:rPr>
          <w:sz w:val="23"/>
          <w:szCs w:val="23"/>
        </w:rPr>
        <w:t>Keiningham</w:t>
      </w:r>
      <w:proofErr w:type="spellEnd"/>
      <w:r w:rsidRPr="00BA0363">
        <w:rPr>
          <w:sz w:val="23"/>
          <w:szCs w:val="23"/>
        </w:rPr>
        <w:t xml:space="preserve"> et al. (2007)</w:t>
      </w:r>
      <w:r>
        <w:rPr>
          <w:sz w:val="23"/>
          <w:szCs w:val="23"/>
        </w:rPr>
        <w:t>, and YouGov</w:t>
      </w:r>
      <w:r w:rsidRPr="00BA0363">
        <w:rPr>
          <w:sz w:val="23"/>
          <w:szCs w:val="23"/>
        </w:rPr>
        <w:t xml:space="preserve"> (see Table 2</w:t>
      </w:r>
      <w:r>
        <w:rPr>
          <w:sz w:val="23"/>
          <w:szCs w:val="23"/>
        </w:rPr>
        <w:t>a</w:t>
      </w:r>
      <w:r w:rsidRPr="00BA0363">
        <w:rPr>
          <w:sz w:val="23"/>
          <w:szCs w:val="23"/>
        </w:rPr>
        <w:t xml:space="preserve">). After completing the </w:t>
      </w:r>
      <w:r>
        <w:rPr>
          <w:sz w:val="23"/>
          <w:szCs w:val="23"/>
        </w:rPr>
        <w:t>CSAT</w:t>
      </w:r>
      <w:r w:rsidRPr="00BA0363">
        <w:rPr>
          <w:sz w:val="23"/>
          <w:szCs w:val="23"/>
        </w:rPr>
        <w:t xml:space="preserve"> scales, </w:t>
      </w:r>
      <w:r>
        <w:rPr>
          <w:sz w:val="23"/>
          <w:szCs w:val="23"/>
        </w:rPr>
        <w:t>respondents</w:t>
      </w:r>
      <w:r w:rsidRPr="00BA0363">
        <w:rPr>
          <w:sz w:val="23"/>
          <w:szCs w:val="23"/>
        </w:rPr>
        <w:t xml:space="preserve"> provided demographic information</w:t>
      </w:r>
      <w:r>
        <w:rPr>
          <w:sz w:val="23"/>
          <w:szCs w:val="23"/>
        </w:rPr>
        <w:t>,</w:t>
      </w:r>
      <w:r w:rsidRPr="00BA0363">
        <w:rPr>
          <w:sz w:val="23"/>
          <w:szCs w:val="23"/>
        </w:rPr>
        <w:t xml:space="preserve"> </w:t>
      </w:r>
      <w:r>
        <w:rPr>
          <w:sz w:val="23"/>
          <w:szCs w:val="23"/>
        </w:rPr>
        <w:t>including</w:t>
      </w:r>
      <w:r w:rsidRPr="00BA0363">
        <w:rPr>
          <w:sz w:val="23"/>
          <w:szCs w:val="23"/>
        </w:rPr>
        <w:t xml:space="preserve"> age, gender, ethnicity, social class</w:t>
      </w:r>
      <w:r>
        <w:rPr>
          <w:sz w:val="23"/>
          <w:szCs w:val="23"/>
        </w:rPr>
        <w:t>,</w:t>
      </w:r>
      <w:r w:rsidRPr="00BA0363">
        <w:rPr>
          <w:sz w:val="23"/>
          <w:szCs w:val="23"/>
        </w:rPr>
        <w:t xml:space="preserve"> and political ideology. </w:t>
      </w:r>
    </w:p>
    <w:p w14:paraId="3EC9F9F6" w14:textId="77777777" w:rsidR="00C77FE3" w:rsidRPr="00BA0363" w:rsidRDefault="00C77FE3" w:rsidP="00C77FE3">
      <w:pPr>
        <w:pStyle w:val="p1"/>
        <w:spacing w:before="0" w:beforeAutospacing="0" w:after="0" w:afterAutospacing="0" w:line="480" w:lineRule="auto"/>
        <w:ind w:firstLine="720"/>
        <w:rPr>
          <w:sz w:val="23"/>
          <w:szCs w:val="23"/>
        </w:rPr>
      </w:pPr>
      <w:r w:rsidRPr="00BA0363">
        <w:rPr>
          <w:sz w:val="23"/>
          <w:szCs w:val="23"/>
        </w:rPr>
        <w:t>We assessed reliability using Cronbach’s alpha (0.</w:t>
      </w:r>
      <w:r>
        <w:rPr>
          <w:sz w:val="23"/>
          <w:szCs w:val="23"/>
        </w:rPr>
        <w:t>6</w:t>
      </w:r>
      <w:r w:rsidRPr="00BA0363">
        <w:rPr>
          <w:sz w:val="23"/>
          <w:szCs w:val="23"/>
        </w:rPr>
        <w:t>7</w:t>
      </w:r>
      <w:r>
        <w:rPr>
          <w:sz w:val="23"/>
          <w:szCs w:val="23"/>
        </w:rPr>
        <w:t>–</w:t>
      </w:r>
      <w:r w:rsidRPr="00BA0363">
        <w:rPr>
          <w:sz w:val="23"/>
          <w:szCs w:val="23"/>
        </w:rPr>
        <w:t>0.9</w:t>
      </w:r>
      <w:r>
        <w:rPr>
          <w:sz w:val="23"/>
          <w:szCs w:val="23"/>
        </w:rPr>
        <w:t>2</w:t>
      </w:r>
      <w:r w:rsidRPr="00BA0363">
        <w:rPr>
          <w:sz w:val="23"/>
          <w:szCs w:val="23"/>
        </w:rPr>
        <w:t>) across five scales, excluding t</w:t>
      </w:r>
      <w:r>
        <w:rPr>
          <w:sz w:val="23"/>
          <w:szCs w:val="23"/>
        </w:rPr>
        <w:t>hree</w:t>
      </w:r>
      <w:r w:rsidRPr="00BA0363">
        <w:rPr>
          <w:sz w:val="23"/>
          <w:szCs w:val="23"/>
        </w:rPr>
        <w:t xml:space="preserve"> single-item scales. We then averaged the items within each scale to construct composite measures and examined correlations among the scales. A principal component analysis of the </w:t>
      </w:r>
      <w:r>
        <w:rPr>
          <w:sz w:val="23"/>
          <w:szCs w:val="23"/>
        </w:rPr>
        <w:t>eight</w:t>
      </w:r>
      <w:r w:rsidRPr="00BA0363">
        <w:rPr>
          <w:sz w:val="23"/>
          <w:szCs w:val="23"/>
        </w:rPr>
        <w:t xml:space="preserve"> scales indicated that all loaded strongly on a single factor, accounting for </w:t>
      </w:r>
      <w:r>
        <w:rPr>
          <w:sz w:val="23"/>
          <w:szCs w:val="23"/>
        </w:rPr>
        <w:t>78</w:t>
      </w:r>
      <w:r w:rsidRPr="00BA0363">
        <w:rPr>
          <w:sz w:val="23"/>
          <w:szCs w:val="23"/>
        </w:rPr>
        <w:t xml:space="preserve">% of the variance. These results </w:t>
      </w:r>
      <w:r>
        <w:rPr>
          <w:sz w:val="23"/>
          <w:szCs w:val="23"/>
        </w:rPr>
        <w:t>indicate</w:t>
      </w:r>
      <w:r w:rsidRPr="00BA0363">
        <w:rPr>
          <w:sz w:val="23"/>
          <w:szCs w:val="23"/>
        </w:rPr>
        <w:t xml:space="preserve"> that the scales largely capture a common underlying construct of </w:t>
      </w:r>
      <w:r>
        <w:rPr>
          <w:sz w:val="23"/>
          <w:szCs w:val="23"/>
        </w:rPr>
        <w:t>CSAT</w:t>
      </w:r>
      <w:r w:rsidRPr="00BA0363">
        <w:rPr>
          <w:sz w:val="23"/>
          <w:szCs w:val="23"/>
        </w:rPr>
        <w:t>.</w:t>
      </w:r>
      <w:r>
        <w:rPr>
          <w:sz w:val="23"/>
          <w:szCs w:val="23"/>
        </w:rPr>
        <w:t xml:space="preserve"> </w:t>
      </w:r>
      <w:r w:rsidRPr="00BA0363">
        <w:rPr>
          <w:sz w:val="23"/>
          <w:szCs w:val="23"/>
        </w:rPr>
        <w:t>Table W</w:t>
      </w:r>
      <w:r>
        <w:rPr>
          <w:sz w:val="23"/>
          <w:szCs w:val="23"/>
        </w:rPr>
        <w:t>A</w:t>
      </w:r>
      <w:r w:rsidRPr="00BA0363">
        <w:rPr>
          <w:sz w:val="23"/>
          <w:szCs w:val="23"/>
        </w:rPr>
        <w:t>1 shows the results of the principal component analysis.</w:t>
      </w:r>
    </w:p>
    <w:p w14:paraId="65872250" w14:textId="77777777" w:rsidR="00C77FE3" w:rsidRPr="00B47BD7" w:rsidRDefault="00C77FE3" w:rsidP="00C77FE3">
      <w:pPr>
        <w:rPr>
          <w:sz w:val="23"/>
          <w:szCs w:val="23"/>
        </w:rPr>
      </w:pPr>
      <w:r w:rsidRPr="00171788">
        <w:rPr>
          <w:b/>
          <w:bCs/>
          <w:sz w:val="23"/>
          <w:szCs w:val="23"/>
        </w:rPr>
        <w:t>Table WA1</w:t>
      </w:r>
      <w:r w:rsidRPr="00BA0363">
        <w:rPr>
          <w:sz w:val="23"/>
          <w:szCs w:val="23"/>
        </w:rPr>
        <w:t xml:space="preserve"> </w:t>
      </w:r>
      <w:r w:rsidRPr="00171788">
        <w:rPr>
          <w:sz w:val="23"/>
          <w:szCs w:val="23"/>
        </w:rPr>
        <w:t>Principal component analysis: Component loadings and v</w:t>
      </w:r>
      <w:r w:rsidRPr="00B47BD7">
        <w:rPr>
          <w:sz w:val="23"/>
          <w:szCs w:val="23"/>
        </w:rPr>
        <w:t>ariance explained by the components</w:t>
      </w:r>
    </w:p>
    <w:tbl>
      <w:tblPr>
        <w:tblStyle w:val="Table"/>
        <w:tblW w:w="5000" w:type="pct"/>
        <w:tblLayout w:type="fixed"/>
        <w:tblLook w:val="0060" w:firstRow="1" w:lastRow="1" w:firstColumn="0" w:lastColumn="0" w:noHBand="0" w:noVBand="0"/>
        <w:tblCaption w:val="Principal Component Analysis - Component Loadings"/>
      </w:tblPr>
      <w:tblGrid>
        <w:gridCol w:w="2860"/>
        <w:gridCol w:w="759"/>
        <w:gridCol w:w="821"/>
        <w:gridCol w:w="820"/>
        <w:gridCol w:w="820"/>
        <w:gridCol w:w="820"/>
        <w:gridCol w:w="820"/>
        <w:gridCol w:w="820"/>
        <w:gridCol w:w="820"/>
      </w:tblGrid>
      <w:tr w:rsidR="00C77FE3" w:rsidRPr="00C77FE3" w14:paraId="67001D01" w14:textId="77777777" w:rsidTr="00CC2398">
        <w:trPr>
          <w:cnfStyle w:val="100000000000" w:firstRow="1" w:lastRow="0" w:firstColumn="0" w:lastColumn="0" w:oddVBand="0" w:evenVBand="0" w:oddHBand="0" w:evenHBand="0" w:firstRowFirstColumn="0" w:firstRowLastColumn="0" w:lastRowFirstColumn="0" w:lastRowLastColumn="0"/>
          <w:tblHeader/>
        </w:trPr>
        <w:tc>
          <w:tcPr>
            <w:tcW w:w="2860" w:type="dxa"/>
            <w:tcBorders>
              <w:top w:val="single" w:sz="4" w:space="0" w:color="auto"/>
              <w:bottom w:val="single" w:sz="4" w:space="0" w:color="auto"/>
            </w:tcBorders>
          </w:tcPr>
          <w:p w14:paraId="0C3C5000" w14:textId="77777777" w:rsidR="00C77FE3" w:rsidRPr="00C77FE3" w:rsidRDefault="00C77FE3" w:rsidP="00CC2398">
            <w:pPr>
              <w:pStyle w:val="Compact"/>
              <w:rPr>
                <w:rFonts w:ascii="Times New Roman" w:hAnsi="Times New Roman" w:cs="Times New Roman"/>
                <w:sz w:val="23"/>
                <w:szCs w:val="23"/>
              </w:rPr>
            </w:pPr>
          </w:p>
        </w:tc>
        <w:tc>
          <w:tcPr>
            <w:tcW w:w="759" w:type="dxa"/>
            <w:tcBorders>
              <w:top w:val="single" w:sz="4" w:space="0" w:color="auto"/>
              <w:bottom w:val="single" w:sz="4" w:space="0" w:color="auto"/>
            </w:tcBorders>
          </w:tcPr>
          <w:p w14:paraId="00D5C9EC" w14:textId="77777777" w:rsidR="00C77FE3" w:rsidRPr="00C77FE3" w:rsidRDefault="00C77FE3" w:rsidP="00CC2398">
            <w:pPr>
              <w:pStyle w:val="Compact"/>
              <w:jc w:val="center"/>
              <w:rPr>
                <w:rFonts w:ascii="Times New Roman" w:hAnsi="Times New Roman" w:cs="Times New Roman"/>
                <w:b/>
                <w:bCs/>
                <w:sz w:val="23"/>
                <w:szCs w:val="23"/>
              </w:rPr>
            </w:pPr>
            <w:r w:rsidRPr="00C77FE3">
              <w:rPr>
                <w:rFonts w:ascii="Times New Roman" w:hAnsi="Times New Roman" w:cs="Times New Roman"/>
                <w:b/>
                <w:bCs/>
                <w:sz w:val="23"/>
                <w:szCs w:val="23"/>
              </w:rPr>
              <w:t>PC1</w:t>
            </w:r>
          </w:p>
        </w:tc>
        <w:tc>
          <w:tcPr>
            <w:tcW w:w="821" w:type="dxa"/>
            <w:tcBorders>
              <w:top w:val="single" w:sz="4" w:space="0" w:color="auto"/>
              <w:bottom w:val="single" w:sz="4" w:space="0" w:color="auto"/>
            </w:tcBorders>
          </w:tcPr>
          <w:p w14:paraId="24B025DF"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PC2</w:t>
            </w:r>
          </w:p>
        </w:tc>
        <w:tc>
          <w:tcPr>
            <w:tcW w:w="820" w:type="dxa"/>
            <w:tcBorders>
              <w:top w:val="single" w:sz="4" w:space="0" w:color="auto"/>
              <w:bottom w:val="single" w:sz="4" w:space="0" w:color="auto"/>
            </w:tcBorders>
          </w:tcPr>
          <w:p w14:paraId="14A9AC44"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PC3</w:t>
            </w:r>
          </w:p>
        </w:tc>
        <w:tc>
          <w:tcPr>
            <w:tcW w:w="820" w:type="dxa"/>
            <w:tcBorders>
              <w:top w:val="single" w:sz="4" w:space="0" w:color="auto"/>
              <w:bottom w:val="single" w:sz="4" w:space="0" w:color="auto"/>
            </w:tcBorders>
          </w:tcPr>
          <w:p w14:paraId="4C4259EC"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PC4</w:t>
            </w:r>
          </w:p>
        </w:tc>
        <w:tc>
          <w:tcPr>
            <w:tcW w:w="820" w:type="dxa"/>
            <w:tcBorders>
              <w:top w:val="single" w:sz="4" w:space="0" w:color="auto"/>
              <w:bottom w:val="single" w:sz="4" w:space="0" w:color="auto"/>
            </w:tcBorders>
          </w:tcPr>
          <w:p w14:paraId="2880912F"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PC5</w:t>
            </w:r>
          </w:p>
        </w:tc>
        <w:tc>
          <w:tcPr>
            <w:tcW w:w="820" w:type="dxa"/>
            <w:tcBorders>
              <w:top w:val="single" w:sz="4" w:space="0" w:color="auto"/>
              <w:bottom w:val="single" w:sz="4" w:space="0" w:color="auto"/>
            </w:tcBorders>
          </w:tcPr>
          <w:p w14:paraId="674E7D28"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PC6</w:t>
            </w:r>
          </w:p>
        </w:tc>
        <w:tc>
          <w:tcPr>
            <w:tcW w:w="820" w:type="dxa"/>
            <w:tcBorders>
              <w:top w:val="single" w:sz="4" w:space="0" w:color="auto"/>
              <w:bottom w:val="single" w:sz="4" w:space="0" w:color="auto"/>
            </w:tcBorders>
          </w:tcPr>
          <w:p w14:paraId="49245381"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PC7</w:t>
            </w:r>
          </w:p>
        </w:tc>
        <w:tc>
          <w:tcPr>
            <w:tcW w:w="820" w:type="dxa"/>
            <w:tcBorders>
              <w:top w:val="single" w:sz="4" w:space="0" w:color="auto"/>
              <w:bottom w:val="single" w:sz="4" w:space="0" w:color="auto"/>
            </w:tcBorders>
          </w:tcPr>
          <w:p w14:paraId="11A44BE4"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PC8</w:t>
            </w:r>
          </w:p>
        </w:tc>
      </w:tr>
      <w:tr w:rsidR="00C77FE3" w:rsidRPr="00C77FE3" w14:paraId="4302F5CE" w14:textId="77777777" w:rsidTr="00CC2398">
        <w:trPr>
          <w:trHeight w:val="377"/>
        </w:trPr>
        <w:tc>
          <w:tcPr>
            <w:tcW w:w="2860" w:type="dxa"/>
            <w:tcBorders>
              <w:top w:val="single" w:sz="4" w:space="0" w:color="auto"/>
            </w:tcBorders>
          </w:tcPr>
          <w:p w14:paraId="0A658B87" w14:textId="77777777" w:rsidR="00C77FE3" w:rsidRPr="00C77FE3" w:rsidRDefault="00C77FE3" w:rsidP="00CC2398">
            <w:pPr>
              <w:pStyle w:val="Compact"/>
              <w:rPr>
                <w:rFonts w:ascii="Times New Roman" w:hAnsi="Times New Roman" w:cs="Times New Roman"/>
                <w:sz w:val="23"/>
                <w:szCs w:val="23"/>
              </w:rPr>
            </w:pPr>
            <w:r w:rsidRPr="00C77FE3">
              <w:rPr>
                <w:rFonts w:ascii="Times New Roman" w:hAnsi="Times New Roman" w:cs="Times New Roman"/>
                <w:sz w:val="23"/>
                <w:szCs w:val="23"/>
              </w:rPr>
              <w:t>Anderson Sullivan (1993)</w:t>
            </w:r>
          </w:p>
        </w:tc>
        <w:tc>
          <w:tcPr>
            <w:tcW w:w="759" w:type="dxa"/>
            <w:tcBorders>
              <w:top w:val="single" w:sz="4" w:space="0" w:color="auto"/>
            </w:tcBorders>
          </w:tcPr>
          <w:p w14:paraId="74A67D8D" w14:textId="77777777" w:rsidR="00C77FE3" w:rsidRPr="00C77FE3" w:rsidRDefault="00C77FE3" w:rsidP="00CC2398">
            <w:pPr>
              <w:pStyle w:val="Compact"/>
              <w:jc w:val="center"/>
              <w:rPr>
                <w:rFonts w:ascii="Times New Roman" w:hAnsi="Times New Roman" w:cs="Times New Roman"/>
                <w:b/>
                <w:bCs/>
                <w:sz w:val="22"/>
                <w:szCs w:val="22"/>
              </w:rPr>
            </w:pPr>
            <w:r w:rsidRPr="00C77FE3">
              <w:rPr>
                <w:rFonts w:ascii="Times New Roman" w:hAnsi="Times New Roman" w:cs="Times New Roman"/>
                <w:b/>
                <w:bCs/>
                <w:sz w:val="22"/>
                <w:szCs w:val="22"/>
              </w:rPr>
              <w:t>0.90</w:t>
            </w:r>
          </w:p>
        </w:tc>
        <w:tc>
          <w:tcPr>
            <w:tcW w:w="821" w:type="dxa"/>
            <w:tcBorders>
              <w:top w:val="single" w:sz="4" w:space="0" w:color="auto"/>
            </w:tcBorders>
          </w:tcPr>
          <w:p w14:paraId="322B7D50"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0.25</w:t>
            </w:r>
          </w:p>
        </w:tc>
        <w:tc>
          <w:tcPr>
            <w:tcW w:w="820" w:type="dxa"/>
            <w:tcBorders>
              <w:top w:val="single" w:sz="4" w:space="0" w:color="auto"/>
            </w:tcBorders>
          </w:tcPr>
          <w:p w14:paraId="49733FE7"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0.04</w:t>
            </w:r>
          </w:p>
        </w:tc>
        <w:tc>
          <w:tcPr>
            <w:tcW w:w="820" w:type="dxa"/>
            <w:tcBorders>
              <w:top w:val="single" w:sz="4" w:space="0" w:color="auto"/>
            </w:tcBorders>
          </w:tcPr>
          <w:p w14:paraId="65675296"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0.01</w:t>
            </w:r>
          </w:p>
        </w:tc>
        <w:tc>
          <w:tcPr>
            <w:tcW w:w="820" w:type="dxa"/>
            <w:tcBorders>
              <w:top w:val="single" w:sz="4" w:space="0" w:color="auto"/>
            </w:tcBorders>
          </w:tcPr>
          <w:p w14:paraId="47D8443F"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-0.16</w:t>
            </w:r>
          </w:p>
        </w:tc>
        <w:tc>
          <w:tcPr>
            <w:tcW w:w="820" w:type="dxa"/>
            <w:tcBorders>
              <w:top w:val="single" w:sz="4" w:space="0" w:color="auto"/>
            </w:tcBorders>
          </w:tcPr>
          <w:p w14:paraId="4EBEF31C"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-0.32</w:t>
            </w:r>
          </w:p>
        </w:tc>
        <w:tc>
          <w:tcPr>
            <w:tcW w:w="820" w:type="dxa"/>
            <w:tcBorders>
              <w:top w:val="single" w:sz="4" w:space="0" w:color="auto"/>
            </w:tcBorders>
          </w:tcPr>
          <w:p w14:paraId="0E816B4A"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-0.04</w:t>
            </w:r>
          </w:p>
        </w:tc>
        <w:tc>
          <w:tcPr>
            <w:tcW w:w="820" w:type="dxa"/>
            <w:tcBorders>
              <w:top w:val="single" w:sz="4" w:space="0" w:color="auto"/>
            </w:tcBorders>
          </w:tcPr>
          <w:p w14:paraId="15FDC1DD"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0.02</w:t>
            </w:r>
          </w:p>
        </w:tc>
      </w:tr>
      <w:tr w:rsidR="00C77FE3" w:rsidRPr="00C77FE3" w14:paraId="32695099" w14:textId="77777777" w:rsidTr="00CC2398">
        <w:tc>
          <w:tcPr>
            <w:tcW w:w="2860" w:type="dxa"/>
          </w:tcPr>
          <w:p w14:paraId="639CB45A" w14:textId="77777777" w:rsidR="00C77FE3" w:rsidRPr="00C77FE3" w:rsidRDefault="00C77FE3" w:rsidP="00CC2398">
            <w:pPr>
              <w:pStyle w:val="Compact"/>
              <w:rPr>
                <w:rFonts w:ascii="Times New Roman" w:hAnsi="Times New Roman" w:cs="Times New Roman"/>
                <w:sz w:val="23"/>
                <w:szCs w:val="23"/>
              </w:rPr>
            </w:pPr>
            <w:r w:rsidRPr="00C77FE3">
              <w:rPr>
                <w:rFonts w:ascii="Times New Roman" w:hAnsi="Times New Roman" w:cs="Times New Roman"/>
                <w:sz w:val="23"/>
                <w:szCs w:val="23"/>
              </w:rPr>
              <w:t>ACSI</w:t>
            </w:r>
          </w:p>
        </w:tc>
        <w:tc>
          <w:tcPr>
            <w:tcW w:w="759" w:type="dxa"/>
          </w:tcPr>
          <w:p w14:paraId="0DBFDCB4" w14:textId="77777777" w:rsidR="00C77FE3" w:rsidRPr="00C77FE3" w:rsidRDefault="00C77FE3" w:rsidP="00CC2398">
            <w:pPr>
              <w:pStyle w:val="Compact"/>
              <w:jc w:val="center"/>
              <w:rPr>
                <w:rFonts w:ascii="Times New Roman" w:hAnsi="Times New Roman" w:cs="Times New Roman"/>
                <w:b/>
                <w:bCs/>
                <w:sz w:val="22"/>
                <w:szCs w:val="22"/>
              </w:rPr>
            </w:pPr>
            <w:r w:rsidRPr="00C77FE3">
              <w:rPr>
                <w:rFonts w:ascii="Times New Roman" w:hAnsi="Times New Roman" w:cs="Times New Roman"/>
                <w:b/>
                <w:bCs/>
                <w:sz w:val="22"/>
                <w:szCs w:val="22"/>
              </w:rPr>
              <w:t>0.80</w:t>
            </w:r>
          </w:p>
        </w:tc>
        <w:tc>
          <w:tcPr>
            <w:tcW w:w="821" w:type="dxa"/>
          </w:tcPr>
          <w:p w14:paraId="1482B079"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0.51</w:t>
            </w:r>
          </w:p>
        </w:tc>
        <w:tc>
          <w:tcPr>
            <w:tcW w:w="820" w:type="dxa"/>
          </w:tcPr>
          <w:p w14:paraId="74B8C594"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0.24</w:t>
            </w:r>
          </w:p>
        </w:tc>
        <w:tc>
          <w:tcPr>
            <w:tcW w:w="820" w:type="dxa"/>
          </w:tcPr>
          <w:p w14:paraId="6F80C4BC"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0.09</w:t>
            </w:r>
          </w:p>
        </w:tc>
        <w:tc>
          <w:tcPr>
            <w:tcW w:w="820" w:type="dxa"/>
          </w:tcPr>
          <w:p w14:paraId="3A0857CF"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0.10</w:t>
            </w:r>
          </w:p>
        </w:tc>
        <w:tc>
          <w:tcPr>
            <w:tcW w:w="820" w:type="dxa"/>
          </w:tcPr>
          <w:p w14:paraId="6D1D6F3F"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0.16</w:t>
            </w:r>
          </w:p>
        </w:tc>
        <w:tc>
          <w:tcPr>
            <w:tcW w:w="820" w:type="dxa"/>
          </w:tcPr>
          <w:p w14:paraId="1D41B5EE"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0.01</w:t>
            </w:r>
          </w:p>
        </w:tc>
        <w:tc>
          <w:tcPr>
            <w:tcW w:w="820" w:type="dxa"/>
          </w:tcPr>
          <w:p w14:paraId="7CED3077"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0.01</w:t>
            </w:r>
          </w:p>
        </w:tc>
      </w:tr>
      <w:tr w:rsidR="00C77FE3" w:rsidRPr="00C77FE3" w14:paraId="5A83F047" w14:textId="77777777" w:rsidTr="00CC2398">
        <w:tc>
          <w:tcPr>
            <w:tcW w:w="2860" w:type="dxa"/>
          </w:tcPr>
          <w:p w14:paraId="0D45D1BB" w14:textId="77777777" w:rsidR="00C77FE3" w:rsidRPr="00C77FE3" w:rsidRDefault="00C77FE3" w:rsidP="00CC2398">
            <w:pPr>
              <w:pStyle w:val="Compact"/>
              <w:rPr>
                <w:rFonts w:ascii="Times New Roman" w:hAnsi="Times New Roman" w:cs="Times New Roman"/>
                <w:sz w:val="23"/>
                <w:szCs w:val="23"/>
              </w:rPr>
            </w:pPr>
            <w:r w:rsidRPr="00C77FE3">
              <w:rPr>
                <w:rFonts w:ascii="Times New Roman" w:hAnsi="Times New Roman" w:cs="Times New Roman"/>
                <w:sz w:val="23"/>
                <w:szCs w:val="23"/>
              </w:rPr>
              <w:t>Oliver (1980)</w:t>
            </w:r>
          </w:p>
        </w:tc>
        <w:tc>
          <w:tcPr>
            <w:tcW w:w="759" w:type="dxa"/>
          </w:tcPr>
          <w:p w14:paraId="4A8BA5BC" w14:textId="77777777" w:rsidR="00C77FE3" w:rsidRPr="00C77FE3" w:rsidRDefault="00C77FE3" w:rsidP="00CC2398">
            <w:pPr>
              <w:pStyle w:val="Compact"/>
              <w:jc w:val="center"/>
              <w:rPr>
                <w:rFonts w:ascii="Times New Roman" w:hAnsi="Times New Roman" w:cs="Times New Roman"/>
                <w:b/>
                <w:bCs/>
                <w:sz w:val="22"/>
                <w:szCs w:val="22"/>
              </w:rPr>
            </w:pPr>
            <w:r w:rsidRPr="00C77FE3">
              <w:rPr>
                <w:rFonts w:ascii="Times New Roman" w:hAnsi="Times New Roman" w:cs="Times New Roman"/>
                <w:b/>
                <w:bCs/>
                <w:sz w:val="22"/>
                <w:szCs w:val="22"/>
              </w:rPr>
              <w:t>0.90</w:t>
            </w:r>
          </w:p>
        </w:tc>
        <w:tc>
          <w:tcPr>
            <w:tcW w:w="821" w:type="dxa"/>
          </w:tcPr>
          <w:p w14:paraId="6A61FCFA"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-0.14</w:t>
            </w:r>
          </w:p>
        </w:tc>
        <w:tc>
          <w:tcPr>
            <w:tcW w:w="820" w:type="dxa"/>
          </w:tcPr>
          <w:p w14:paraId="4C33014D"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-0.22</w:t>
            </w:r>
          </w:p>
        </w:tc>
        <w:tc>
          <w:tcPr>
            <w:tcW w:w="820" w:type="dxa"/>
          </w:tcPr>
          <w:p w14:paraId="5BC5B1D3"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0.29</w:t>
            </w:r>
          </w:p>
        </w:tc>
        <w:tc>
          <w:tcPr>
            <w:tcW w:w="820" w:type="dxa"/>
          </w:tcPr>
          <w:p w14:paraId="4A43D719"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0.03</w:t>
            </w:r>
          </w:p>
        </w:tc>
        <w:tc>
          <w:tcPr>
            <w:tcW w:w="820" w:type="dxa"/>
          </w:tcPr>
          <w:p w14:paraId="279FC60E"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0.03</w:t>
            </w:r>
          </w:p>
        </w:tc>
        <w:tc>
          <w:tcPr>
            <w:tcW w:w="820" w:type="dxa"/>
          </w:tcPr>
          <w:p w14:paraId="377DD71C"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0.00</w:t>
            </w:r>
          </w:p>
        </w:tc>
        <w:tc>
          <w:tcPr>
            <w:tcW w:w="820" w:type="dxa"/>
          </w:tcPr>
          <w:p w14:paraId="71B226B5"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0.19</w:t>
            </w:r>
          </w:p>
        </w:tc>
      </w:tr>
      <w:tr w:rsidR="00C77FE3" w:rsidRPr="00C77FE3" w14:paraId="5E63FAAB" w14:textId="77777777" w:rsidTr="00CC2398">
        <w:tc>
          <w:tcPr>
            <w:tcW w:w="2860" w:type="dxa"/>
          </w:tcPr>
          <w:p w14:paraId="12A5BDAB" w14:textId="77777777" w:rsidR="00C77FE3" w:rsidRPr="00C77FE3" w:rsidRDefault="00C77FE3" w:rsidP="00CC2398">
            <w:pPr>
              <w:pStyle w:val="Compact"/>
              <w:rPr>
                <w:rFonts w:ascii="Times New Roman" w:hAnsi="Times New Roman" w:cs="Times New Roman"/>
                <w:sz w:val="23"/>
                <w:szCs w:val="23"/>
              </w:rPr>
            </w:pPr>
            <w:r w:rsidRPr="00C77FE3">
              <w:rPr>
                <w:rFonts w:ascii="Times New Roman" w:hAnsi="Times New Roman" w:cs="Times New Roman"/>
                <w:sz w:val="23"/>
                <w:szCs w:val="23"/>
              </w:rPr>
              <w:t>Oliver (2006a)</w:t>
            </w:r>
          </w:p>
        </w:tc>
        <w:tc>
          <w:tcPr>
            <w:tcW w:w="759" w:type="dxa"/>
          </w:tcPr>
          <w:p w14:paraId="7B6A15D8" w14:textId="77777777" w:rsidR="00C77FE3" w:rsidRPr="00C77FE3" w:rsidRDefault="00C77FE3" w:rsidP="00CC2398">
            <w:pPr>
              <w:pStyle w:val="Compact"/>
              <w:jc w:val="center"/>
              <w:rPr>
                <w:rFonts w:ascii="Times New Roman" w:hAnsi="Times New Roman" w:cs="Times New Roman"/>
                <w:b/>
                <w:bCs/>
                <w:sz w:val="22"/>
                <w:szCs w:val="22"/>
              </w:rPr>
            </w:pPr>
            <w:r w:rsidRPr="00C77FE3">
              <w:rPr>
                <w:rFonts w:ascii="Times New Roman" w:hAnsi="Times New Roman" w:cs="Times New Roman"/>
                <w:b/>
                <w:bCs/>
                <w:sz w:val="22"/>
                <w:szCs w:val="22"/>
              </w:rPr>
              <w:t>0.93</w:t>
            </w:r>
          </w:p>
        </w:tc>
        <w:tc>
          <w:tcPr>
            <w:tcW w:w="821" w:type="dxa"/>
          </w:tcPr>
          <w:p w14:paraId="2FD4FFAC"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-0.06</w:t>
            </w:r>
          </w:p>
        </w:tc>
        <w:tc>
          <w:tcPr>
            <w:tcW w:w="820" w:type="dxa"/>
          </w:tcPr>
          <w:p w14:paraId="19613B3C"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-0.17</w:t>
            </w:r>
          </w:p>
        </w:tc>
        <w:tc>
          <w:tcPr>
            <w:tcW w:w="820" w:type="dxa"/>
          </w:tcPr>
          <w:p w14:paraId="422A26CB"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0.19</w:t>
            </w:r>
          </w:p>
        </w:tc>
        <w:tc>
          <w:tcPr>
            <w:tcW w:w="820" w:type="dxa"/>
          </w:tcPr>
          <w:p w14:paraId="661F03D9"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0.09</w:t>
            </w:r>
          </w:p>
        </w:tc>
        <w:tc>
          <w:tcPr>
            <w:tcW w:w="820" w:type="dxa"/>
          </w:tcPr>
          <w:p w14:paraId="4EE38E52"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-0.01</w:t>
            </w:r>
          </w:p>
        </w:tc>
        <w:tc>
          <w:tcPr>
            <w:tcW w:w="820" w:type="dxa"/>
          </w:tcPr>
          <w:p w14:paraId="0AD7CE9D"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-0.04</w:t>
            </w:r>
          </w:p>
        </w:tc>
        <w:tc>
          <w:tcPr>
            <w:tcW w:w="820" w:type="dxa"/>
          </w:tcPr>
          <w:p w14:paraId="141E02F4"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-0.24</w:t>
            </w:r>
          </w:p>
        </w:tc>
      </w:tr>
      <w:tr w:rsidR="00C77FE3" w:rsidRPr="00C77FE3" w14:paraId="169D9368" w14:textId="77777777" w:rsidTr="00CC2398">
        <w:tc>
          <w:tcPr>
            <w:tcW w:w="2860" w:type="dxa"/>
          </w:tcPr>
          <w:p w14:paraId="3C945C85" w14:textId="77777777" w:rsidR="00C77FE3" w:rsidRPr="00C77FE3" w:rsidRDefault="00C77FE3" w:rsidP="00CC2398">
            <w:pPr>
              <w:pStyle w:val="Compact"/>
              <w:rPr>
                <w:rFonts w:ascii="Times New Roman" w:hAnsi="Times New Roman" w:cs="Times New Roman"/>
                <w:sz w:val="23"/>
                <w:szCs w:val="23"/>
              </w:rPr>
            </w:pPr>
            <w:r w:rsidRPr="00C77FE3">
              <w:rPr>
                <w:rFonts w:ascii="Times New Roman" w:hAnsi="Times New Roman" w:cs="Times New Roman"/>
                <w:sz w:val="23"/>
                <w:szCs w:val="23"/>
              </w:rPr>
              <w:t>Mittal and Kamakura (2001)</w:t>
            </w:r>
          </w:p>
        </w:tc>
        <w:tc>
          <w:tcPr>
            <w:tcW w:w="759" w:type="dxa"/>
          </w:tcPr>
          <w:p w14:paraId="22AE3176" w14:textId="77777777" w:rsidR="00C77FE3" w:rsidRPr="00C77FE3" w:rsidRDefault="00C77FE3" w:rsidP="00CC2398">
            <w:pPr>
              <w:pStyle w:val="Compact"/>
              <w:jc w:val="center"/>
              <w:rPr>
                <w:rFonts w:ascii="Times New Roman" w:hAnsi="Times New Roman" w:cs="Times New Roman"/>
                <w:b/>
                <w:bCs/>
                <w:sz w:val="22"/>
                <w:szCs w:val="22"/>
              </w:rPr>
            </w:pPr>
            <w:r w:rsidRPr="00C77FE3">
              <w:rPr>
                <w:rFonts w:ascii="Times New Roman" w:hAnsi="Times New Roman" w:cs="Times New Roman"/>
                <w:b/>
                <w:bCs/>
                <w:sz w:val="22"/>
                <w:szCs w:val="22"/>
              </w:rPr>
              <w:t>0.92</w:t>
            </w:r>
          </w:p>
        </w:tc>
        <w:tc>
          <w:tcPr>
            <w:tcW w:w="821" w:type="dxa"/>
          </w:tcPr>
          <w:p w14:paraId="0FAC38DD"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-0.11</w:t>
            </w:r>
          </w:p>
        </w:tc>
        <w:tc>
          <w:tcPr>
            <w:tcW w:w="820" w:type="dxa"/>
          </w:tcPr>
          <w:p w14:paraId="5D0E2437"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0.01</w:t>
            </w:r>
          </w:p>
        </w:tc>
        <w:tc>
          <w:tcPr>
            <w:tcW w:w="820" w:type="dxa"/>
          </w:tcPr>
          <w:p w14:paraId="02903916"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-0.06</w:t>
            </w:r>
          </w:p>
        </w:tc>
        <w:tc>
          <w:tcPr>
            <w:tcW w:w="820" w:type="dxa"/>
          </w:tcPr>
          <w:p w14:paraId="71EAB211"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-0.24</w:t>
            </w:r>
          </w:p>
        </w:tc>
        <w:tc>
          <w:tcPr>
            <w:tcW w:w="820" w:type="dxa"/>
          </w:tcPr>
          <w:p w14:paraId="53BE3568"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0.12</w:t>
            </w:r>
          </w:p>
        </w:tc>
        <w:tc>
          <w:tcPr>
            <w:tcW w:w="820" w:type="dxa"/>
          </w:tcPr>
          <w:p w14:paraId="4313B185"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0.24</w:t>
            </w:r>
          </w:p>
        </w:tc>
        <w:tc>
          <w:tcPr>
            <w:tcW w:w="820" w:type="dxa"/>
          </w:tcPr>
          <w:p w14:paraId="658E13E1"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-0.03</w:t>
            </w:r>
          </w:p>
        </w:tc>
      </w:tr>
      <w:tr w:rsidR="00C77FE3" w:rsidRPr="00C77FE3" w14:paraId="525CB3BD" w14:textId="77777777" w:rsidTr="00CC2398">
        <w:tc>
          <w:tcPr>
            <w:tcW w:w="2860" w:type="dxa"/>
          </w:tcPr>
          <w:p w14:paraId="362CA924" w14:textId="77777777" w:rsidR="00C77FE3" w:rsidRPr="00C77FE3" w:rsidRDefault="00C77FE3" w:rsidP="00CC2398">
            <w:pPr>
              <w:pStyle w:val="Compact"/>
              <w:rPr>
                <w:rFonts w:ascii="Times New Roman" w:hAnsi="Times New Roman" w:cs="Times New Roman"/>
                <w:sz w:val="23"/>
                <w:szCs w:val="23"/>
              </w:rPr>
            </w:pPr>
            <w:r w:rsidRPr="00C77FE3">
              <w:rPr>
                <w:rFonts w:ascii="Times New Roman" w:hAnsi="Times New Roman" w:cs="Times New Roman"/>
                <w:sz w:val="23"/>
                <w:szCs w:val="23"/>
              </w:rPr>
              <w:t>Oliver (2006b)</w:t>
            </w:r>
          </w:p>
        </w:tc>
        <w:tc>
          <w:tcPr>
            <w:tcW w:w="759" w:type="dxa"/>
          </w:tcPr>
          <w:p w14:paraId="6A6191EF" w14:textId="77777777" w:rsidR="00C77FE3" w:rsidRPr="00C77FE3" w:rsidRDefault="00C77FE3" w:rsidP="00CC2398">
            <w:pPr>
              <w:pStyle w:val="Compact"/>
              <w:jc w:val="center"/>
              <w:rPr>
                <w:rFonts w:ascii="Times New Roman" w:hAnsi="Times New Roman" w:cs="Times New Roman"/>
                <w:b/>
                <w:bCs/>
                <w:sz w:val="22"/>
                <w:szCs w:val="22"/>
              </w:rPr>
            </w:pPr>
            <w:r w:rsidRPr="00C77FE3">
              <w:rPr>
                <w:rFonts w:ascii="Times New Roman" w:hAnsi="Times New Roman" w:cs="Times New Roman"/>
                <w:b/>
                <w:bCs/>
                <w:sz w:val="22"/>
                <w:szCs w:val="22"/>
              </w:rPr>
              <w:t>0.89</w:t>
            </w:r>
          </w:p>
        </w:tc>
        <w:tc>
          <w:tcPr>
            <w:tcW w:w="821" w:type="dxa"/>
          </w:tcPr>
          <w:p w14:paraId="3C285F15"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0.03</w:t>
            </w:r>
          </w:p>
        </w:tc>
        <w:tc>
          <w:tcPr>
            <w:tcW w:w="820" w:type="dxa"/>
          </w:tcPr>
          <w:p w14:paraId="73D479A0"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-0.17</w:t>
            </w:r>
          </w:p>
        </w:tc>
        <w:tc>
          <w:tcPr>
            <w:tcW w:w="820" w:type="dxa"/>
          </w:tcPr>
          <w:p w14:paraId="394AD687"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-0.31</w:t>
            </w:r>
          </w:p>
        </w:tc>
        <w:tc>
          <w:tcPr>
            <w:tcW w:w="820" w:type="dxa"/>
          </w:tcPr>
          <w:p w14:paraId="0714C600"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0.25</w:t>
            </w:r>
          </w:p>
        </w:tc>
        <w:tc>
          <w:tcPr>
            <w:tcW w:w="820" w:type="dxa"/>
          </w:tcPr>
          <w:p w14:paraId="42FC9005"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-0.06</w:t>
            </w:r>
          </w:p>
        </w:tc>
        <w:tc>
          <w:tcPr>
            <w:tcW w:w="820" w:type="dxa"/>
          </w:tcPr>
          <w:p w14:paraId="6E2DD51F"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0.10</w:t>
            </w:r>
          </w:p>
        </w:tc>
        <w:tc>
          <w:tcPr>
            <w:tcW w:w="820" w:type="dxa"/>
          </w:tcPr>
          <w:p w14:paraId="6F560723"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0.04</w:t>
            </w:r>
          </w:p>
        </w:tc>
      </w:tr>
      <w:tr w:rsidR="00C77FE3" w:rsidRPr="00C77FE3" w14:paraId="69610FE1" w14:textId="77777777" w:rsidTr="00CC2398">
        <w:tc>
          <w:tcPr>
            <w:tcW w:w="2860" w:type="dxa"/>
          </w:tcPr>
          <w:p w14:paraId="49683466" w14:textId="77777777" w:rsidR="00C77FE3" w:rsidRPr="00C77FE3" w:rsidRDefault="00C77FE3" w:rsidP="00CC2398">
            <w:pPr>
              <w:pStyle w:val="Compact"/>
              <w:rPr>
                <w:rFonts w:ascii="Times New Roman" w:hAnsi="Times New Roman" w:cs="Times New Roman"/>
                <w:sz w:val="23"/>
                <w:szCs w:val="23"/>
              </w:rPr>
            </w:pPr>
            <w:proofErr w:type="spellStart"/>
            <w:r w:rsidRPr="00C77FE3">
              <w:rPr>
                <w:rFonts w:ascii="Times New Roman" w:hAnsi="Times New Roman" w:cs="Times New Roman"/>
                <w:sz w:val="23"/>
                <w:szCs w:val="23"/>
              </w:rPr>
              <w:t>Keiningham</w:t>
            </w:r>
            <w:proofErr w:type="spellEnd"/>
            <w:r w:rsidRPr="00C77FE3">
              <w:rPr>
                <w:rFonts w:ascii="Times New Roman" w:hAnsi="Times New Roman" w:cs="Times New Roman"/>
                <w:sz w:val="23"/>
                <w:szCs w:val="23"/>
              </w:rPr>
              <w:t xml:space="preserve"> et al. (2007)</w:t>
            </w:r>
          </w:p>
        </w:tc>
        <w:tc>
          <w:tcPr>
            <w:tcW w:w="759" w:type="dxa"/>
          </w:tcPr>
          <w:p w14:paraId="3DAF059F" w14:textId="77777777" w:rsidR="00C77FE3" w:rsidRPr="00C77FE3" w:rsidRDefault="00C77FE3" w:rsidP="00CC2398">
            <w:pPr>
              <w:pStyle w:val="Compact"/>
              <w:jc w:val="center"/>
              <w:rPr>
                <w:rFonts w:ascii="Times New Roman" w:hAnsi="Times New Roman" w:cs="Times New Roman"/>
                <w:b/>
                <w:bCs/>
                <w:sz w:val="22"/>
                <w:szCs w:val="22"/>
              </w:rPr>
            </w:pPr>
            <w:r w:rsidRPr="00C77FE3">
              <w:rPr>
                <w:rFonts w:ascii="Times New Roman" w:hAnsi="Times New Roman" w:cs="Times New Roman"/>
                <w:b/>
                <w:bCs/>
                <w:sz w:val="22"/>
                <w:szCs w:val="22"/>
              </w:rPr>
              <w:t>0.92</w:t>
            </w:r>
          </w:p>
        </w:tc>
        <w:tc>
          <w:tcPr>
            <w:tcW w:w="821" w:type="dxa"/>
          </w:tcPr>
          <w:p w14:paraId="7E77730F"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-0.04</w:t>
            </w:r>
          </w:p>
        </w:tc>
        <w:tc>
          <w:tcPr>
            <w:tcW w:w="820" w:type="dxa"/>
          </w:tcPr>
          <w:p w14:paraId="4785FF88"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-0.08</w:t>
            </w:r>
          </w:p>
        </w:tc>
        <w:tc>
          <w:tcPr>
            <w:tcW w:w="820" w:type="dxa"/>
          </w:tcPr>
          <w:p w14:paraId="7AA8F29F"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-0.21</w:t>
            </w:r>
          </w:p>
        </w:tc>
        <w:tc>
          <w:tcPr>
            <w:tcW w:w="820" w:type="dxa"/>
          </w:tcPr>
          <w:p w14:paraId="3E70C562"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-0.12</w:t>
            </w:r>
          </w:p>
        </w:tc>
        <w:tc>
          <w:tcPr>
            <w:tcW w:w="820" w:type="dxa"/>
          </w:tcPr>
          <w:p w14:paraId="0751119A"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0.15</w:t>
            </w:r>
          </w:p>
        </w:tc>
        <w:tc>
          <w:tcPr>
            <w:tcW w:w="820" w:type="dxa"/>
          </w:tcPr>
          <w:p w14:paraId="4C1D01FC"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-0.25</w:t>
            </w:r>
          </w:p>
        </w:tc>
        <w:tc>
          <w:tcPr>
            <w:tcW w:w="820" w:type="dxa"/>
          </w:tcPr>
          <w:p w14:paraId="0FE1ED80"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0.02</w:t>
            </w:r>
          </w:p>
        </w:tc>
      </w:tr>
      <w:tr w:rsidR="00C77FE3" w:rsidRPr="00C77FE3" w14:paraId="12204A3F" w14:textId="77777777" w:rsidTr="00CC2398">
        <w:tc>
          <w:tcPr>
            <w:tcW w:w="2860" w:type="dxa"/>
            <w:tcBorders>
              <w:bottom w:val="single" w:sz="4" w:space="0" w:color="auto"/>
            </w:tcBorders>
          </w:tcPr>
          <w:p w14:paraId="4BAB1669" w14:textId="77777777" w:rsidR="00C77FE3" w:rsidRPr="00C77FE3" w:rsidRDefault="00C77FE3" w:rsidP="00CC2398">
            <w:pPr>
              <w:pStyle w:val="Compact"/>
              <w:rPr>
                <w:rFonts w:ascii="Times New Roman" w:hAnsi="Times New Roman" w:cs="Times New Roman"/>
                <w:sz w:val="23"/>
                <w:szCs w:val="23"/>
              </w:rPr>
            </w:pPr>
            <w:r w:rsidRPr="00C77FE3">
              <w:rPr>
                <w:rFonts w:ascii="Times New Roman" w:hAnsi="Times New Roman" w:cs="Times New Roman"/>
                <w:sz w:val="23"/>
                <w:szCs w:val="23"/>
              </w:rPr>
              <w:t>YouGov</w:t>
            </w:r>
          </w:p>
        </w:tc>
        <w:tc>
          <w:tcPr>
            <w:tcW w:w="759" w:type="dxa"/>
            <w:tcBorders>
              <w:bottom w:val="single" w:sz="4" w:space="0" w:color="auto"/>
            </w:tcBorders>
          </w:tcPr>
          <w:p w14:paraId="7D8794A8" w14:textId="77777777" w:rsidR="00C77FE3" w:rsidRPr="00C77FE3" w:rsidRDefault="00C77FE3" w:rsidP="00CC2398">
            <w:pPr>
              <w:pStyle w:val="Compact"/>
              <w:jc w:val="center"/>
              <w:rPr>
                <w:rFonts w:ascii="Times New Roman" w:hAnsi="Times New Roman" w:cs="Times New Roman"/>
                <w:b/>
                <w:bCs/>
                <w:sz w:val="22"/>
                <w:szCs w:val="22"/>
              </w:rPr>
            </w:pPr>
            <w:r w:rsidRPr="00C77FE3">
              <w:rPr>
                <w:rFonts w:ascii="Times New Roman" w:hAnsi="Times New Roman" w:cs="Times New Roman"/>
                <w:b/>
                <w:bCs/>
                <w:sz w:val="22"/>
                <w:szCs w:val="22"/>
              </w:rPr>
              <w:t>0.80</w:t>
            </w:r>
          </w:p>
        </w:tc>
        <w:tc>
          <w:tcPr>
            <w:tcW w:w="821" w:type="dxa"/>
            <w:tcBorders>
              <w:bottom w:val="single" w:sz="4" w:space="0" w:color="auto"/>
            </w:tcBorders>
          </w:tcPr>
          <w:p w14:paraId="555EDB0E"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-0.41</w:t>
            </w:r>
          </w:p>
        </w:tc>
        <w:tc>
          <w:tcPr>
            <w:tcW w:w="820" w:type="dxa"/>
            <w:tcBorders>
              <w:bottom w:val="single" w:sz="4" w:space="0" w:color="auto"/>
            </w:tcBorders>
          </w:tcPr>
          <w:p w14:paraId="330682D3"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0.43</w:t>
            </w:r>
          </w:p>
        </w:tc>
        <w:tc>
          <w:tcPr>
            <w:tcW w:w="820" w:type="dxa"/>
            <w:tcBorders>
              <w:bottom w:val="single" w:sz="4" w:space="0" w:color="auto"/>
            </w:tcBorders>
          </w:tcPr>
          <w:p w14:paraId="1BD5B138"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0.01</w:t>
            </w:r>
          </w:p>
        </w:tc>
        <w:tc>
          <w:tcPr>
            <w:tcW w:w="820" w:type="dxa"/>
            <w:tcBorders>
              <w:bottom w:val="single" w:sz="4" w:space="0" w:color="auto"/>
            </w:tcBorders>
          </w:tcPr>
          <w:p w14:paraId="6FFC7FA4"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0.09</w:t>
            </w:r>
          </w:p>
        </w:tc>
        <w:tc>
          <w:tcPr>
            <w:tcW w:w="820" w:type="dxa"/>
            <w:tcBorders>
              <w:bottom w:val="single" w:sz="4" w:space="0" w:color="auto"/>
            </w:tcBorders>
          </w:tcPr>
          <w:p w14:paraId="44B9AFAA"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-0.05</w:t>
            </w:r>
          </w:p>
        </w:tc>
        <w:tc>
          <w:tcPr>
            <w:tcW w:w="820" w:type="dxa"/>
            <w:tcBorders>
              <w:bottom w:val="single" w:sz="4" w:space="0" w:color="auto"/>
            </w:tcBorders>
          </w:tcPr>
          <w:p w14:paraId="2294D49E"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-0.03</w:t>
            </w:r>
          </w:p>
        </w:tc>
        <w:tc>
          <w:tcPr>
            <w:tcW w:w="820" w:type="dxa"/>
            <w:tcBorders>
              <w:bottom w:val="single" w:sz="4" w:space="0" w:color="auto"/>
            </w:tcBorders>
          </w:tcPr>
          <w:p w14:paraId="42AD6C4B" w14:textId="77777777" w:rsidR="00C77FE3" w:rsidRPr="00C77FE3" w:rsidRDefault="00C77FE3" w:rsidP="00CC2398">
            <w:pPr>
              <w:pStyle w:val="Compact"/>
              <w:jc w:val="center"/>
              <w:rPr>
                <w:rFonts w:ascii="Times New Roman" w:hAnsi="Times New Roman" w:cs="Times New Roman"/>
                <w:sz w:val="22"/>
                <w:szCs w:val="22"/>
              </w:rPr>
            </w:pPr>
            <w:r w:rsidRPr="00C77FE3">
              <w:rPr>
                <w:rFonts w:ascii="Times New Roman" w:hAnsi="Times New Roman" w:cs="Times New Roman"/>
                <w:sz w:val="22"/>
                <w:szCs w:val="22"/>
              </w:rPr>
              <w:t>0.01</w:t>
            </w:r>
          </w:p>
        </w:tc>
      </w:tr>
      <w:tr w:rsidR="00C77FE3" w:rsidRPr="00C77FE3" w14:paraId="78075210" w14:textId="77777777" w:rsidTr="00CC2398">
        <w:tc>
          <w:tcPr>
            <w:tcW w:w="2860" w:type="dxa"/>
            <w:tcBorders>
              <w:top w:val="single" w:sz="4" w:space="0" w:color="auto"/>
            </w:tcBorders>
          </w:tcPr>
          <w:p w14:paraId="7BCD13EC" w14:textId="77777777" w:rsidR="00C77FE3" w:rsidRPr="00C77FE3" w:rsidRDefault="00C77FE3" w:rsidP="00CC2398">
            <w:pPr>
              <w:pStyle w:val="Compact"/>
              <w:rPr>
                <w:rFonts w:ascii="Times New Roman" w:hAnsi="Times New Roman" w:cs="Times New Roman"/>
                <w:sz w:val="23"/>
                <w:szCs w:val="23"/>
              </w:rPr>
            </w:pPr>
            <w:r w:rsidRPr="00C77FE3">
              <w:rPr>
                <w:rFonts w:ascii="Times New Roman" w:hAnsi="Times New Roman" w:cs="Times New Roman"/>
                <w:sz w:val="23"/>
                <w:szCs w:val="23"/>
              </w:rPr>
              <w:t>Eigenvalue</w:t>
            </w:r>
          </w:p>
        </w:tc>
        <w:tc>
          <w:tcPr>
            <w:tcW w:w="759" w:type="dxa"/>
            <w:tcBorders>
              <w:top w:val="single" w:sz="4" w:space="0" w:color="auto"/>
            </w:tcBorders>
          </w:tcPr>
          <w:p w14:paraId="0582380E" w14:textId="77777777" w:rsidR="00C77FE3" w:rsidRPr="00C77FE3" w:rsidRDefault="00C77FE3" w:rsidP="00CC2398">
            <w:pPr>
              <w:pStyle w:val="Compact"/>
              <w:jc w:val="center"/>
              <w:rPr>
                <w:rFonts w:ascii="Times New Roman" w:hAnsi="Times New Roman" w:cs="Times New Roman"/>
                <w:b/>
                <w:bCs/>
                <w:sz w:val="23"/>
                <w:szCs w:val="23"/>
              </w:rPr>
            </w:pPr>
            <w:r w:rsidRPr="00C77FE3">
              <w:rPr>
                <w:rFonts w:ascii="Times New Roman" w:hAnsi="Times New Roman" w:cs="Times New Roman"/>
                <w:b/>
                <w:bCs/>
                <w:sz w:val="23"/>
                <w:szCs w:val="23"/>
              </w:rPr>
              <w:t>6.26</w:t>
            </w:r>
          </w:p>
        </w:tc>
        <w:tc>
          <w:tcPr>
            <w:tcW w:w="821" w:type="dxa"/>
            <w:tcBorders>
              <w:top w:val="single" w:sz="4" w:space="0" w:color="auto"/>
            </w:tcBorders>
          </w:tcPr>
          <w:p w14:paraId="6FAD132D"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0.52</w:t>
            </w:r>
          </w:p>
        </w:tc>
        <w:tc>
          <w:tcPr>
            <w:tcW w:w="820" w:type="dxa"/>
            <w:tcBorders>
              <w:top w:val="single" w:sz="4" w:space="0" w:color="auto"/>
            </w:tcBorders>
          </w:tcPr>
          <w:p w14:paraId="5DC597FD"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0.36</w:t>
            </w:r>
          </w:p>
        </w:tc>
        <w:tc>
          <w:tcPr>
            <w:tcW w:w="820" w:type="dxa"/>
            <w:tcBorders>
              <w:top w:val="single" w:sz="4" w:space="0" w:color="auto"/>
            </w:tcBorders>
          </w:tcPr>
          <w:p w14:paraId="00649B4F"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0.27</w:t>
            </w:r>
          </w:p>
        </w:tc>
        <w:tc>
          <w:tcPr>
            <w:tcW w:w="820" w:type="dxa"/>
            <w:tcBorders>
              <w:top w:val="single" w:sz="4" w:space="0" w:color="auto"/>
            </w:tcBorders>
          </w:tcPr>
          <w:p w14:paraId="2EA6C35F"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0.19</w:t>
            </w:r>
          </w:p>
        </w:tc>
        <w:tc>
          <w:tcPr>
            <w:tcW w:w="820" w:type="dxa"/>
            <w:tcBorders>
              <w:top w:val="single" w:sz="4" w:space="0" w:color="auto"/>
            </w:tcBorders>
          </w:tcPr>
          <w:p w14:paraId="4EA1EAA7"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0.17</w:t>
            </w:r>
          </w:p>
        </w:tc>
        <w:tc>
          <w:tcPr>
            <w:tcW w:w="820" w:type="dxa"/>
            <w:tcBorders>
              <w:top w:val="single" w:sz="4" w:space="0" w:color="auto"/>
            </w:tcBorders>
          </w:tcPr>
          <w:p w14:paraId="34B3FA69"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0.13</w:t>
            </w:r>
          </w:p>
        </w:tc>
        <w:tc>
          <w:tcPr>
            <w:tcW w:w="820" w:type="dxa"/>
            <w:tcBorders>
              <w:top w:val="single" w:sz="4" w:space="0" w:color="auto"/>
            </w:tcBorders>
          </w:tcPr>
          <w:p w14:paraId="779A5DA4"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0.10</w:t>
            </w:r>
          </w:p>
        </w:tc>
      </w:tr>
      <w:tr w:rsidR="00C77FE3" w:rsidRPr="00C77FE3" w14:paraId="1E8EA1C5" w14:textId="77777777" w:rsidTr="00CC2398">
        <w:tc>
          <w:tcPr>
            <w:tcW w:w="2860" w:type="dxa"/>
            <w:tcBorders>
              <w:bottom w:val="single" w:sz="4" w:space="0" w:color="auto"/>
            </w:tcBorders>
          </w:tcPr>
          <w:p w14:paraId="4BE428D2" w14:textId="77777777" w:rsidR="00C77FE3" w:rsidRPr="00C77FE3" w:rsidRDefault="00C77FE3" w:rsidP="00CC2398">
            <w:pPr>
              <w:pStyle w:val="Compact"/>
              <w:rPr>
                <w:rFonts w:ascii="Times New Roman" w:hAnsi="Times New Roman" w:cs="Times New Roman"/>
                <w:sz w:val="23"/>
                <w:szCs w:val="23"/>
              </w:rPr>
            </w:pPr>
            <w:r w:rsidRPr="00C77FE3">
              <w:rPr>
                <w:rFonts w:ascii="Times New Roman" w:hAnsi="Times New Roman" w:cs="Times New Roman"/>
                <w:sz w:val="23"/>
                <w:szCs w:val="23"/>
              </w:rPr>
              <w:t>Variance explained</w:t>
            </w:r>
          </w:p>
        </w:tc>
        <w:tc>
          <w:tcPr>
            <w:tcW w:w="759" w:type="dxa"/>
            <w:tcBorders>
              <w:bottom w:val="single" w:sz="4" w:space="0" w:color="auto"/>
            </w:tcBorders>
          </w:tcPr>
          <w:p w14:paraId="0AFEE79E" w14:textId="77777777" w:rsidR="00C77FE3" w:rsidRPr="00C77FE3" w:rsidRDefault="00C77FE3" w:rsidP="00CC2398">
            <w:pPr>
              <w:pStyle w:val="Compact"/>
              <w:jc w:val="center"/>
              <w:rPr>
                <w:rFonts w:ascii="Times New Roman" w:hAnsi="Times New Roman" w:cs="Times New Roman"/>
                <w:b/>
                <w:bCs/>
                <w:sz w:val="23"/>
                <w:szCs w:val="23"/>
              </w:rPr>
            </w:pPr>
            <w:r w:rsidRPr="00C77FE3">
              <w:rPr>
                <w:rFonts w:ascii="Times New Roman" w:hAnsi="Times New Roman" w:cs="Times New Roman"/>
                <w:b/>
                <w:bCs/>
                <w:sz w:val="23"/>
                <w:szCs w:val="23"/>
              </w:rPr>
              <w:t>78%</w:t>
            </w:r>
          </w:p>
        </w:tc>
        <w:tc>
          <w:tcPr>
            <w:tcW w:w="821" w:type="dxa"/>
            <w:tcBorders>
              <w:bottom w:val="single" w:sz="4" w:space="0" w:color="auto"/>
            </w:tcBorders>
          </w:tcPr>
          <w:p w14:paraId="70085E61"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6%</w:t>
            </w:r>
          </w:p>
        </w:tc>
        <w:tc>
          <w:tcPr>
            <w:tcW w:w="820" w:type="dxa"/>
            <w:tcBorders>
              <w:bottom w:val="single" w:sz="4" w:space="0" w:color="auto"/>
            </w:tcBorders>
          </w:tcPr>
          <w:p w14:paraId="0C19A21B"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4%</w:t>
            </w:r>
          </w:p>
        </w:tc>
        <w:tc>
          <w:tcPr>
            <w:tcW w:w="820" w:type="dxa"/>
            <w:tcBorders>
              <w:bottom w:val="single" w:sz="4" w:space="0" w:color="auto"/>
            </w:tcBorders>
          </w:tcPr>
          <w:p w14:paraId="4E6CAAD1"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3%</w:t>
            </w:r>
          </w:p>
        </w:tc>
        <w:tc>
          <w:tcPr>
            <w:tcW w:w="820" w:type="dxa"/>
            <w:tcBorders>
              <w:bottom w:val="single" w:sz="4" w:space="0" w:color="auto"/>
            </w:tcBorders>
          </w:tcPr>
          <w:p w14:paraId="39E1F8EE"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2%</w:t>
            </w:r>
          </w:p>
        </w:tc>
        <w:tc>
          <w:tcPr>
            <w:tcW w:w="820" w:type="dxa"/>
            <w:tcBorders>
              <w:bottom w:val="single" w:sz="4" w:space="0" w:color="auto"/>
            </w:tcBorders>
          </w:tcPr>
          <w:p w14:paraId="2D17969B"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2%</w:t>
            </w:r>
          </w:p>
        </w:tc>
        <w:tc>
          <w:tcPr>
            <w:tcW w:w="820" w:type="dxa"/>
            <w:tcBorders>
              <w:bottom w:val="single" w:sz="4" w:space="0" w:color="auto"/>
            </w:tcBorders>
          </w:tcPr>
          <w:p w14:paraId="7CF99178"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2%</w:t>
            </w:r>
          </w:p>
        </w:tc>
        <w:tc>
          <w:tcPr>
            <w:tcW w:w="820" w:type="dxa"/>
            <w:tcBorders>
              <w:bottom w:val="single" w:sz="4" w:space="0" w:color="auto"/>
            </w:tcBorders>
          </w:tcPr>
          <w:p w14:paraId="0D4EAEA5" w14:textId="77777777" w:rsidR="00C77FE3" w:rsidRPr="00C77FE3" w:rsidRDefault="00C77FE3" w:rsidP="00CC2398">
            <w:pPr>
              <w:pStyle w:val="Compact"/>
              <w:jc w:val="center"/>
              <w:rPr>
                <w:rFonts w:ascii="Times New Roman" w:hAnsi="Times New Roman" w:cs="Times New Roman"/>
                <w:sz w:val="23"/>
                <w:szCs w:val="23"/>
              </w:rPr>
            </w:pPr>
            <w:r w:rsidRPr="00C77FE3">
              <w:rPr>
                <w:rFonts w:ascii="Times New Roman" w:hAnsi="Times New Roman" w:cs="Times New Roman"/>
                <w:sz w:val="23"/>
                <w:szCs w:val="23"/>
              </w:rPr>
              <w:t>1%</w:t>
            </w:r>
          </w:p>
        </w:tc>
      </w:tr>
    </w:tbl>
    <w:p w14:paraId="60E0D463" w14:textId="77777777" w:rsidR="00C77FE3" w:rsidRPr="00C370F0" w:rsidRDefault="00C77FE3" w:rsidP="00C77FE3">
      <w:pPr>
        <w:rPr>
          <w:sz w:val="23"/>
          <w:szCs w:val="23"/>
        </w:rPr>
      </w:pPr>
      <w:r w:rsidRPr="00BA0363">
        <w:rPr>
          <w:sz w:val="23"/>
          <w:szCs w:val="23"/>
        </w:rPr>
        <w:br w:type="page"/>
      </w:r>
      <w:r w:rsidRPr="00BA0363">
        <w:rPr>
          <w:b/>
          <w:bCs/>
          <w:sz w:val="23"/>
          <w:szCs w:val="23"/>
        </w:rPr>
        <w:lastRenderedPageBreak/>
        <w:t>References</w:t>
      </w:r>
      <w:r>
        <w:rPr>
          <w:b/>
          <w:bCs/>
          <w:sz w:val="23"/>
          <w:szCs w:val="23"/>
        </w:rPr>
        <w:br/>
      </w:r>
    </w:p>
    <w:p w14:paraId="2C40C14B" w14:textId="77777777" w:rsidR="00C77FE3" w:rsidRDefault="00C77FE3" w:rsidP="00C77FE3">
      <w:pPr>
        <w:pStyle w:val="Bibliography"/>
        <w:rPr>
          <w:sz w:val="23"/>
          <w:szCs w:val="23"/>
        </w:rPr>
      </w:pPr>
      <w:r w:rsidRPr="00BA0363">
        <w:rPr>
          <w:sz w:val="23"/>
          <w:szCs w:val="23"/>
        </w:rPr>
        <w:t xml:space="preserve">Anderson, E. W., &amp; Sullivan, M. W. (1993). The </w:t>
      </w:r>
      <w:r>
        <w:rPr>
          <w:sz w:val="23"/>
          <w:szCs w:val="23"/>
        </w:rPr>
        <w:t>a</w:t>
      </w:r>
      <w:r w:rsidRPr="00BA0363">
        <w:rPr>
          <w:sz w:val="23"/>
          <w:szCs w:val="23"/>
        </w:rPr>
        <w:t xml:space="preserve">ntecedents and </w:t>
      </w:r>
      <w:r>
        <w:rPr>
          <w:sz w:val="23"/>
          <w:szCs w:val="23"/>
        </w:rPr>
        <w:t>c</w:t>
      </w:r>
      <w:r w:rsidRPr="00BA0363">
        <w:rPr>
          <w:sz w:val="23"/>
          <w:szCs w:val="23"/>
        </w:rPr>
        <w:t xml:space="preserve">onsequences of </w:t>
      </w:r>
      <w:r>
        <w:rPr>
          <w:sz w:val="23"/>
          <w:szCs w:val="23"/>
        </w:rPr>
        <w:t>c</w:t>
      </w:r>
      <w:r w:rsidRPr="00BA0363">
        <w:rPr>
          <w:sz w:val="23"/>
          <w:szCs w:val="23"/>
        </w:rPr>
        <w:t xml:space="preserve">ustomer </w:t>
      </w:r>
      <w:r>
        <w:rPr>
          <w:sz w:val="23"/>
          <w:szCs w:val="23"/>
        </w:rPr>
        <w:t>s</w:t>
      </w:r>
      <w:r w:rsidRPr="00BA0363">
        <w:rPr>
          <w:sz w:val="23"/>
          <w:szCs w:val="23"/>
        </w:rPr>
        <w:t xml:space="preserve">atisfaction for </w:t>
      </w:r>
      <w:r>
        <w:rPr>
          <w:sz w:val="23"/>
          <w:szCs w:val="23"/>
        </w:rPr>
        <w:t>f</w:t>
      </w:r>
      <w:r w:rsidRPr="00BA0363">
        <w:rPr>
          <w:sz w:val="23"/>
          <w:szCs w:val="23"/>
        </w:rPr>
        <w:t xml:space="preserve">irms. </w:t>
      </w:r>
      <w:r w:rsidRPr="00BA0363">
        <w:rPr>
          <w:i/>
          <w:iCs/>
          <w:sz w:val="23"/>
          <w:szCs w:val="23"/>
        </w:rPr>
        <w:t>Marketing Science</w:t>
      </w:r>
      <w:r w:rsidRPr="00BA0363">
        <w:rPr>
          <w:sz w:val="23"/>
          <w:szCs w:val="23"/>
        </w:rPr>
        <w:t xml:space="preserve">, </w:t>
      </w:r>
      <w:r w:rsidRPr="00BA0363">
        <w:rPr>
          <w:i/>
          <w:iCs/>
          <w:sz w:val="23"/>
          <w:szCs w:val="23"/>
        </w:rPr>
        <w:t>12</w:t>
      </w:r>
      <w:r w:rsidRPr="00BA0363">
        <w:rPr>
          <w:sz w:val="23"/>
          <w:szCs w:val="23"/>
        </w:rPr>
        <w:t>(2), 125–143.</w:t>
      </w:r>
    </w:p>
    <w:p w14:paraId="4B44203B" w14:textId="77777777" w:rsidR="00C77FE3" w:rsidRPr="00BA0363" w:rsidRDefault="00C77FE3" w:rsidP="00C77FE3">
      <w:pPr>
        <w:pStyle w:val="Bibliography"/>
        <w:rPr>
          <w:sz w:val="23"/>
          <w:szCs w:val="23"/>
        </w:rPr>
      </w:pPr>
      <w:proofErr w:type="spellStart"/>
      <w:r w:rsidRPr="00BA0363">
        <w:rPr>
          <w:sz w:val="23"/>
          <w:szCs w:val="23"/>
        </w:rPr>
        <w:t>Keiningham</w:t>
      </w:r>
      <w:proofErr w:type="spellEnd"/>
      <w:r w:rsidRPr="00BA0363">
        <w:rPr>
          <w:sz w:val="23"/>
          <w:szCs w:val="23"/>
        </w:rPr>
        <w:t xml:space="preserve">, T. L., Cooil, B., Aksoy, L., Andreassen, T. W., &amp; Weiner, J. (2007). The value of different customer satisfaction and loyalty metrics in predicting customer retention, recommendation, and share‐of‐wallet. </w:t>
      </w:r>
      <w:r w:rsidRPr="00BA0363">
        <w:rPr>
          <w:i/>
          <w:iCs/>
          <w:sz w:val="23"/>
          <w:szCs w:val="23"/>
        </w:rPr>
        <w:t>Managing Service Quality</w:t>
      </w:r>
      <w:r w:rsidRPr="00BA0363">
        <w:rPr>
          <w:sz w:val="23"/>
          <w:szCs w:val="23"/>
        </w:rPr>
        <w:t xml:space="preserve">, </w:t>
      </w:r>
      <w:r w:rsidRPr="00BA0363">
        <w:rPr>
          <w:i/>
          <w:iCs/>
          <w:sz w:val="23"/>
          <w:szCs w:val="23"/>
        </w:rPr>
        <w:t>17</w:t>
      </w:r>
      <w:r w:rsidRPr="00BA0363">
        <w:rPr>
          <w:sz w:val="23"/>
          <w:szCs w:val="23"/>
        </w:rPr>
        <w:t>(4), 361–384. https://doi.org/10.1108/09604520710760526</w:t>
      </w:r>
    </w:p>
    <w:p w14:paraId="0F9543F0" w14:textId="77777777" w:rsidR="00C77FE3" w:rsidRPr="00034630" w:rsidRDefault="00C77FE3" w:rsidP="00C77FE3">
      <w:pPr>
        <w:pStyle w:val="Bibliography"/>
        <w:rPr>
          <w:sz w:val="23"/>
          <w:szCs w:val="23"/>
        </w:rPr>
      </w:pPr>
      <w:r w:rsidRPr="00034630">
        <w:rPr>
          <w:sz w:val="23"/>
          <w:szCs w:val="23"/>
        </w:rPr>
        <w:t xml:space="preserve">Mittal, V., &amp; Kamakura, W. A. (2001). Satisfaction, repurchase intent, and repurchase behavior: </w:t>
      </w:r>
      <w:r>
        <w:rPr>
          <w:sz w:val="23"/>
          <w:szCs w:val="23"/>
        </w:rPr>
        <w:t>I</w:t>
      </w:r>
      <w:r w:rsidRPr="00034630">
        <w:rPr>
          <w:sz w:val="23"/>
          <w:szCs w:val="23"/>
        </w:rPr>
        <w:t xml:space="preserve">nvestigating the moderating effect of customer characteristics. </w:t>
      </w:r>
      <w:r w:rsidRPr="00034630">
        <w:rPr>
          <w:i/>
          <w:iCs/>
          <w:sz w:val="23"/>
          <w:szCs w:val="23"/>
        </w:rPr>
        <w:t>Journal of Marketing Research</w:t>
      </w:r>
      <w:r w:rsidRPr="00034630">
        <w:rPr>
          <w:sz w:val="23"/>
          <w:szCs w:val="23"/>
        </w:rPr>
        <w:t xml:space="preserve">, </w:t>
      </w:r>
      <w:r w:rsidRPr="00034630">
        <w:rPr>
          <w:i/>
          <w:iCs/>
          <w:sz w:val="23"/>
          <w:szCs w:val="23"/>
        </w:rPr>
        <w:t>38</w:t>
      </w:r>
      <w:r w:rsidRPr="00034630">
        <w:rPr>
          <w:sz w:val="23"/>
          <w:szCs w:val="23"/>
        </w:rPr>
        <w:t>(1), 131–142. https://doi.org/10.1509/jmkr.38.1.131.18832</w:t>
      </w:r>
    </w:p>
    <w:p w14:paraId="6C5C131F" w14:textId="77777777" w:rsidR="00C77FE3" w:rsidRDefault="00C77FE3" w:rsidP="00C77FE3">
      <w:pPr>
        <w:pStyle w:val="Bibliography"/>
        <w:rPr>
          <w:sz w:val="23"/>
          <w:szCs w:val="23"/>
        </w:rPr>
      </w:pPr>
      <w:r w:rsidRPr="00BA0363">
        <w:rPr>
          <w:sz w:val="23"/>
          <w:szCs w:val="23"/>
        </w:rPr>
        <w:t xml:space="preserve">Oliver, R. L. (1980). A </w:t>
      </w:r>
      <w:r>
        <w:rPr>
          <w:sz w:val="23"/>
          <w:szCs w:val="23"/>
        </w:rPr>
        <w:t>c</w:t>
      </w:r>
      <w:r w:rsidRPr="00BA0363">
        <w:rPr>
          <w:sz w:val="23"/>
          <w:szCs w:val="23"/>
        </w:rPr>
        <w:t xml:space="preserve">ognitive </w:t>
      </w:r>
      <w:r>
        <w:rPr>
          <w:sz w:val="23"/>
          <w:szCs w:val="23"/>
        </w:rPr>
        <w:t>m</w:t>
      </w:r>
      <w:r w:rsidRPr="00BA0363">
        <w:rPr>
          <w:sz w:val="23"/>
          <w:szCs w:val="23"/>
        </w:rPr>
        <w:t xml:space="preserve">odel of the </w:t>
      </w:r>
      <w:r>
        <w:rPr>
          <w:sz w:val="23"/>
          <w:szCs w:val="23"/>
        </w:rPr>
        <w:t>a</w:t>
      </w:r>
      <w:r w:rsidRPr="00BA0363">
        <w:rPr>
          <w:sz w:val="23"/>
          <w:szCs w:val="23"/>
        </w:rPr>
        <w:t xml:space="preserve">ntecedents and </w:t>
      </w:r>
      <w:r>
        <w:rPr>
          <w:sz w:val="23"/>
          <w:szCs w:val="23"/>
        </w:rPr>
        <w:t>c</w:t>
      </w:r>
      <w:r w:rsidRPr="00BA0363">
        <w:rPr>
          <w:sz w:val="23"/>
          <w:szCs w:val="23"/>
        </w:rPr>
        <w:t xml:space="preserve">onsequences of </w:t>
      </w:r>
      <w:r>
        <w:rPr>
          <w:sz w:val="23"/>
          <w:szCs w:val="23"/>
        </w:rPr>
        <w:t>s</w:t>
      </w:r>
      <w:r w:rsidRPr="00BA0363">
        <w:rPr>
          <w:sz w:val="23"/>
          <w:szCs w:val="23"/>
        </w:rPr>
        <w:t xml:space="preserve">atisfaction </w:t>
      </w:r>
      <w:r>
        <w:rPr>
          <w:sz w:val="23"/>
          <w:szCs w:val="23"/>
        </w:rPr>
        <w:t>d</w:t>
      </w:r>
      <w:r w:rsidRPr="00BA0363">
        <w:rPr>
          <w:sz w:val="23"/>
          <w:szCs w:val="23"/>
        </w:rPr>
        <w:t xml:space="preserve">ecisions. </w:t>
      </w:r>
      <w:r w:rsidRPr="00BA0363">
        <w:rPr>
          <w:i/>
          <w:iCs/>
          <w:sz w:val="23"/>
          <w:szCs w:val="23"/>
        </w:rPr>
        <w:t>Journal of Marketing Research</w:t>
      </w:r>
      <w:r w:rsidRPr="00BA0363">
        <w:rPr>
          <w:sz w:val="23"/>
          <w:szCs w:val="23"/>
        </w:rPr>
        <w:t xml:space="preserve">, </w:t>
      </w:r>
      <w:r w:rsidRPr="00BA0363">
        <w:rPr>
          <w:i/>
          <w:iCs/>
          <w:sz w:val="23"/>
          <w:szCs w:val="23"/>
        </w:rPr>
        <w:t>17</w:t>
      </w:r>
      <w:r w:rsidRPr="00BA0363">
        <w:rPr>
          <w:sz w:val="23"/>
          <w:szCs w:val="23"/>
        </w:rPr>
        <w:t xml:space="preserve">(4), 460–469. </w:t>
      </w:r>
      <w:hyperlink r:id="rId5" w:history="1">
        <w:r w:rsidRPr="00FD6C79">
          <w:rPr>
            <w:rStyle w:val="Hyperlink"/>
            <w:sz w:val="23"/>
            <w:szCs w:val="23"/>
          </w:rPr>
          <w:t>https://doi.org/10.1177/002224378001700405</w:t>
        </w:r>
      </w:hyperlink>
    </w:p>
    <w:p w14:paraId="23566A4C" w14:textId="77777777" w:rsidR="00C77FE3" w:rsidRPr="00BA0363" w:rsidRDefault="00C77FE3" w:rsidP="00C77FE3">
      <w:pPr>
        <w:ind w:left="720" w:hanging="720"/>
        <w:rPr>
          <w:sz w:val="23"/>
          <w:szCs w:val="23"/>
        </w:rPr>
      </w:pPr>
      <w:r w:rsidRPr="00BA0363">
        <w:rPr>
          <w:sz w:val="23"/>
          <w:szCs w:val="23"/>
        </w:rPr>
        <w:t>Oliver, R. L. (2006). Customer satisfaction research. In </w:t>
      </w:r>
      <w:r w:rsidRPr="007C0C83">
        <w:rPr>
          <w:sz w:val="23"/>
          <w:szCs w:val="23"/>
        </w:rPr>
        <w:t>R. Grover &amp; M. Vriens (Eds.),</w:t>
      </w:r>
      <w:r w:rsidRPr="007C0C83">
        <w:rPr>
          <w:i/>
          <w:iCs/>
          <w:sz w:val="23"/>
          <w:szCs w:val="23"/>
        </w:rPr>
        <w:t xml:space="preserve"> </w:t>
      </w:r>
      <w:r w:rsidRPr="00BA0363">
        <w:rPr>
          <w:i/>
          <w:iCs/>
          <w:sz w:val="23"/>
          <w:szCs w:val="23"/>
        </w:rPr>
        <w:t>The handbook of marketing research: Uses,</w:t>
      </w:r>
      <w:r>
        <w:rPr>
          <w:i/>
          <w:iCs/>
          <w:sz w:val="23"/>
          <w:szCs w:val="23"/>
        </w:rPr>
        <w:t xml:space="preserve"> </w:t>
      </w:r>
      <w:r w:rsidRPr="00BA0363">
        <w:rPr>
          <w:i/>
          <w:iCs/>
          <w:sz w:val="23"/>
          <w:szCs w:val="23"/>
        </w:rPr>
        <w:t>misuses, and future advances</w:t>
      </w:r>
      <w:r w:rsidRPr="00BA0363">
        <w:rPr>
          <w:sz w:val="23"/>
          <w:szCs w:val="23"/>
        </w:rPr>
        <w:t> (pp. 569-587). S</w:t>
      </w:r>
      <w:r>
        <w:rPr>
          <w:sz w:val="23"/>
          <w:szCs w:val="23"/>
        </w:rPr>
        <w:t>age</w:t>
      </w:r>
      <w:r w:rsidRPr="00BA0363">
        <w:rPr>
          <w:sz w:val="23"/>
          <w:szCs w:val="23"/>
        </w:rPr>
        <w:t>.</w:t>
      </w:r>
    </w:p>
    <w:p w14:paraId="4538BDF3" w14:textId="77777777" w:rsidR="00C77FE3" w:rsidRPr="00D22ECC" w:rsidRDefault="00C77FE3" w:rsidP="00C77FE3"/>
    <w:p w14:paraId="2CDBF30A" w14:textId="77777777" w:rsidR="00C77FE3" w:rsidRDefault="00C77FE3" w:rsidP="00C77FE3">
      <w:pPr>
        <w:spacing w:line="276" w:lineRule="auto"/>
        <w:ind w:left="360" w:hanging="360"/>
      </w:pPr>
    </w:p>
    <w:p w14:paraId="0D077F5B" w14:textId="77777777" w:rsidR="00C77FE3" w:rsidRDefault="00C77FE3" w:rsidP="00C77FE3">
      <w:pPr>
        <w:jc w:val="center"/>
        <w:rPr>
          <w:b/>
          <w:bCs/>
          <w:sz w:val="23"/>
          <w:szCs w:val="23"/>
        </w:rPr>
      </w:pPr>
    </w:p>
    <w:p w14:paraId="73AD8CCA" w14:textId="77777777" w:rsidR="00C77FE3" w:rsidRDefault="00C77FE3" w:rsidP="00C77FE3">
      <w:pPr>
        <w:jc w:val="center"/>
        <w:rPr>
          <w:b/>
          <w:bCs/>
          <w:sz w:val="23"/>
          <w:szCs w:val="23"/>
        </w:rPr>
      </w:pPr>
    </w:p>
    <w:p w14:paraId="63FF0D34" w14:textId="77777777" w:rsidR="00C77FE3" w:rsidRDefault="00C77FE3" w:rsidP="00C77FE3">
      <w:pPr>
        <w:jc w:val="center"/>
        <w:rPr>
          <w:b/>
          <w:bCs/>
          <w:sz w:val="23"/>
          <w:szCs w:val="23"/>
        </w:rPr>
      </w:pPr>
    </w:p>
    <w:p w14:paraId="4AAA6C6A" w14:textId="77777777" w:rsidR="00C77FE3" w:rsidRDefault="00C77FE3" w:rsidP="00C77FE3">
      <w:pPr>
        <w:jc w:val="center"/>
        <w:rPr>
          <w:b/>
          <w:bCs/>
          <w:sz w:val="23"/>
          <w:szCs w:val="23"/>
        </w:rPr>
      </w:pPr>
    </w:p>
    <w:p w14:paraId="070E0743" w14:textId="77777777" w:rsidR="00C77FE3" w:rsidRDefault="00C77FE3" w:rsidP="00C77FE3">
      <w:pPr>
        <w:jc w:val="center"/>
        <w:rPr>
          <w:b/>
          <w:bCs/>
          <w:sz w:val="23"/>
          <w:szCs w:val="23"/>
        </w:rPr>
      </w:pPr>
    </w:p>
    <w:p w14:paraId="40394645" w14:textId="77777777" w:rsidR="00C77FE3" w:rsidRDefault="00C77FE3" w:rsidP="00C77FE3">
      <w:pPr>
        <w:jc w:val="center"/>
        <w:rPr>
          <w:b/>
          <w:bCs/>
          <w:sz w:val="23"/>
          <w:szCs w:val="23"/>
        </w:rPr>
      </w:pPr>
    </w:p>
    <w:p w14:paraId="70498FFE" w14:textId="77777777" w:rsidR="00C77FE3" w:rsidRDefault="00C77FE3" w:rsidP="00C77FE3">
      <w:pPr>
        <w:jc w:val="center"/>
        <w:rPr>
          <w:b/>
          <w:bCs/>
          <w:sz w:val="23"/>
          <w:szCs w:val="23"/>
        </w:rPr>
      </w:pPr>
    </w:p>
    <w:p w14:paraId="5125F5B0" w14:textId="77777777" w:rsidR="00C77FE3" w:rsidRDefault="00C77FE3" w:rsidP="00C77FE3">
      <w:pPr>
        <w:jc w:val="center"/>
        <w:rPr>
          <w:b/>
          <w:bCs/>
          <w:sz w:val="23"/>
          <w:szCs w:val="23"/>
        </w:rPr>
      </w:pPr>
    </w:p>
    <w:p w14:paraId="384F48DD" w14:textId="77777777" w:rsidR="00C77FE3" w:rsidRDefault="00C77FE3" w:rsidP="00C77FE3">
      <w:pPr>
        <w:jc w:val="center"/>
        <w:rPr>
          <w:b/>
          <w:bCs/>
          <w:sz w:val="23"/>
          <w:szCs w:val="23"/>
        </w:rPr>
      </w:pPr>
    </w:p>
    <w:p w14:paraId="54AB1DA7" w14:textId="77777777" w:rsidR="00C77FE3" w:rsidRDefault="00C77FE3" w:rsidP="00C77FE3">
      <w:pPr>
        <w:jc w:val="center"/>
        <w:rPr>
          <w:b/>
          <w:bCs/>
          <w:sz w:val="23"/>
          <w:szCs w:val="23"/>
        </w:rPr>
      </w:pPr>
    </w:p>
    <w:p w14:paraId="439D6191" w14:textId="77777777" w:rsidR="00C77FE3" w:rsidRDefault="00C77FE3" w:rsidP="00C77FE3">
      <w:pPr>
        <w:jc w:val="center"/>
        <w:rPr>
          <w:b/>
          <w:bCs/>
          <w:sz w:val="23"/>
          <w:szCs w:val="23"/>
        </w:rPr>
      </w:pPr>
    </w:p>
    <w:p w14:paraId="07B4BF9C" w14:textId="77777777" w:rsidR="00C77FE3" w:rsidRDefault="00C77FE3" w:rsidP="00C77FE3">
      <w:pPr>
        <w:jc w:val="center"/>
        <w:rPr>
          <w:b/>
          <w:bCs/>
          <w:sz w:val="23"/>
          <w:szCs w:val="23"/>
        </w:rPr>
      </w:pPr>
    </w:p>
    <w:p w14:paraId="3C278589" w14:textId="77777777" w:rsidR="00C77FE3" w:rsidRDefault="00C77FE3" w:rsidP="00C77FE3">
      <w:pPr>
        <w:jc w:val="center"/>
        <w:rPr>
          <w:b/>
          <w:bCs/>
          <w:sz w:val="23"/>
          <w:szCs w:val="23"/>
        </w:rPr>
      </w:pPr>
    </w:p>
    <w:p w14:paraId="533AA5A5" w14:textId="77777777" w:rsidR="00C77FE3" w:rsidRDefault="00C77FE3" w:rsidP="00C77FE3">
      <w:pPr>
        <w:jc w:val="center"/>
        <w:rPr>
          <w:b/>
          <w:bCs/>
          <w:sz w:val="23"/>
          <w:szCs w:val="23"/>
        </w:rPr>
      </w:pPr>
    </w:p>
    <w:p w14:paraId="0BF192B8" w14:textId="77777777" w:rsidR="00C77FE3" w:rsidRDefault="00C77FE3" w:rsidP="00C77FE3">
      <w:pPr>
        <w:jc w:val="center"/>
        <w:rPr>
          <w:b/>
          <w:bCs/>
          <w:sz w:val="23"/>
          <w:szCs w:val="23"/>
        </w:rPr>
      </w:pPr>
    </w:p>
    <w:p w14:paraId="4D966646" w14:textId="77777777" w:rsidR="00C77FE3" w:rsidRDefault="00C77FE3" w:rsidP="00C77FE3">
      <w:pPr>
        <w:jc w:val="center"/>
        <w:rPr>
          <w:b/>
          <w:bCs/>
          <w:sz w:val="23"/>
          <w:szCs w:val="23"/>
        </w:rPr>
      </w:pPr>
    </w:p>
    <w:p w14:paraId="1DDE6592" w14:textId="77777777" w:rsidR="00C77FE3" w:rsidRDefault="00C77FE3" w:rsidP="00C77FE3">
      <w:pPr>
        <w:jc w:val="center"/>
        <w:rPr>
          <w:b/>
          <w:bCs/>
          <w:sz w:val="23"/>
          <w:szCs w:val="23"/>
        </w:rPr>
      </w:pPr>
    </w:p>
    <w:p w14:paraId="77EB5938" w14:textId="77777777" w:rsidR="00C77FE3" w:rsidRDefault="00C77FE3" w:rsidP="00C77FE3">
      <w:pPr>
        <w:jc w:val="center"/>
        <w:rPr>
          <w:b/>
          <w:bCs/>
          <w:sz w:val="23"/>
          <w:szCs w:val="23"/>
        </w:rPr>
      </w:pPr>
    </w:p>
    <w:p w14:paraId="1ACAA89D" w14:textId="77777777" w:rsidR="00C77FE3" w:rsidRDefault="00C77FE3" w:rsidP="00C77FE3">
      <w:pPr>
        <w:jc w:val="center"/>
        <w:rPr>
          <w:b/>
          <w:bCs/>
          <w:sz w:val="23"/>
          <w:szCs w:val="23"/>
        </w:rPr>
      </w:pPr>
    </w:p>
    <w:p w14:paraId="6BB35ED5" w14:textId="77777777" w:rsidR="00C77FE3" w:rsidRDefault="00C77FE3" w:rsidP="00C77FE3">
      <w:pPr>
        <w:jc w:val="center"/>
        <w:rPr>
          <w:b/>
          <w:bCs/>
          <w:sz w:val="23"/>
          <w:szCs w:val="23"/>
        </w:rPr>
      </w:pPr>
    </w:p>
    <w:p w14:paraId="5B49FC60" w14:textId="77777777" w:rsidR="00C77FE3" w:rsidRDefault="00C77FE3" w:rsidP="00C77FE3">
      <w:pPr>
        <w:jc w:val="center"/>
        <w:rPr>
          <w:b/>
          <w:bCs/>
          <w:sz w:val="23"/>
          <w:szCs w:val="23"/>
        </w:rPr>
      </w:pPr>
    </w:p>
    <w:p w14:paraId="4063D766" w14:textId="77777777" w:rsidR="00C77FE3" w:rsidRDefault="00C77FE3" w:rsidP="00C77FE3">
      <w:pPr>
        <w:jc w:val="center"/>
        <w:rPr>
          <w:b/>
          <w:bCs/>
          <w:sz w:val="23"/>
          <w:szCs w:val="23"/>
        </w:rPr>
      </w:pPr>
    </w:p>
    <w:p w14:paraId="514B4CCE" w14:textId="77777777" w:rsidR="00C77FE3" w:rsidRDefault="00C77FE3" w:rsidP="00C77FE3">
      <w:pPr>
        <w:jc w:val="center"/>
        <w:rPr>
          <w:b/>
          <w:bCs/>
          <w:sz w:val="23"/>
          <w:szCs w:val="23"/>
        </w:rPr>
      </w:pPr>
    </w:p>
    <w:p w14:paraId="50CE5220" w14:textId="77777777" w:rsidR="00C77FE3" w:rsidRDefault="00C77FE3" w:rsidP="00C77FE3">
      <w:pPr>
        <w:jc w:val="center"/>
        <w:rPr>
          <w:b/>
          <w:bCs/>
          <w:sz w:val="23"/>
          <w:szCs w:val="23"/>
        </w:rPr>
      </w:pPr>
    </w:p>
    <w:p w14:paraId="163186EB" w14:textId="77777777" w:rsidR="00C77FE3" w:rsidRDefault="00C77FE3" w:rsidP="00C77FE3">
      <w:pPr>
        <w:jc w:val="center"/>
        <w:rPr>
          <w:b/>
          <w:bCs/>
          <w:sz w:val="23"/>
          <w:szCs w:val="23"/>
        </w:rPr>
      </w:pPr>
    </w:p>
    <w:p w14:paraId="0511B16D" w14:textId="77777777" w:rsidR="00C77FE3" w:rsidRDefault="00C77FE3" w:rsidP="00C77FE3">
      <w:pPr>
        <w:jc w:val="center"/>
        <w:rPr>
          <w:b/>
          <w:bCs/>
          <w:sz w:val="23"/>
          <w:szCs w:val="23"/>
        </w:rPr>
      </w:pPr>
    </w:p>
    <w:p w14:paraId="12D06417" w14:textId="77777777" w:rsidR="00C77FE3" w:rsidRDefault="00C77FE3" w:rsidP="00C77FE3">
      <w:pPr>
        <w:jc w:val="center"/>
        <w:rPr>
          <w:b/>
          <w:bCs/>
          <w:sz w:val="23"/>
          <w:szCs w:val="23"/>
        </w:rPr>
      </w:pPr>
    </w:p>
    <w:p w14:paraId="5F9C7063" w14:textId="77777777" w:rsidR="00C77FE3" w:rsidRDefault="00C77FE3" w:rsidP="00C77FE3">
      <w:pPr>
        <w:jc w:val="center"/>
        <w:rPr>
          <w:b/>
          <w:bCs/>
          <w:sz w:val="23"/>
          <w:szCs w:val="23"/>
        </w:rPr>
      </w:pPr>
    </w:p>
    <w:p w14:paraId="0F908259" w14:textId="77777777" w:rsidR="00C77FE3" w:rsidRDefault="00C77FE3" w:rsidP="00C77FE3">
      <w:pPr>
        <w:jc w:val="center"/>
        <w:rPr>
          <w:b/>
          <w:bCs/>
          <w:sz w:val="23"/>
          <w:szCs w:val="23"/>
        </w:rPr>
      </w:pPr>
    </w:p>
    <w:p w14:paraId="35E557E4" w14:textId="77777777" w:rsidR="00C77FE3" w:rsidRDefault="00C77FE3" w:rsidP="00C77FE3">
      <w:pPr>
        <w:jc w:val="center"/>
        <w:rPr>
          <w:b/>
          <w:bCs/>
          <w:sz w:val="23"/>
          <w:szCs w:val="23"/>
        </w:rPr>
      </w:pPr>
    </w:p>
    <w:p w14:paraId="3A698B36" w14:textId="77777777" w:rsidR="00C77FE3" w:rsidRDefault="00C77FE3" w:rsidP="00C77FE3">
      <w:pPr>
        <w:spacing w:after="120"/>
        <w:ind w:left="360" w:hanging="360"/>
        <w:jc w:val="center"/>
      </w:pPr>
      <w:r w:rsidRPr="00F611CA">
        <w:rPr>
          <w:b/>
          <w:bCs/>
        </w:rPr>
        <w:lastRenderedPageBreak/>
        <w:t xml:space="preserve">Web Appendix </w:t>
      </w:r>
      <w:r>
        <w:rPr>
          <w:b/>
          <w:bCs/>
        </w:rPr>
        <w:t>B</w:t>
      </w:r>
      <w:r w:rsidRPr="00F611CA">
        <w:rPr>
          <w:b/>
          <w:bCs/>
        </w:rPr>
        <w:t xml:space="preserve">: </w:t>
      </w:r>
      <w:r w:rsidRPr="00280333">
        <w:rPr>
          <w:b/>
          <w:bCs/>
        </w:rPr>
        <w:t>Scales Measuring Related Constructs</w:t>
      </w:r>
    </w:p>
    <w:tbl>
      <w:tblPr>
        <w:tblStyle w:val="TableGrid"/>
        <w:tblW w:w="5000" w:type="pct"/>
        <w:tblLook w:val="04A0" w:firstRow="1" w:lastRow="0" w:firstColumn="1" w:lastColumn="0" w:noHBand="0" w:noVBand="1"/>
      </w:tblPr>
      <w:tblGrid>
        <w:gridCol w:w="2149"/>
        <w:gridCol w:w="7201"/>
      </w:tblGrid>
      <w:tr w:rsidR="00C77FE3" w:rsidRPr="00C77FE3" w14:paraId="188A6A96" w14:textId="77777777" w:rsidTr="00CC2398">
        <w:tc>
          <w:tcPr>
            <w:tcW w:w="1149" w:type="pct"/>
          </w:tcPr>
          <w:p w14:paraId="7E0E7818"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Construct Source</w:t>
            </w:r>
          </w:p>
        </w:tc>
        <w:tc>
          <w:tcPr>
            <w:tcW w:w="3851" w:type="pct"/>
          </w:tcPr>
          <w:p w14:paraId="0C223CFD"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Example Items</w:t>
            </w:r>
          </w:p>
        </w:tc>
      </w:tr>
      <w:tr w:rsidR="00C77FE3" w:rsidRPr="00C77FE3" w14:paraId="4BE6167A" w14:textId="77777777" w:rsidTr="00CC2398">
        <w:tc>
          <w:tcPr>
            <w:tcW w:w="1149" w:type="pct"/>
          </w:tcPr>
          <w:p w14:paraId="1127CA92" w14:textId="77777777" w:rsidR="00C77FE3" w:rsidRPr="00C77FE3" w:rsidRDefault="00C77FE3" w:rsidP="00CC2398">
            <w:pPr>
              <w:rPr>
                <w:rFonts w:ascii="Times New Roman" w:hAnsi="Times New Roman" w:cs="Times New Roman"/>
                <w:lang w:val="fr-CA"/>
              </w:rPr>
            </w:pPr>
            <w:r w:rsidRPr="00C77FE3">
              <w:rPr>
                <w:rFonts w:ascii="Times New Roman" w:hAnsi="Times New Roman" w:cs="Times New Roman"/>
                <w:lang w:val="fr-CA"/>
              </w:rPr>
              <w:t xml:space="preserve">Service </w:t>
            </w:r>
            <w:proofErr w:type="spellStart"/>
            <w:r w:rsidRPr="00C77FE3">
              <w:rPr>
                <w:rFonts w:ascii="Times New Roman" w:hAnsi="Times New Roman" w:cs="Times New Roman"/>
                <w:lang w:val="fr-CA"/>
              </w:rPr>
              <w:t>quality</w:t>
            </w:r>
            <w:proofErr w:type="spellEnd"/>
            <w:r w:rsidRPr="00C77FE3">
              <w:rPr>
                <w:rFonts w:ascii="Times New Roman" w:hAnsi="Times New Roman" w:cs="Times New Roman"/>
                <w:lang w:val="fr-CA"/>
              </w:rPr>
              <w:t xml:space="preserve"> (SERVQUAL)</w:t>
            </w:r>
          </w:p>
          <w:p w14:paraId="3E9300DB" w14:textId="77777777" w:rsidR="00C77FE3" w:rsidRPr="00C77FE3" w:rsidRDefault="00C77FE3" w:rsidP="00CC2398">
            <w:pPr>
              <w:rPr>
                <w:rFonts w:ascii="Times New Roman" w:hAnsi="Times New Roman" w:cs="Times New Roman"/>
                <w:lang w:val="fr-FR"/>
              </w:rPr>
            </w:pPr>
            <w:proofErr w:type="spellStart"/>
            <w:r w:rsidRPr="00C77FE3">
              <w:rPr>
                <w:rFonts w:ascii="Times New Roman" w:hAnsi="Times New Roman" w:cs="Times New Roman"/>
                <w:lang w:val="fr-CA"/>
              </w:rPr>
              <w:t>Parasuraman</w:t>
            </w:r>
            <w:proofErr w:type="spellEnd"/>
            <w:r w:rsidRPr="00C77FE3">
              <w:rPr>
                <w:rFonts w:ascii="Times New Roman" w:hAnsi="Times New Roman" w:cs="Times New Roman"/>
                <w:lang w:val="fr-CA"/>
              </w:rPr>
              <w:t xml:space="preserve"> et al. </w:t>
            </w:r>
            <w:r w:rsidRPr="00C77FE3">
              <w:rPr>
                <w:rFonts w:ascii="Times New Roman" w:hAnsi="Times New Roman" w:cs="Times New Roman"/>
                <w:lang w:val="fr-FR"/>
              </w:rPr>
              <w:t>(1988)</w:t>
            </w:r>
          </w:p>
        </w:tc>
        <w:tc>
          <w:tcPr>
            <w:tcW w:w="3851" w:type="pct"/>
          </w:tcPr>
          <w:p w14:paraId="2894A5C8" w14:textId="77777777" w:rsidR="00C77FE3" w:rsidRPr="00C77FE3" w:rsidRDefault="00C77FE3" w:rsidP="00CC2398">
            <w:pPr>
              <w:widowControl w:val="0"/>
              <w:suppressAutoHyphens/>
              <w:rPr>
                <w:rFonts w:ascii="Times New Roman" w:hAnsi="Times New Roman" w:cs="Times New Roman"/>
              </w:rPr>
            </w:pPr>
            <w:r w:rsidRPr="00C77FE3">
              <w:rPr>
                <w:rFonts w:ascii="Times New Roman" w:hAnsi="Times New Roman" w:cs="Times New Roman"/>
              </w:rPr>
              <w:t xml:space="preserve">The SERVQUAL instrument asked respondents to rate items on a 7-point Likert scale (1 = “strongly disagree,” 7 = “strongly agree”). </w:t>
            </w:r>
          </w:p>
          <w:p w14:paraId="69A8A36C" w14:textId="77777777" w:rsidR="00C77FE3" w:rsidRPr="00C77FE3" w:rsidRDefault="00C77FE3" w:rsidP="00CC2398">
            <w:pPr>
              <w:widowControl w:val="0"/>
              <w:suppressAutoHyphens/>
              <w:rPr>
                <w:rFonts w:ascii="Times New Roman" w:hAnsi="Times New Roman" w:cs="Times New Roman"/>
              </w:rPr>
            </w:pPr>
            <w:r w:rsidRPr="00C77FE3">
              <w:rPr>
                <w:rFonts w:ascii="Times New Roman" w:hAnsi="Times New Roman" w:cs="Times New Roman"/>
              </w:rPr>
              <w:t>Tangibles</w:t>
            </w:r>
          </w:p>
          <w:p w14:paraId="0592682A"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XYZ has up-to-date equipment.</w:t>
            </w:r>
          </w:p>
          <w:p w14:paraId="5CB2C562"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XYZ’s physical facilities are visually appealing.</w:t>
            </w:r>
          </w:p>
          <w:p w14:paraId="514B2E4C"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XYZ’s employees are neat in appearance.</w:t>
            </w:r>
          </w:p>
          <w:p w14:paraId="4C3BF073"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Materials associated with the service (e.g., pamphlets, statements) are visually appealing at XYZ.</w:t>
            </w:r>
          </w:p>
          <w:p w14:paraId="328459A0"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Reliability</w:t>
            </w:r>
          </w:p>
          <w:p w14:paraId="1A6F0D8B"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When XYZ promises to do something by a certain time, it does so.</w:t>
            </w:r>
          </w:p>
          <w:p w14:paraId="31674CBD"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When you have problems, XYZ is sympathetic and reassuring.</w:t>
            </w:r>
          </w:p>
          <w:p w14:paraId="62F7ADD3"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XYZ is dependable.</w:t>
            </w:r>
          </w:p>
          <w:p w14:paraId="52D45636"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XYZ provides its services at the time it promises to do so.</w:t>
            </w:r>
          </w:p>
          <w:p w14:paraId="36FC384C"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XYZ keeps its records accurately.</w:t>
            </w:r>
          </w:p>
          <w:p w14:paraId="05089DEB"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Responsiveness</w:t>
            </w:r>
          </w:p>
          <w:p w14:paraId="369EFFD6" w14:textId="77777777" w:rsidR="00C77FE3" w:rsidRPr="00C77FE3" w:rsidRDefault="00C77FE3">
            <w:pPr>
              <w:numPr>
                <w:ilvl w:val="0"/>
                <w:numId w:val="13"/>
              </w:numPr>
              <w:spacing w:after="100" w:afterAutospacing="1"/>
              <w:rPr>
                <w:rFonts w:ascii="Times New Roman" w:hAnsi="Times New Roman" w:cs="Times New Roman"/>
              </w:rPr>
            </w:pPr>
            <w:r w:rsidRPr="00C77FE3">
              <w:rPr>
                <w:rFonts w:ascii="Times New Roman" w:hAnsi="Times New Roman" w:cs="Times New Roman"/>
              </w:rPr>
              <w:t>XYZ tells customers exactly when services will be performed.</w:t>
            </w:r>
          </w:p>
          <w:p w14:paraId="0CC988D1" w14:textId="77777777" w:rsidR="00C77FE3" w:rsidRPr="00C77FE3" w:rsidRDefault="00C77FE3">
            <w:pPr>
              <w:numPr>
                <w:ilvl w:val="0"/>
                <w:numId w:val="13"/>
              </w:numPr>
              <w:spacing w:before="100" w:beforeAutospacing="1" w:after="100" w:afterAutospacing="1"/>
              <w:rPr>
                <w:rFonts w:ascii="Times New Roman" w:hAnsi="Times New Roman" w:cs="Times New Roman"/>
              </w:rPr>
            </w:pPr>
            <w:r w:rsidRPr="00C77FE3">
              <w:rPr>
                <w:rFonts w:ascii="Times New Roman" w:hAnsi="Times New Roman" w:cs="Times New Roman"/>
              </w:rPr>
              <w:t>Employees of XYZ give prompt service to customers.</w:t>
            </w:r>
          </w:p>
          <w:p w14:paraId="2A9265C3" w14:textId="77777777" w:rsidR="00C77FE3" w:rsidRPr="00C77FE3" w:rsidRDefault="00C77FE3">
            <w:pPr>
              <w:numPr>
                <w:ilvl w:val="0"/>
                <w:numId w:val="13"/>
              </w:numPr>
              <w:spacing w:before="100" w:beforeAutospacing="1" w:after="100" w:afterAutospacing="1"/>
              <w:rPr>
                <w:rFonts w:ascii="Times New Roman" w:hAnsi="Times New Roman" w:cs="Times New Roman"/>
              </w:rPr>
            </w:pPr>
            <w:r w:rsidRPr="00C77FE3">
              <w:rPr>
                <w:rFonts w:ascii="Times New Roman" w:hAnsi="Times New Roman" w:cs="Times New Roman"/>
              </w:rPr>
              <w:t>Employees of XYZ are always willing to help customers.</w:t>
            </w:r>
          </w:p>
          <w:p w14:paraId="4D56A748" w14:textId="77777777" w:rsidR="00C77FE3" w:rsidRPr="00C77FE3" w:rsidRDefault="00C77FE3">
            <w:pPr>
              <w:numPr>
                <w:ilvl w:val="0"/>
                <w:numId w:val="13"/>
              </w:numPr>
              <w:rPr>
                <w:rFonts w:ascii="Times New Roman" w:hAnsi="Times New Roman" w:cs="Times New Roman"/>
              </w:rPr>
            </w:pPr>
            <w:r w:rsidRPr="00C77FE3">
              <w:rPr>
                <w:rFonts w:ascii="Times New Roman" w:hAnsi="Times New Roman" w:cs="Times New Roman"/>
              </w:rPr>
              <w:t>Employees of XYZ are never too busy to respond to your requests.</w:t>
            </w:r>
          </w:p>
          <w:p w14:paraId="105C4CE7"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Assurance</w:t>
            </w:r>
          </w:p>
          <w:p w14:paraId="3FFEE1EE"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The behavior of employees of XYZ instills confidence in customers.</w:t>
            </w:r>
          </w:p>
          <w:p w14:paraId="302E4127"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You feel safe in your transactions with XYZ.</w:t>
            </w:r>
          </w:p>
          <w:p w14:paraId="798638E6"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Employees of XYZ are consistently courteous with you.</w:t>
            </w:r>
          </w:p>
          <w:p w14:paraId="2D41D78D"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Employees of XYZ have the knowledge to answer your questions.</w:t>
            </w:r>
          </w:p>
          <w:p w14:paraId="51F709C6"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Empathy</w:t>
            </w:r>
          </w:p>
          <w:p w14:paraId="0D3ECAB2"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XYZ gives you individual attention.</w:t>
            </w:r>
          </w:p>
          <w:p w14:paraId="3CF2D95E"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 xml:space="preserve">Employees of XYZ give </w:t>
            </w:r>
            <w:proofErr w:type="spellStart"/>
            <w:r w:rsidRPr="00C77FE3">
              <w:rPr>
                <w:rFonts w:ascii="Times New Roman" w:hAnsi="Times New Roman" w:cs="Times New Roman"/>
              </w:rPr>
              <w:t>you</w:t>
            </w:r>
            <w:proofErr w:type="spellEnd"/>
            <w:r w:rsidRPr="00C77FE3">
              <w:rPr>
                <w:rFonts w:ascii="Times New Roman" w:hAnsi="Times New Roman" w:cs="Times New Roman"/>
              </w:rPr>
              <w:t xml:space="preserve"> personal attention.</w:t>
            </w:r>
          </w:p>
          <w:p w14:paraId="4B89C8A9"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Employees of XYZ understand your specific needs.</w:t>
            </w:r>
          </w:p>
          <w:p w14:paraId="7FE3C93E"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XYZ has your best interests at heart.</w:t>
            </w:r>
          </w:p>
          <w:p w14:paraId="60AC4529" w14:textId="77777777" w:rsidR="00C77FE3" w:rsidRPr="00C77FE3" w:rsidRDefault="00C77FE3">
            <w:pPr>
              <w:pStyle w:val="ListParagraph"/>
              <w:numPr>
                <w:ilvl w:val="0"/>
                <w:numId w:val="13"/>
              </w:numPr>
              <w:spacing w:after="160" w:line="278" w:lineRule="auto"/>
              <w:rPr>
                <w:rFonts w:ascii="Times New Roman" w:hAnsi="Times New Roman" w:cs="Times New Roman"/>
              </w:rPr>
            </w:pPr>
            <w:r w:rsidRPr="00C77FE3">
              <w:rPr>
                <w:rFonts w:ascii="Times New Roman" w:hAnsi="Times New Roman" w:cs="Times New Roman"/>
              </w:rPr>
              <w:t>XYZ has operating hours convenient to all its customers.</w:t>
            </w:r>
          </w:p>
        </w:tc>
      </w:tr>
      <w:tr w:rsidR="00C77FE3" w:rsidRPr="00C77FE3" w14:paraId="06C8482D" w14:textId="77777777" w:rsidTr="00CC2398">
        <w:tc>
          <w:tcPr>
            <w:tcW w:w="1149" w:type="pct"/>
          </w:tcPr>
          <w:p w14:paraId="54F92554"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Customer engagement (CE)</w:t>
            </w:r>
          </w:p>
          <w:p w14:paraId="7519EDA4"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 xml:space="preserve">Kumar and </w:t>
            </w:r>
            <w:proofErr w:type="spellStart"/>
            <w:r w:rsidRPr="00C77FE3">
              <w:rPr>
                <w:rFonts w:ascii="Times New Roman" w:hAnsi="Times New Roman" w:cs="Times New Roman"/>
              </w:rPr>
              <w:t>Pansari</w:t>
            </w:r>
            <w:proofErr w:type="spellEnd"/>
            <w:r w:rsidRPr="00C77FE3">
              <w:rPr>
                <w:rFonts w:ascii="Times New Roman" w:hAnsi="Times New Roman" w:cs="Times New Roman"/>
              </w:rPr>
              <w:t xml:space="preserve"> (2016)</w:t>
            </w:r>
          </w:p>
        </w:tc>
        <w:tc>
          <w:tcPr>
            <w:tcW w:w="3851" w:type="pct"/>
          </w:tcPr>
          <w:p w14:paraId="7EBE9C84"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 xml:space="preserve">A 16-item survey for measuring CE. The items are measured on a 5-point Likert scale (1 = “strongly disagree,” 5 = “strongly agree”). </w:t>
            </w:r>
          </w:p>
          <w:p w14:paraId="71878264"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will continue buying the products/services of this brand in the near future.</w:t>
            </w:r>
          </w:p>
          <w:p w14:paraId="76A21BB4"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lastRenderedPageBreak/>
              <w:t>My purchases with this brand make me content.</w:t>
            </w:r>
          </w:p>
          <w:p w14:paraId="440DBF74"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do not get my money’s worth when I purchase this brand. (reverse-coded)</w:t>
            </w:r>
          </w:p>
          <w:p w14:paraId="5E7690BE"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 xml:space="preserve">Owning the products/services of this brand makes me happy. </w:t>
            </w:r>
          </w:p>
          <w:p w14:paraId="059BAD6E"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promote the brand because of the monetary referral benefits provided by the brand.</w:t>
            </w:r>
          </w:p>
          <w:p w14:paraId="405917B9"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In addition to the value derived from the product, the monetary referral incentives also encourage me to refer this brand to my friends and relatives.</w:t>
            </w:r>
          </w:p>
          <w:p w14:paraId="34EFE7FA"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enjoy referring this brand to my friends and relatives because of the monetary referral incentives.</w:t>
            </w:r>
          </w:p>
          <w:p w14:paraId="72A33E81"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Given that I use this brand, I refer my friends and relatives to this brand because of the monetary referral incentives.</w:t>
            </w:r>
          </w:p>
          <w:p w14:paraId="7BA1CF26"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do not actively discuss this brand on any media. (reverse-coded)</w:t>
            </w:r>
          </w:p>
          <w:p w14:paraId="0994E16A"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love talking about my brand experience.</w:t>
            </w:r>
          </w:p>
          <w:p w14:paraId="2F9855AF"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discuss the benefits that I get from this brand with others.</w:t>
            </w:r>
          </w:p>
          <w:p w14:paraId="021BDA91"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am a part of this brand and mention it in my conversations.</w:t>
            </w:r>
          </w:p>
          <w:p w14:paraId="019CA4CD"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provide feedback about my experiences with the brand to the firm.</w:t>
            </w:r>
          </w:p>
          <w:p w14:paraId="716B01D2"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provide suggestions for improving the performance of the brand.</w:t>
            </w:r>
          </w:p>
          <w:p w14:paraId="3131D2B7"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provide suggestions or feedback about the new products/services of the brand.</w:t>
            </w:r>
          </w:p>
          <w:p w14:paraId="5F6D7FAF" w14:textId="77777777" w:rsidR="00C77FE3" w:rsidRPr="00C77FE3" w:rsidRDefault="00C77FE3">
            <w:pPr>
              <w:pStyle w:val="ListParagraph"/>
              <w:numPr>
                <w:ilvl w:val="0"/>
                <w:numId w:val="1"/>
              </w:numPr>
              <w:spacing w:after="160" w:line="278" w:lineRule="auto"/>
              <w:rPr>
                <w:rFonts w:ascii="Times New Roman" w:hAnsi="Times New Roman" w:cs="Times New Roman"/>
              </w:rPr>
            </w:pPr>
            <w:r w:rsidRPr="00C77FE3">
              <w:rPr>
                <w:rFonts w:ascii="Times New Roman" w:hAnsi="Times New Roman" w:cs="Times New Roman"/>
              </w:rPr>
              <w:t>I provide feedback or suggestions for developing new products/services for this brand.</w:t>
            </w:r>
          </w:p>
        </w:tc>
      </w:tr>
      <w:tr w:rsidR="00C77FE3" w:rsidRPr="00C77FE3" w14:paraId="66C1909B" w14:textId="77777777" w:rsidTr="00CC2398">
        <w:tc>
          <w:tcPr>
            <w:tcW w:w="1149" w:type="pct"/>
          </w:tcPr>
          <w:p w14:paraId="4C859387"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lastRenderedPageBreak/>
              <w:t>Customer experience (CX)</w:t>
            </w:r>
          </w:p>
          <w:p w14:paraId="3B799030" w14:textId="77777777" w:rsidR="00C77FE3" w:rsidRPr="00C77FE3" w:rsidRDefault="00C77FE3" w:rsidP="00CC2398">
            <w:pPr>
              <w:rPr>
                <w:rFonts w:ascii="Times New Roman" w:hAnsi="Times New Roman" w:cs="Times New Roman"/>
              </w:rPr>
            </w:pPr>
            <w:proofErr w:type="spellStart"/>
            <w:r w:rsidRPr="00C77FE3">
              <w:rPr>
                <w:rFonts w:ascii="Times New Roman" w:hAnsi="Times New Roman" w:cs="Times New Roman"/>
              </w:rPr>
              <w:t>Gähler</w:t>
            </w:r>
            <w:proofErr w:type="spellEnd"/>
            <w:r w:rsidRPr="00C77FE3">
              <w:rPr>
                <w:rFonts w:ascii="Times New Roman" w:hAnsi="Times New Roman" w:cs="Times New Roman"/>
              </w:rPr>
              <w:t xml:space="preserve"> et al. (2023)</w:t>
            </w:r>
          </w:p>
        </w:tc>
        <w:tc>
          <w:tcPr>
            <w:tcW w:w="3851" w:type="pct"/>
          </w:tcPr>
          <w:p w14:paraId="419D5BBA"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18 items across six dimensions assessing omnichannel customer experience (1 = “strongly disagree,” 7 = “strongly agree”)</w:t>
            </w:r>
          </w:p>
          <w:p w14:paraId="4CD4C3B0" w14:textId="77777777" w:rsidR="00C77FE3" w:rsidRPr="00C77FE3" w:rsidRDefault="00C77FE3" w:rsidP="00CC2398">
            <w:pPr>
              <w:rPr>
                <w:rFonts w:ascii="Times New Roman" w:hAnsi="Times New Roman" w:cs="Times New Roman"/>
              </w:rPr>
            </w:pPr>
          </w:p>
          <w:p w14:paraId="19641DF7"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t xml:space="preserve">1. Affective Experience </w:t>
            </w:r>
          </w:p>
          <w:p w14:paraId="30DE5D34" w14:textId="77777777" w:rsidR="00C77FE3" w:rsidRPr="00C77FE3" w:rsidRDefault="00C77FE3">
            <w:pPr>
              <w:numPr>
                <w:ilvl w:val="0"/>
                <w:numId w:val="2"/>
              </w:numPr>
              <w:rPr>
                <w:rFonts w:ascii="Times New Roman" w:hAnsi="Times New Roman" w:cs="Times New Roman"/>
              </w:rPr>
            </w:pPr>
            <w:r w:rsidRPr="00C77FE3">
              <w:rPr>
                <w:rFonts w:ascii="Times New Roman" w:hAnsi="Times New Roman" w:cs="Times New Roman"/>
              </w:rPr>
              <w:t>The contact with the experience partner induced good emotions.</w:t>
            </w:r>
          </w:p>
          <w:p w14:paraId="5DAA70E0" w14:textId="77777777" w:rsidR="00C77FE3" w:rsidRPr="00C77FE3" w:rsidRDefault="00C77FE3">
            <w:pPr>
              <w:numPr>
                <w:ilvl w:val="0"/>
                <w:numId w:val="2"/>
              </w:numPr>
              <w:rPr>
                <w:rFonts w:ascii="Times New Roman" w:hAnsi="Times New Roman" w:cs="Times New Roman"/>
              </w:rPr>
            </w:pPr>
            <w:r w:rsidRPr="00C77FE3">
              <w:rPr>
                <w:rFonts w:ascii="Times New Roman" w:hAnsi="Times New Roman" w:cs="Times New Roman"/>
              </w:rPr>
              <w:t>I had positive feelings during the contact with the experience partner.</w:t>
            </w:r>
          </w:p>
          <w:p w14:paraId="6EB92B2C" w14:textId="77777777" w:rsidR="00C77FE3" w:rsidRPr="00C77FE3" w:rsidRDefault="00C77FE3">
            <w:pPr>
              <w:numPr>
                <w:ilvl w:val="0"/>
                <w:numId w:val="2"/>
              </w:numPr>
              <w:rPr>
                <w:rFonts w:ascii="Times New Roman" w:hAnsi="Times New Roman" w:cs="Times New Roman"/>
              </w:rPr>
            </w:pPr>
            <w:r w:rsidRPr="00C77FE3">
              <w:rPr>
                <w:rFonts w:ascii="Times New Roman" w:hAnsi="Times New Roman" w:cs="Times New Roman"/>
              </w:rPr>
              <w:t>The contact with the experience partner put me in a good mood.</w:t>
            </w:r>
          </w:p>
          <w:p w14:paraId="50BA231B" w14:textId="77777777" w:rsidR="00C77FE3" w:rsidRPr="00C77FE3" w:rsidRDefault="00C77FE3" w:rsidP="00CC2398">
            <w:pPr>
              <w:ind w:left="720"/>
              <w:rPr>
                <w:rFonts w:ascii="Times New Roman" w:hAnsi="Times New Roman" w:cs="Times New Roman"/>
              </w:rPr>
            </w:pPr>
          </w:p>
          <w:p w14:paraId="0FE1A0D9"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t xml:space="preserve">2. Cognitive Experience </w:t>
            </w:r>
          </w:p>
          <w:p w14:paraId="5DE456BC" w14:textId="77777777" w:rsidR="00C77FE3" w:rsidRPr="00C77FE3" w:rsidRDefault="00C77FE3">
            <w:pPr>
              <w:numPr>
                <w:ilvl w:val="0"/>
                <w:numId w:val="3"/>
              </w:numPr>
              <w:rPr>
                <w:rFonts w:ascii="Times New Roman" w:hAnsi="Times New Roman" w:cs="Times New Roman"/>
              </w:rPr>
            </w:pPr>
            <w:r w:rsidRPr="00C77FE3">
              <w:rPr>
                <w:rFonts w:ascii="Times New Roman" w:hAnsi="Times New Roman" w:cs="Times New Roman"/>
              </w:rPr>
              <w:t>The contact with the experience partner piqued my curiosity.</w:t>
            </w:r>
          </w:p>
          <w:p w14:paraId="1BE04317" w14:textId="77777777" w:rsidR="00C77FE3" w:rsidRPr="00C77FE3" w:rsidRDefault="00C77FE3">
            <w:pPr>
              <w:numPr>
                <w:ilvl w:val="0"/>
                <w:numId w:val="3"/>
              </w:numPr>
              <w:rPr>
                <w:rFonts w:ascii="Times New Roman" w:hAnsi="Times New Roman" w:cs="Times New Roman"/>
              </w:rPr>
            </w:pPr>
            <w:r w:rsidRPr="00C77FE3">
              <w:rPr>
                <w:rFonts w:ascii="Times New Roman" w:hAnsi="Times New Roman" w:cs="Times New Roman"/>
              </w:rPr>
              <w:t>I learned something beneficial during the contact with the experience partner.</w:t>
            </w:r>
          </w:p>
          <w:p w14:paraId="057A8633" w14:textId="77777777" w:rsidR="00C77FE3" w:rsidRPr="00C77FE3" w:rsidRDefault="00C77FE3">
            <w:pPr>
              <w:numPr>
                <w:ilvl w:val="0"/>
                <w:numId w:val="3"/>
              </w:numPr>
              <w:rPr>
                <w:rFonts w:ascii="Times New Roman" w:hAnsi="Times New Roman" w:cs="Times New Roman"/>
              </w:rPr>
            </w:pPr>
            <w:r w:rsidRPr="00C77FE3">
              <w:rPr>
                <w:rFonts w:ascii="Times New Roman" w:hAnsi="Times New Roman" w:cs="Times New Roman"/>
              </w:rPr>
              <w:t>I got positive insights during the contact with the experience partner.</w:t>
            </w:r>
          </w:p>
          <w:p w14:paraId="487B18E3" w14:textId="77777777" w:rsidR="00C77FE3" w:rsidRPr="00C77FE3" w:rsidRDefault="00C77FE3" w:rsidP="00CC2398">
            <w:pPr>
              <w:ind w:left="720"/>
              <w:rPr>
                <w:rFonts w:ascii="Times New Roman" w:hAnsi="Times New Roman" w:cs="Times New Roman"/>
              </w:rPr>
            </w:pPr>
          </w:p>
          <w:p w14:paraId="35768572"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t xml:space="preserve">3. Physical Experience </w:t>
            </w:r>
          </w:p>
          <w:p w14:paraId="1EEA3D1C" w14:textId="77777777" w:rsidR="00C77FE3" w:rsidRPr="00C77FE3" w:rsidRDefault="00C77FE3">
            <w:pPr>
              <w:numPr>
                <w:ilvl w:val="0"/>
                <w:numId w:val="4"/>
              </w:numPr>
              <w:rPr>
                <w:rFonts w:ascii="Times New Roman" w:hAnsi="Times New Roman" w:cs="Times New Roman"/>
              </w:rPr>
            </w:pPr>
            <w:r w:rsidRPr="00C77FE3">
              <w:rPr>
                <w:rFonts w:ascii="Times New Roman" w:hAnsi="Times New Roman" w:cs="Times New Roman"/>
              </w:rPr>
              <w:t>My physical responses during the contact with the experience partner were pleasant.</w:t>
            </w:r>
          </w:p>
          <w:p w14:paraId="1B3714B8" w14:textId="77777777" w:rsidR="00C77FE3" w:rsidRPr="00C77FE3" w:rsidRDefault="00C77FE3">
            <w:pPr>
              <w:numPr>
                <w:ilvl w:val="0"/>
                <w:numId w:val="4"/>
              </w:numPr>
              <w:rPr>
                <w:rFonts w:ascii="Times New Roman" w:hAnsi="Times New Roman" w:cs="Times New Roman"/>
              </w:rPr>
            </w:pPr>
            <w:r w:rsidRPr="00C77FE3">
              <w:rPr>
                <w:rFonts w:ascii="Times New Roman" w:hAnsi="Times New Roman" w:cs="Times New Roman"/>
              </w:rPr>
              <w:lastRenderedPageBreak/>
              <w:t>During the contact with the experience partner, I actively moved in a way I liked.</w:t>
            </w:r>
          </w:p>
          <w:p w14:paraId="2B229D81" w14:textId="77777777" w:rsidR="00C77FE3" w:rsidRPr="00C77FE3" w:rsidRDefault="00C77FE3">
            <w:pPr>
              <w:numPr>
                <w:ilvl w:val="0"/>
                <w:numId w:val="4"/>
              </w:numPr>
              <w:rPr>
                <w:rFonts w:ascii="Times New Roman" w:hAnsi="Times New Roman" w:cs="Times New Roman"/>
              </w:rPr>
            </w:pPr>
            <w:r w:rsidRPr="00C77FE3">
              <w:rPr>
                <w:rFonts w:ascii="Times New Roman" w:hAnsi="Times New Roman" w:cs="Times New Roman"/>
              </w:rPr>
              <w:t>During the contact with the experience partner, I was active in a way I liked.</w:t>
            </w:r>
          </w:p>
          <w:p w14:paraId="6A011C5A" w14:textId="77777777" w:rsidR="00C77FE3" w:rsidRPr="00C77FE3" w:rsidRDefault="00C77FE3" w:rsidP="00CC2398">
            <w:pPr>
              <w:rPr>
                <w:rFonts w:ascii="Times New Roman" w:hAnsi="Times New Roman" w:cs="Times New Roman"/>
              </w:rPr>
            </w:pPr>
          </w:p>
          <w:p w14:paraId="47A99544"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t xml:space="preserve">4. Relational Experience </w:t>
            </w:r>
          </w:p>
          <w:p w14:paraId="4FD0331C" w14:textId="77777777" w:rsidR="00C77FE3" w:rsidRPr="00C77FE3" w:rsidRDefault="00C77FE3">
            <w:pPr>
              <w:numPr>
                <w:ilvl w:val="0"/>
                <w:numId w:val="5"/>
              </w:numPr>
              <w:rPr>
                <w:rFonts w:ascii="Times New Roman" w:hAnsi="Times New Roman" w:cs="Times New Roman"/>
              </w:rPr>
            </w:pPr>
            <w:r w:rsidRPr="00C77FE3">
              <w:rPr>
                <w:rFonts w:ascii="Times New Roman" w:hAnsi="Times New Roman" w:cs="Times New Roman"/>
              </w:rPr>
              <w:t>I established a personal relationship with the experience partner.</w:t>
            </w:r>
          </w:p>
          <w:p w14:paraId="0145981C" w14:textId="77777777" w:rsidR="00C77FE3" w:rsidRPr="00C77FE3" w:rsidRDefault="00C77FE3">
            <w:pPr>
              <w:numPr>
                <w:ilvl w:val="0"/>
                <w:numId w:val="5"/>
              </w:numPr>
              <w:rPr>
                <w:rFonts w:ascii="Times New Roman" w:hAnsi="Times New Roman" w:cs="Times New Roman"/>
              </w:rPr>
            </w:pPr>
            <w:r w:rsidRPr="00C77FE3">
              <w:rPr>
                <w:rFonts w:ascii="Times New Roman" w:hAnsi="Times New Roman" w:cs="Times New Roman"/>
              </w:rPr>
              <w:t>I felt positively connected with the experience partner.</w:t>
            </w:r>
          </w:p>
          <w:p w14:paraId="65E922F7" w14:textId="77777777" w:rsidR="00C77FE3" w:rsidRPr="00C77FE3" w:rsidRDefault="00C77FE3">
            <w:pPr>
              <w:numPr>
                <w:ilvl w:val="0"/>
                <w:numId w:val="5"/>
              </w:numPr>
              <w:rPr>
                <w:rFonts w:ascii="Times New Roman" w:hAnsi="Times New Roman" w:cs="Times New Roman"/>
              </w:rPr>
            </w:pPr>
            <w:r w:rsidRPr="00C77FE3">
              <w:rPr>
                <w:rFonts w:ascii="Times New Roman" w:hAnsi="Times New Roman" w:cs="Times New Roman"/>
              </w:rPr>
              <w:t>The contact with the experience partner made me feel like I belonged to a community.</w:t>
            </w:r>
          </w:p>
          <w:p w14:paraId="3BEF51CC" w14:textId="77777777" w:rsidR="00C77FE3" w:rsidRPr="00C77FE3" w:rsidRDefault="00C77FE3" w:rsidP="00CC2398">
            <w:pPr>
              <w:ind w:left="720"/>
              <w:rPr>
                <w:rFonts w:ascii="Times New Roman" w:hAnsi="Times New Roman" w:cs="Times New Roman"/>
              </w:rPr>
            </w:pPr>
          </w:p>
          <w:p w14:paraId="6721CBE9"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t xml:space="preserve">5. Sensorial Experience </w:t>
            </w:r>
          </w:p>
          <w:p w14:paraId="16988A74" w14:textId="77777777" w:rsidR="00C77FE3" w:rsidRPr="00C77FE3" w:rsidRDefault="00C77FE3">
            <w:pPr>
              <w:numPr>
                <w:ilvl w:val="0"/>
                <w:numId w:val="6"/>
              </w:numPr>
              <w:rPr>
                <w:rFonts w:ascii="Times New Roman" w:hAnsi="Times New Roman" w:cs="Times New Roman"/>
              </w:rPr>
            </w:pPr>
            <w:r w:rsidRPr="00C77FE3">
              <w:rPr>
                <w:rFonts w:ascii="Times New Roman" w:hAnsi="Times New Roman" w:cs="Times New Roman"/>
              </w:rPr>
              <w:t>The contact with the experience partner had a positive sensory appeal.</w:t>
            </w:r>
          </w:p>
          <w:p w14:paraId="750451B0" w14:textId="77777777" w:rsidR="00C77FE3" w:rsidRPr="00C77FE3" w:rsidRDefault="00C77FE3">
            <w:pPr>
              <w:numPr>
                <w:ilvl w:val="0"/>
                <w:numId w:val="6"/>
              </w:numPr>
              <w:rPr>
                <w:rFonts w:ascii="Times New Roman" w:hAnsi="Times New Roman" w:cs="Times New Roman"/>
              </w:rPr>
            </w:pPr>
            <w:r w:rsidRPr="00C77FE3">
              <w:rPr>
                <w:rFonts w:ascii="Times New Roman" w:hAnsi="Times New Roman" w:cs="Times New Roman"/>
              </w:rPr>
              <w:t>The contact with the experience partner had a positive impact on my senses.</w:t>
            </w:r>
          </w:p>
          <w:p w14:paraId="41BECD11" w14:textId="77777777" w:rsidR="00C77FE3" w:rsidRPr="00C77FE3" w:rsidRDefault="00C77FE3">
            <w:pPr>
              <w:numPr>
                <w:ilvl w:val="0"/>
                <w:numId w:val="6"/>
              </w:numPr>
              <w:rPr>
                <w:rFonts w:ascii="Times New Roman" w:hAnsi="Times New Roman" w:cs="Times New Roman"/>
              </w:rPr>
            </w:pPr>
            <w:r w:rsidRPr="00C77FE3">
              <w:rPr>
                <w:rFonts w:ascii="Times New Roman" w:hAnsi="Times New Roman" w:cs="Times New Roman"/>
              </w:rPr>
              <w:t>The contact with the experience partner positively engaged my senses in a variety of ways.</w:t>
            </w:r>
          </w:p>
          <w:p w14:paraId="4FCDCFE1" w14:textId="77777777" w:rsidR="00C77FE3" w:rsidRPr="00C77FE3" w:rsidRDefault="00C77FE3" w:rsidP="00CC2398">
            <w:pPr>
              <w:ind w:left="720"/>
              <w:rPr>
                <w:rFonts w:ascii="Times New Roman" w:hAnsi="Times New Roman" w:cs="Times New Roman"/>
              </w:rPr>
            </w:pPr>
          </w:p>
          <w:p w14:paraId="25ACC840"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t xml:space="preserve">6. Symbolic Experience </w:t>
            </w:r>
          </w:p>
          <w:p w14:paraId="708B0D19" w14:textId="77777777" w:rsidR="00C77FE3" w:rsidRPr="00C77FE3" w:rsidRDefault="00C77FE3">
            <w:pPr>
              <w:numPr>
                <w:ilvl w:val="0"/>
                <w:numId w:val="7"/>
              </w:numPr>
              <w:rPr>
                <w:rFonts w:ascii="Times New Roman" w:hAnsi="Times New Roman" w:cs="Times New Roman"/>
              </w:rPr>
            </w:pPr>
            <w:r w:rsidRPr="00C77FE3">
              <w:rPr>
                <w:rFonts w:ascii="Times New Roman" w:hAnsi="Times New Roman" w:cs="Times New Roman"/>
              </w:rPr>
              <w:t>The contact with the experience partner was in line with my personal values.</w:t>
            </w:r>
          </w:p>
          <w:p w14:paraId="21826DB9" w14:textId="77777777" w:rsidR="00C77FE3" w:rsidRPr="00C77FE3" w:rsidRDefault="00C77FE3">
            <w:pPr>
              <w:numPr>
                <w:ilvl w:val="0"/>
                <w:numId w:val="7"/>
              </w:numPr>
              <w:rPr>
                <w:rFonts w:ascii="Times New Roman" w:hAnsi="Times New Roman" w:cs="Times New Roman"/>
              </w:rPr>
            </w:pPr>
            <w:r w:rsidRPr="00C77FE3">
              <w:rPr>
                <w:rFonts w:ascii="Times New Roman" w:hAnsi="Times New Roman" w:cs="Times New Roman"/>
              </w:rPr>
              <w:t>My personal beliefs were confirmed during the contact with the experience partner.</w:t>
            </w:r>
          </w:p>
          <w:p w14:paraId="23B80C6E" w14:textId="77777777" w:rsidR="00C77FE3" w:rsidRPr="00C77FE3" w:rsidRDefault="00C77FE3">
            <w:pPr>
              <w:numPr>
                <w:ilvl w:val="0"/>
                <w:numId w:val="7"/>
              </w:numPr>
              <w:rPr>
                <w:rFonts w:ascii="Times New Roman" w:hAnsi="Times New Roman" w:cs="Times New Roman"/>
              </w:rPr>
            </w:pPr>
            <w:r w:rsidRPr="00C77FE3">
              <w:rPr>
                <w:rFonts w:ascii="Times New Roman" w:hAnsi="Times New Roman" w:cs="Times New Roman"/>
              </w:rPr>
              <w:t>The contact with the experience partner was in line with my self-image.</w:t>
            </w:r>
          </w:p>
        </w:tc>
      </w:tr>
      <w:tr w:rsidR="00C77FE3" w:rsidRPr="00C77FE3" w14:paraId="5540F293" w14:textId="77777777" w:rsidTr="00CC2398">
        <w:tc>
          <w:tcPr>
            <w:tcW w:w="1149" w:type="pct"/>
          </w:tcPr>
          <w:p w14:paraId="2AD57070"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lastRenderedPageBreak/>
              <w:t>Customer perceived value (PERVAL)</w:t>
            </w:r>
          </w:p>
          <w:p w14:paraId="59474244"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Sweeney and Soutar (2001)</w:t>
            </w:r>
          </w:p>
          <w:p w14:paraId="1DC612C8" w14:textId="77777777" w:rsidR="00C77FE3" w:rsidRPr="00C77FE3" w:rsidRDefault="00C77FE3" w:rsidP="00CC2398">
            <w:pPr>
              <w:rPr>
                <w:rFonts w:ascii="Times New Roman" w:hAnsi="Times New Roman" w:cs="Times New Roman"/>
              </w:rPr>
            </w:pPr>
          </w:p>
        </w:tc>
        <w:tc>
          <w:tcPr>
            <w:tcW w:w="3851" w:type="pct"/>
          </w:tcPr>
          <w:p w14:paraId="52CB4198"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Multiple dimensions (1 = “strongly disagree,” 7 = “strongly agree”)</w:t>
            </w:r>
          </w:p>
          <w:p w14:paraId="5AA0543C" w14:textId="77777777" w:rsidR="00C77FE3" w:rsidRPr="00C77FE3" w:rsidRDefault="00C77FE3" w:rsidP="00CC2398">
            <w:pPr>
              <w:rPr>
                <w:rFonts w:ascii="Times New Roman" w:hAnsi="Times New Roman" w:cs="Times New Roman"/>
              </w:rPr>
            </w:pPr>
          </w:p>
          <w:p w14:paraId="53CC70D7"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t>1. Functional Value: Quality/Performance</w:t>
            </w:r>
          </w:p>
          <w:p w14:paraId="6511C949" w14:textId="77777777" w:rsidR="00C77FE3" w:rsidRPr="00C77FE3" w:rsidRDefault="00C77FE3">
            <w:pPr>
              <w:numPr>
                <w:ilvl w:val="0"/>
                <w:numId w:val="8"/>
              </w:numPr>
              <w:rPr>
                <w:rFonts w:ascii="Times New Roman" w:hAnsi="Times New Roman" w:cs="Times New Roman"/>
              </w:rPr>
            </w:pPr>
            <w:r w:rsidRPr="00C77FE3">
              <w:rPr>
                <w:rFonts w:ascii="Times New Roman" w:hAnsi="Times New Roman" w:cs="Times New Roman"/>
              </w:rPr>
              <w:t>This product has consistent quality.</w:t>
            </w:r>
          </w:p>
          <w:p w14:paraId="7663E5E9" w14:textId="77777777" w:rsidR="00C77FE3" w:rsidRPr="00C77FE3" w:rsidRDefault="00C77FE3">
            <w:pPr>
              <w:numPr>
                <w:ilvl w:val="0"/>
                <w:numId w:val="8"/>
              </w:numPr>
              <w:rPr>
                <w:rFonts w:ascii="Times New Roman" w:hAnsi="Times New Roman" w:cs="Times New Roman"/>
              </w:rPr>
            </w:pPr>
            <w:r w:rsidRPr="00C77FE3">
              <w:rPr>
                <w:rFonts w:ascii="Times New Roman" w:hAnsi="Times New Roman" w:cs="Times New Roman"/>
              </w:rPr>
              <w:t>This product is well made.</w:t>
            </w:r>
          </w:p>
          <w:p w14:paraId="7178072A" w14:textId="77777777" w:rsidR="00C77FE3" w:rsidRPr="00C77FE3" w:rsidRDefault="00C77FE3">
            <w:pPr>
              <w:numPr>
                <w:ilvl w:val="0"/>
                <w:numId w:val="8"/>
              </w:numPr>
              <w:rPr>
                <w:rFonts w:ascii="Times New Roman" w:hAnsi="Times New Roman" w:cs="Times New Roman"/>
              </w:rPr>
            </w:pPr>
            <w:r w:rsidRPr="00C77FE3">
              <w:rPr>
                <w:rFonts w:ascii="Times New Roman" w:hAnsi="Times New Roman" w:cs="Times New Roman"/>
              </w:rPr>
              <w:t>This product has an acceptable standard of quality.</w:t>
            </w:r>
          </w:p>
          <w:p w14:paraId="24B7C946" w14:textId="77777777" w:rsidR="00C77FE3" w:rsidRPr="00C77FE3" w:rsidRDefault="00C77FE3">
            <w:pPr>
              <w:numPr>
                <w:ilvl w:val="0"/>
                <w:numId w:val="8"/>
              </w:numPr>
              <w:rPr>
                <w:rFonts w:ascii="Times New Roman" w:hAnsi="Times New Roman" w:cs="Times New Roman"/>
              </w:rPr>
            </w:pPr>
            <w:r w:rsidRPr="00C77FE3">
              <w:rPr>
                <w:rFonts w:ascii="Times New Roman" w:hAnsi="Times New Roman" w:cs="Times New Roman"/>
              </w:rPr>
              <w:t>This product has poor workmanship. (reverse-coded)</w:t>
            </w:r>
          </w:p>
          <w:p w14:paraId="39B15560" w14:textId="77777777" w:rsidR="00C77FE3" w:rsidRPr="00C77FE3" w:rsidRDefault="00C77FE3">
            <w:pPr>
              <w:numPr>
                <w:ilvl w:val="0"/>
                <w:numId w:val="8"/>
              </w:numPr>
              <w:rPr>
                <w:rFonts w:ascii="Times New Roman" w:hAnsi="Times New Roman" w:cs="Times New Roman"/>
              </w:rPr>
            </w:pPr>
            <w:r w:rsidRPr="00C77FE3">
              <w:rPr>
                <w:rFonts w:ascii="Times New Roman" w:hAnsi="Times New Roman" w:cs="Times New Roman"/>
              </w:rPr>
              <w:t>This product would perform consistently.</w:t>
            </w:r>
          </w:p>
          <w:p w14:paraId="632520A2" w14:textId="77777777" w:rsidR="00C77FE3" w:rsidRPr="00C77FE3" w:rsidRDefault="00C77FE3" w:rsidP="00CC2398">
            <w:pPr>
              <w:ind w:left="720"/>
              <w:rPr>
                <w:rFonts w:ascii="Times New Roman" w:hAnsi="Times New Roman" w:cs="Times New Roman"/>
              </w:rPr>
            </w:pPr>
          </w:p>
          <w:p w14:paraId="2261E21C"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t>2. Functional Value: Price/Value for Money</w:t>
            </w:r>
          </w:p>
          <w:p w14:paraId="202C1E4C" w14:textId="77777777" w:rsidR="00C77FE3" w:rsidRPr="00C77FE3" w:rsidRDefault="00C77FE3">
            <w:pPr>
              <w:numPr>
                <w:ilvl w:val="0"/>
                <w:numId w:val="9"/>
              </w:numPr>
              <w:rPr>
                <w:rFonts w:ascii="Times New Roman" w:hAnsi="Times New Roman" w:cs="Times New Roman"/>
              </w:rPr>
            </w:pPr>
            <w:r w:rsidRPr="00C77FE3">
              <w:rPr>
                <w:rFonts w:ascii="Times New Roman" w:hAnsi="Times New Roman" w:cs="Times New Roman"/>
              </w:rPr>
              <w:t>This product is reasonably priced.</w:t>
            </w:r>
          </w:p>
          <w:p w14:paraId="57930015" w14:textId="77777777" w:rsidR="00C77FE3" w:rsidRPr="00C77FE3" w:rsidRDefault="00C77FE3">
            <w:pPr>
              <w:numPr>
                <w:ilvl w:val="0"/>
                <w:numId w:val="9"/>
              </w:numPr>
              <w:rPr>
                <w:rFonts w:ascii="Times New Roman" w:hAnsi="Times New Roman" w:cs="Times New Roman"/>
              </w:rPr>
            </w:pPr>
            <w:r w:rsidRPr="00C77FE3">
              <w:rPr>
                <w:rFonts w:ascii="Times New Roman" w:hAnsi="Times New Roman" w:cs="Times New Roman"/>
              </w:rPr>
              <w:t>This product offers value for money.</w:t>
            </w:r>
          </w:p>
          <w:p w14:paraId="3D77017E" w14:textId="77777777" w:rsidR="00C77FE3" w:rsidRPr="00C77FE3" w:rsidRDefault="00C77FE3">
            <w:pPr>
              <w:numPr>
                <w:ilvl w:val="0"/>
                <w:numId w:val="9"/>
              </w:numPr>
              <w:rPr>
                <w:rFonts w:ascii="Times New Roman" w:hAnsi="Times New Roman" w:cs="Times New Roman"/>
              </w:rPr>
            </w:pPr>
            <w:r w:rsidRPr="00C77FE3">
              <w:rPr>
                <w:rFonts w:ascii="Times New Roman" w:hAnsi="Times New Roman" w:cs="Times New Roman"/>
              </w:rPr>
              <w:t>This product is a good product for the price.</w:t>
            </w:r>
          </w:p>
          <w:p w14:paraId="19810CC7" w14:textId="77777777" w:rsidR="00C77FE3" w:rsidRPr="00C77FE3" w:rsidRDefault="00C77FE3">
            <w:pPr>
              <w:numPr>
                <w:ilvl w:val="0"/>
                <w:numId w:val="9"/>
              </w:numPr>
              <w:rPr>
                <w:rFonts w:ascii="Times New Roman" w:hAnsi="Times New Roman" w:cs="Times New Roman"/>
              </w:rPr>
            </w:pPr>
            <w:r w:rsidRPr="00C77FE3">
              <w:rPr>
                <w:rFonts w:ascii="Times New Roman" w:hAnsi="Times New Roman" w:cs="Times New Roman"/>
              </w:rPr>
              <w:t>This product would be economical.</w:t>
            </w:r>
          </w:p>
          <w:p w14:paraId="06D3E525" w14:textId="77777777" w:rsidR="00C77FE3" w:rsidRPr="00C77FE3" w:rsidRDefault="00C77FE3" w:rsidP="00CC2398">
            <w:pPr>
              <w:ind w:left="720"/>
              <w:rPr>
                <w:rFonts w:ascii="Times New Roman" w:hAnsi="Times New Roman" w:cs="Times New Roman"/>
              </w:rPr>
            </w:pPr>
          </w:p>
          <w:p w14:paraId="0A0A6E6C"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t>3. Emotional Value</w:t>
            </w:r>
          </w:p>
          <w:p w14:paraId="4D3ADEA1" w14:textId="77777777" w:rsidR="00C77FE3" w:rsidRPr="00C77FE3" w:rsidRDefault="00C77FE3">
            <w:pPr>
              <w:numPr>
                <w:ilvl w:val="0"/>
                <w:numId w:val="10"/>
              </w:numPr>
              <w:rPr>
                <w:rFonts w:ascii="Times New Roman" w:hAnsi="Times New Roman" w:cs="Times New Roman"/>
              </w:rPr>
            </w:pPr>
            <w:r w:rsidRPr="00C77FE3">
              <w:rPr>
                <w:rFonts w:ascii="Times New Roman" w:hAnsi="Times New Roman" w:cs="Times New Roman"/>
              </w:rPr>
              <w:t>This product is one that I would enjoy.</w:t>
            </w:r>
          </w:p>
          <w:p w14:paraId="667BA592" w14:textId="77777777" w:rsidR="00C77FE3" w:rsidRPr="00C77FE3" w:rsidRDefault="00C77FE3">
            <w:pPr>
              <w:numPr>
                <w:ilvl w:val="0"/>
                <w:numId w:val="10"/>
              </w:numPr>
              <w:rPr>
                <w:rFonts w:ascii="Times New Roman" w:hAnsi="Times New Roman" w:cs="Times New Roman"/>
              </w:rPr>
            </w:pPr>
            <w:r w:rsidRPr="00C77FE3">
              <w:rPr>
                <w:rFonts w:ascii="Times New Roman" w:hAnsi="Times New Roman" w:cs="Times New Roman"/>
              </w:rPr>
              <w:t>This product makes me feel good.</w:t>
            </w:r>
          </w:p>
          <w:p w14:paraId="308BBF23" w14:textId="77777777" w:rsidR="00C77FE3" w:rsidRPr="00C77FE3" w:rsidRDefault="00C77FE3">
            <w:pPr>
              <w:numPr>
                <w:ilvl w:val="0"/>
                <w:numId w:val="10"/>
              </w:numPr>
              <w:rPr>
                <w:rFonts w:ascii="Times New Roman" w:hAnsi="Times New Roman" w:cs="Times New Roman"/>
              </w:rPr>
            </w:pPr>
            <w:r w:rsidRPr="00C77FE3">
              <w:rPr>
                <w:rFonts w:ascii="Times New Roman" w:hAnsi="Times New Roman" w:cs="Times New Roman"/>
              </w:rPr>
              <w:t>This product gives me pleasure.</w:t>
            </w:r>
          </w:p>
          <w:p w14:paraId="7C30672C" w14:textId="77777777" w:rsidR="00C77FE3" w:rsidRPr="00C77FE3" w:rsidRDefault="00C77FE3" w:rsidP="00CC2398">
            <w:pPr>
              <w:rPr>
                <w:rFonts w:ascii="Times New Roman" w:hAnsi="Times New Roman" w:cs="Times New Roman"/>
              </w:rPr>
            </w:pPr>
          </w:p>
          <w:p w14:paraId="67F2EB6F"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lastRenderedPageBreak/>
              <w:t>4. Social Value</w:t>
            </w:r>
          </w:p>
          <w:p w14:paraId="6D3EE31A" w14:textId="77777777" w:rsidR="00C77FE3" w:rsidRPr="00C77FE3" w:rsidRDefault="00C77FE3">
            <w:pPr>
              <w:numPr>
                <w:ilvl w:val="0"/>
                <w:numId w:val="11"/>
              </w:numPr>
              <w:rPr>
                <w:rFonts w:ascii="Times New Roman" w:hAnsi="Times New Roman" w:cs="Times New Roman"/>
              </w:rPr>
            </w:pPr>
            <w:r w:rsidRPr="00C77FE3">
              <w:rPr>
                <w:rFonts w:ascii="Times New Roman" w:hAnsi="Times New Roman" w:cs="Times New Roman"/>
              </w:rPr>
              <w:t>This product helps me to feel acceptable.</w:t>
            </w:r>
          </w:p>
          <w:p w14:paraId="209B5E39" w14:textId="77777777" w:rsidR="00C77FE3" w:rsidRPr="00C77FE3" w:rsidRDefault="00C77FE3">
            <w:pPr>
              <w:numPr>
                <w:ilvl w:val="0"/>
                <w:numId w:val="11"/>
              </w:numPr>
              <w:rPr>
                <w:rFonts w:ascii="Times New Roman" w:hAnsi="Times New Roman" w:cs="Times New Roman"/>
              </w:rPr>
            </w:pPr>
            <w:r w:rsidRPr="00C77FE3">
              <w:rPr>
                <w:rFonts w:ascii="Times New Roman" w:hAnsi="Times New Roman" w:cs="Times New Roman"/>
              </w:rPr>
              <w:t>This product improves the way I am perceived.</w:t>
            </w:r>
          </w:p>
          <w:p w14:paraId="037A7B44" w14:textId="77777777" w:rsidR="00C77FE3" w:rsidRPr="00C77FE3" w:rsidRDefault="00C77FE3">
            <w:pPr>
              <w:numPr>
                <w:ilvl w:val="0"/>
                <w:numId w:val="11"/>
              </w:numPr>
              <w:rPr>
                <w:rFonts w:ascii="Times New Roman" w:hAnsi="Times New Roman" w:cs="Times New Roman"/>
              </w:rPr>
            </w:pPr>
            <w:r w:rsidRPr="00C77FE3">
              <w:rPr>
                <w:rFonts w:ascii="Times New Roman" w:hAnsi="Times New Roman" w:cs="Times New Roman"/>
              </w:rPr>
              <w:t>This product makes a good impression on other people.</w:t>
            </w:r>
          </w:p>
          <w:p w14:paraId="0CD788EB" w14:textId="77777777" w:rsidR="00C77FE3" w:rsidRPr="00C77FE3" w:rsidRDefault="00C77FE3">
            <w:pPr>
              <w:numPr>
                <w:ilvl w:val="0"/>
                <w:numId w:val="11"/>
              </w:numPr>
              <w:rPr>
                <w:rFonts w:ascii="Times New Roman" w:hAnsi="Times New Roman" w:cs="Times New Roman"/>
              </w:rPr>
            </w:pPr>
            <w:r w:rsidRPr="00C77FE3">
              <w:rPr>
                <w:rFonts w:ascii="Times New Roman" w:hAnsi="Times New Roman" w:cs="Times New Roman"/>
              </w:rPr>
              <w:t>This product gives its owner social approval.</w:t>
            </w:r>
          </w:p>
          <w:p w14:paraId="43AC4F1A" w14:textId="77777777" w:rsidR="00C77FE3" w:rsidRPr="00C77FE3" w:rsidRDefault="00C77FE3" w:rsidP="00CC2398">
            <w:pPr>
              <w:rPr>
                <w:rFonts w:ascii="Times New Roman" w:hAnsi="Times New Roman" w:cs="Times New Roman"/>
              </w:rPr>
            </w:pPr>
          </w:p>
          <w:p w14:paraId="446366F8" w14:textId="77777777" w:rsidR="00C77FE3" w:rsidRPr="00C77FE3" w:rsidRDefault="00C77FE3" w:rsidP="00CC2398">
            <w:pPr>
              <w:rPr>
                <w:rFonts w:ascii="Times New Roman" w:hAnsi="Times New Roman" w:cs="Times New Roman"/>
                <w:b/>
                <w:bCs/>
              </w:rPr>
            </w:pPr>
            <w:r w:rsidRPr="00C77FE3">
              <w:rPr>
                <w:rFonts w:ascii="Times New Roman" w:hAnsi="Times New Roman" w:cs="Times New Roman"/>
                <w:b/>
                <w:bCs/>
              </w:rPr>
              <w:t>5. Functional Value: Flexibility (optional subdimension in early stages)</w:t>
            </w:r>
          </w:p>
          <w:p w14:paraId="34721FB8" w14:textId="77777777" w:rsidR="00C77FE3" w:rsidRPr="00C77FE3" w:rsidRDefault="00C77FE3">
            <w:pPr>
              <w:numPr>
                <w:ilvl w:val="0"/>
                <w:numId w:val="12"/>
              </w:numPr>
              <w:rPr>
                <w:rFonts w:ascii="Times New Roman" w:hAnsi="Times New Roman" w:cs="Times New Roman"/>
              </w:rPr>
            </w:pPr>
            <w:r w:rsidRPr="00C77FE3">
              <w:rPr>
                <w:rFonts w:ascii="Times New Roman" w:hAnsi="Times New Roman" w:cs="Times New Roman"/>
              </w:rPr>
              <w:t>This product can be used in many different situations.</w:t>
            </w:r>
          </w:p>
          <w:p w14:paraId="1937B7B4" w14:textId="77777777" w:rsidR="00C77FE3" w:rsidRPr="00C77FE3" w:rsidRDefault="00C77FE3">
            <w:pPr>
              <w:numPr>
                <w:ilvl w:val="0"/>
                <w:numId w:val="12"/>
              </w:numPr>
              <w:rPr>
                <w:rFonts w:ascii="Times New Roman" w:hAnsi="Times New Roman" w:cs="Times New Roman"/>
              </w:rPr>
            </w:pPr>
            <w:r w:rsidRPr="00C77FE3">
              <w:rPr>
                <w:rFonts w:ascii="Times New Roman" w:hAnsi="Times New Roman" w:cs="Times New Roman"/>
              </w:rPr>
              <w:t>This product is versatile.</w:t>
            </w:r>
          </w:p>
          <w:p w14:paraId="098F3069" w14:textId="77777777" w:rsidR="00C77FE3" w:rsidRPr="00C77FE3" w:rsidRDefault="00C77FE3">
            <w:pPr>
              <w:numPr>
                <w:ilvl w:val="0"/>
                <w:numId w:val="12"/>
              </w:numPr>
              <w:rPr>
                <w:rFonts w:ascii="Times New Roman" w:hAnsi="Times New Roman" w:cs="Times New Roman"/>
              </w:rPr>
            </w:pPr>
            <w:r w:rsidRPr="00C77FE3">
              <w:rPr>
                <w:rFonts w:ascii="Times New Roman" w:hAnsi="Times New Roman" w:cs="Times New Roman"/>
              </w:rPr>
              <w:t>This product is adaptable to different needs.</w:t>
            </w:r>
          </w:p>
        </w:tc>
      </w:tr>
      <w:tr w:rsidR="00C77FE3" w:rsidRPr="00C77FE3" w14:paraId="0C98B0DE" w14:textId="77777777" w:rsidTr="00CC2398">
        <w:tc>
          <w:tcPr>
            <w:tcW w:w="1149" w:type="pct"/>
          </w:tcPr>
          <w:p w14:paraId="37A6E7B7"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lastRenderedPageBreak/>
              <w:t>Customer value</w:t>
            </w:r>
          </w:p>
          <w:p w14:paraId="19142A0E" w14:textId="77777777" w:rsidR="00C77FE3" w:rsidRPr="00C77FE3" w:rsidRDefault="00C77FE3" w:rsidP="00CC2398">
            <w:pPr>
              <w:rPr>
                <w:rFonts w:ascii="Times New Roman" w:hAnsi="Times New Roman" w:cs="Times New Roman"/>
              </w:rPr>
            </w:pPr>
            <w:proofErr w:type="spellStart"/>
            <w:r w:rsidRPr="00C77FE3">
              <w:rPr>
                <w:rFonts w:ascii="Times New Roman" w:hAnsi="Times New Roman" w:cs="Times New Roman"/>
                <w:sz w:val="23"/>
              </w:rPr>
              <w:t>Keiningham</w:t>
            </w:r>
            <w:proofErr w:type="spellEnd"/>
            <w:r w:rsidRPr="00C77FE3">
              <w:rPr>
                <w:rFonts w:ascii="Times New Roman" w:hAnsi="Times New Roman" w:cs="Times New Roman"/>
                <w:sz w:val="23"/>
              </w:rPr>
              <w:t xml:space="preserve"> et al. (2007)</w:t>
            </w:r>
          </w:p>
        </w:tc>
        <w:tc>
          <w:tcPr>
            <w:tcW w:w="3851" w:type="pct"/>
          </w:tcPr>
          <w:p w14:paraId="359E1502" w14:textId="77777777" w:rsidR="00C77FE3" w:rsidRPr="00C77FE3" w:rsidRDefault="00C77FE3" w:rsidP="00CC2398">
            <w:pPr>
              <w:rPr>
                <w:rFonts w:ascii="Times New Roman" w:hAnsi="Times New Roman" w:cs="Times New Roman"/>
              </w:rPr>
            </w:pPr>
            <w:r w:rsidRPr="00C77FE3">
              <w:rPr>
                <w:rFonts w:ascii="Times New Roman" w:hAnsi="Times New Roman" w:cs="Times New Roman"/>
              </w:rPr>
              <w:t>Please tell me how much you agree with the statement: “(Company or Brand X) is worth what I pay for it.” (10 = “strongly agree,” 1 = “strongly disagree”)</w:t>
            </w:r>
          </w:p>
        </w:tc>
      </w:tr>
    </w:tbl>
    <w:p w14:paraId="58C5DE88" w14:textId="77777777" w:rsidR="00C77FE3" w:rsidRPr="00C77FE3" w:rsidRDefault="00C77FE3" w:rsidP="00C77FE3">
      <w:pPr>
        <w:rPr>
          <w:b/>
          <w:bCs/>
        </w:rPr>
      </w:pPr>
    </w:p>
    <w:p w14:paraId="39F6F5DA" w14:textId="77777777" w:rsidR="00C77FE3" w:rsidRPr="00C77FE3" w:rsidRDefault="00C77FE3" w:rsidP="00C77FE3">
      <w:pPr>
        <w:rPr>
          <w:b/>
          <w:bCs/>
        </w:rPr>
      </w:pPr>
      <w:r w:rsidRPr="00C77FE3">
        <w:rPr>
          <w:b/>
          <w:bCs/>
        </w:rPr>
        <w:t>References</w:t>
      </w:r>
    </w:p>
    <w:p w14:paraId="52427BFE" w14:textId="77777777" w:rsidR="00C77FE3" w:rsidRPr="009860BE" w:rsidRDefault="00C77FE3" w:rsidP="00C77FE3">
      <w:pPr>
        <w:pStyle w:val="Bibliography"/>
        <w:rPr>
          <w:sz w:val="23"/>
          <w:szCs w:val="23"/>
        </w:rPr>
      </w:pPr>
      <w:proofErr w:type="spellStart"/>
      <w:r w:rsidRPr="009C21E8">
        <w:rPr>
          <w:sz w:val="23"/>
          <w:szCs w:val="23"/>
          <w:lang w:val="fr-FR"/>
        </w:rPr>
        <w:t>Gähler</w:t>
      </w:r>
      <w:proofErr w:type="spellEnd"/>
      <w:r w:rsidRPr="009C21E8">
        <w:rPr>
          <w:sz w:val="23"/>
          <w:szCs w:val="23"/>
          <w:lang w:val="fr-FR"/>
        </w:rPr>
        <w:t xml:space="preserve">, M., Klein, J. F., &amp; Paul, M. (2023). </w:t>
      </w:r>
      <w:r w:rsidRPr="009860BE">
        <w:rPr>
          <w:sz w:val="23"/>
          <w:szCs w:val="23"/>
        </w:rPr>
        <w:t>Customer experience: Conceptualization, measurement, and application in omnichannel environments. </w:t>
      </w:r>
      <w:r w:rsidRPr="009860BE">
        <w:rPr>
          <w:i/>
          <w:iCs/>
          <w:sz w:val="23"/>
          <w:szCs w:val="23"/>
        </w:rPr>
        <w:t>Journal of Service Research</w:t>
      </w:r>
      <w:r w:rsidRPr="009860BE">
        <w:rPr>
          <w:sz w:val="23"/>
          <w:szCs w:val="23"/>
        </w:rPr>
        <w:t>, 26(2), 191</w:t>
      </w:r>
      <w:r>
        <w:rPr>
          <w:sz w:val="23"/>
          <w:szCs w:val="23"/>
        </w:rPr>
        <w:t>–</w:t>
      </w:r>
      <w:r w:rsidRPr="009860BE">
        <w:rPr>
          <w:sz w:val="23"/>
          <w:szCs w:val="23"/>
        </w:rPr>
        <w:t>211.</w:t>
      </w:r>
    </w:p>
    <w:p w14:paraId="5B9BAA45" w14:textId="77777777" w:rsidR="00C77FE3" w:rsidRPr="00BA0363" w:rsidRDefault="00C77FE3" w:rsidP="00C77FE3">
      <w:pPr>
        <w:pStyle w:val="Bibliography"/>
        <w:rPr>
          <w:sz w:val="23"/>
          <w:szCs w:val="23"/>
        </w:rPr>
      </w:pPr>
      <w:proofErr w:type="spellStart"/>
      <w:r w:rsidRPr="00BA0363">
        <w:rPr>
          <w:sz w:val="23"/>
          <w:szCs w:val="23"/>
        </w:rPr>
        <w:t>Keiningham</w:t>
      </w:r>
      <w:proofErr w:type="spellEnd"/>
      <w:r w:rsidRPr="00BA0363">
        <w:rPr>
          <w:sz w:val="23"/>
          <w:szCs w:val="23"/>
        </w:rPr>
        <w:t xml:space="preserve">, T. L., Cooil, B., Aksoy, L., Andreassen, T. W., &amp; Weiner, J. (2007). The value of different customer satisfaction and loyalty metrics in predicting customer retention, recommendation, and share‐of‐wallet. </w:t>
      </w:r>
      <w:r w:rsidRPr="00BA0363">
        <w:rPr>
          <w:i/>
          <w:iCs/>
          <w:sz w:val="23"/>
          <w:szCs w:val="23"/>
        </w:rPr>
        <w:t>Managing Service Quality</w:t>
      </w:r>
      <w:r w:rsidRPr="00BA0363">
        <w:rPr>
          <w:sz w:val="23"/>
          <w:szCs w:val="23"/>
        </w:rPr>
        <w:t xml:space="preserve">, </w:t>
      </w:r>
      <w:r w:rsidRPr="00BA0363">
        <w:rPr>
          <w:i/>
          <w:iCs/>
          <w:sz w:val="23"/>
          <w:szCs w:val="23"/>
        </w:rPr>
        <w:t>17</w:t>
      </w:r>
      <w:r w:rsidRPr="00BA0363">
        <w:rPr>
          <w:sz w:val="23"/>
          <w:szCs w:val="23"/>
        </w:rPr>
        <w:t>(4), 361–384. https://doi.org/10.1108/09604520710760526</w:t>
      </w:r>
    </w:p>
    <w:p w14:paraId="7DE00197" w14:textId="77777777" w:rsidR="00C77FE3" w:rsidRDefault="00C77FE3" w:rsidP="00C77FE3">
      <w:pPr>
        <w:pStyle w:val="Bibliography"/>
        <w:rPr>
          <w:sz w:val="23"/>
          <w:szCs w:val="23"/>
        </w:rPr>
      </w:pPr>
      <w:r w:rsidRPr="00BA0363">
        <w:rPr>
          <w:sz w:val="23"/>
          <w:szCs w:val="23"/>
        </w:rPr>
        <w:t xml:space="preserve">Kumar, V., &amp; </w:t>
      </w:r>
      <w:proofErr w:type="spellStart"/>
      <w:r w:rsidRPr="00BA0363">
        <w:rPr>
          <w:sz w:val="23"/>
          <w:szCs w:val="23"/>
        </w:rPr>
        <w:t>Pansari</w:t>
      </w:r>
      <w:proofErr w:type="spellEnd"/>
      <w:r w:rsidRPr="00BA0363">
        <w:rPr>
          <w:sz w:val="23"/>
          <w:szCs w:val="23"/>
        </w:rPr>
        <w:t xml:space="preserve">, A. (2016). Competitive advantage through engagement. </w:t>
      </w:r>
      <w:r w:rsidRPr="00BA0363">
        <w:rPr>
          <w:i/>
          <w:iCs/>
          <w:sz w:val="23"/>
          <w:szCs w:val="23"/>
        </w:rPr>
        <w:t xml:space="preserve">Journal of </w:t>
      </w:r>
      <w:r>
        <w:rPr>
          <w:i/>
          <w:iCs/>
          <w:sz w:val="23"/>
          <w:szCs w:val="23"/>
        </w:rPr>
        <w:t>M</w:t>
      </w:r>
      <w:r w:rsidRPr="00BA0363">
        <w:rPr>
          <w:i/>
          <w:iCs/>
          <w:sz w:val="23"/>
          <w:szCs w:val="23"/>
        </w:rPr>
        <w:t xml:space="preserve">arketing </w:t>
      </w:r>
      <w:r>
        <w:rPr>
          <w:i/>
          <w:iCs/>
          <w:sz w:val="23"/>
          <w:szCs w:val="23"/>
        </w:rPr>
        <w:t>R</w:t>
      </w:r>
      <w:r w:rsidRPr="00BA0363">
        <w:rPr>
          <w:i/>
          <w:iCs/>
          <w:sz w:val="23"/>
          <w:szCs w:val="23"/>
        </w:rPr>
        <w:t>esearch</w:t>
      </w:r>
      <w:r w:rsidRPr="00BA0363">
        <w:rPr>
          <w:sz w:val="23"/>
          <w:szCs w:val="23"/>
        </w:rPr>
        <w:t xml:space="preserve">, </w:t>
      </w:r>
      <w:r w:rsidRPr="00BA0363">
        <w:rPr>
          <w:i/>
          <w:iCs/>
          <w:sz w:val="23"/>
          <w:szCs w:val="23"/>
        </w:rPr>
        <w:t>53</w:t>
      </w:r>
      <w:r w:rsidRPr="00BA0363">
        <w:rPr>
          <w:sz w:val="23"/>
          <w:szCs w:val="23"/>
        </w:rPr>
        <w:t xml:space="preserve">(4), 497–514. </w:t>
      </w:r>
      <w:hyperlink r:id="rId6" w:history="1">
        <w:r w:rsidRPr="00C4600C">
          <w:rPr>
            <w:rStyle w:val="Hyperlink"/>
            <w:sz w:val="23"/>
            <w:szCs w:val="23"/>
          </w:rPr>
          <w:t>https://doi.org/10.1509/jmr.15.0044</w:t>
        </w:r>
      </w:hyperlink>
    </w:p>
    <w:p w14:paraId="15A9E69C" w14:textId="77777777" w:rsidR="00C77FE3" w:rsidRDefault="00C77FE3" w:rsidP="00C77FE3">
      <w:pPr>
        <w:pStyle w:val="Bibliography"/>
        <w:rPr>
          <w:sz w:val="23"/>
          <w:szCs w:val="23"/>
        </w:rPr>
      </w:pPr>
      <w:r w:rsidRPr="00BA0363">
        <w:rPr>
          <w:sz w:val="23"/>
          <w:szCs w:val="23"/>
        </w:rPr>
        <w:t xml:space="preserve">Parasuraman, A., Zeithaml, V. A., &amp; Berry, L. (1988). SERVQUAL: A multiple-item scale for measuring consumer perceptions of service quality. </w:t>
      </w:r>
      <w:r>
        <w:rPr>
          <w:i/>
          <w:iCs/>
          <w:sz w:val="23"/>
          <w:szCs w:val="23"/>
        </w:rPr>
        <w:t>Journal of Retailing</w:t>
      </w:r>
      <w:r w:rsidRPr="00BA0363">
        <w:rPr>
          <w:sz w:val="23"/>
          <w:szCs w:val="23"/>
        </w:rPr>
        <w:t xml:space="preserve">, </w:t>
      </w:r>
      <w:r w:rsidRPr="00BA0363">
        <w:rPr>
          <w:i/>
          <w:iCs/>
          <w:sz w:val="23"/>
          <w:szCs w:val="23"/>
        </w:rPr>
        <w:t>64</w:t>
      </w:r>
      <w:r w:rsidRPr="00BA0363">
        <w:rPr>
          <w:sz w:val="23"/>
          <w:szCs w:val="23"/>
        </w:rPr>
        <w:t>(1), 12–40.</w:t>
      </w:r>
    </w:p>
    <w:p w14:paraId="32009F9A" w14:textId="77777777" w:rsidR="00C77FE3" w:rsidRPr="009860BE" w:rsidRDefault="00C77FE3" w:rsidP="00C77FE3">
      <w:pPr>
        <w:pStyle w:val="Bibliography"/>
        <w:rPr>
          <w:sz w:val="23"/>
          <w:szCs w:val="23"/>
        </w:rPr>
      </w:pPr>
      <w:r w:rsidRPr="009860BE">
        <w:rPr>
          <w:sz w:val="23"/>
          <w:szCs w:val="23"/>
        </w:rPr>
        <w:t>Sweeney, J. C., &amp; Soutar, G. N. (2001). Consumer perceived value: The development of a multiple item scale. </w:t>
      </w:r>
      <w:r w:rsidRPr="009860BE">
        <w:rPr>
          <w:i/>
          <w:iCs/>
          <w:sz w:val="23"/>
          <w:szCs w:val="23"/>
        </w:rPr>
        <w:t xml:space="preserve">Journal of </w:t>
      </w:r>
      <w:r>
        <w:rPr>
          <w:i/>
          <w:iCs/>
          <w:sz w:val="23"/>
          <w:szCs w:val="23"/>
        </w:rPr>
        <w:t>R</w:t>
      </w:r>
      <w:r w:rsidRPr="009860BE">
        <w:rPr>
          <w:i/>
          <w:iCs/>
          <w:sz w:val="23"/>
          <w:szCs w:val="23"/>
        </w:rPr>
        <w:t>etailing</w:t>
      </w:r>
      <w:r w:rsidRPr="009C21E8">
        <w:rPr>
          <w:i/>
          <w:iCs/>
          <w:sz w:val="23"/>
          <w:szCs w:val="23"/>
        </w:rPr>
        <w:t>, 77</w:t>
      </w:r>
      <w:r w:rsidRPr="009860BE">
        <w:rPr>
          <w:sz w:val="23"/>
          <w:szCs w:val="23"/>
        </w:rPr>
        <w:t>(2), 203</w:t>
      </w:r>
      <w:r>
        <w:rPr>
          <w:sz w:val="23"/>
          <w:szCs w:val="23"/>
        </w:rPr>
        <w:t>–</w:t>
      </w:r>
      <w:r w:rsidRPr="009860BE">
        <w:rPr>
          <w:sz w:val="23"/>
          <w:szCs w:val="23"/>
        </w:rPr>
        <w:t>220.</w:t>
      </w:r>
    </w:p>
    <w:p w14:paraId="5CF7A1DF" w14:textId="77777777" w:rsidR="00C77FE3" w:rsidRDefault="00C77FE3" w:rsidP="00C77FE3">
      <w:pPr>
        <w:spacing w:line="480" w:lineRule="auto"/>
        <w:jc w:val="center"/>
        <w:rPr>
          <w:b/>
          <w:bCs/>
          <w:sz w:val="23"/>
          <w:szCs w:val="23"/>
        </w:rPr>
      </w:pPr>
    </w:p>
    <w:p w14:paraId="2309DA6E" w14:textId="77777777" w:rsidR="00C77FE3" w:rsidRDefault="00C77FE3" w:rsidP="00C77FE3">
      <w:pPr>
        <w:spacing w:line="480" w:lineRule="auto"/>
        <w:jc w:val="center"/>
        <w:rPr>
          <w:b/>
          <w:bCs/>
          <w:sz w:val="23"/>
          <w:szCs w:val="23"/>
        </w:rPr>
      </w:pPr>
    </w:p>
    <w:p w14:paraId="4C0D6F73" w14:textId="77777777" w:rsidR="00C77FE3" w:rsidRDefault="00C77FE3" w:rsidP="00C77FE3">
      <w:pPr>
        <w:spacing w:line="480" w:lineRule="auto"/>
        <w:jc w:val="center"/>
        <w:rPr>
          <w:b/>
          <w:bCs/>
          <w:sz w:val="23"/>
          <w:szCs w:val="23"/>
        </w:rPr>
        <w:sectPr w:rsidR="00C77FE3" w:rsidSect="00C77FE3">
          <w:pgSz w:w="12240" w:h="15840"/>
          <w:pgMar w:top="1440" w:right="1440" w:bottom="1440" w:left="1440" w:header="720" w:footer="720" w:gutter="0"/>
          <w:cols w:space="720"/>
          <w:docGrid w:linePitch="360"/>
        </w:sect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2"/>
        <w:gridCol w:w="1899"/>
        <w:gridCol w:w="5442"/>
        <w:gridCol w:w="1308"/>
        <w:gridCol w:w="2948"/>
      </w:tblGrid>
      <w:tr w:rsidR="00C77FE3" w:rsidRPr="00A66211" w14:paraId="5D45175D" w14:textId="77777777" w:rsidTr="00CC2398">
        <w:trPr>
          <w:trHeight w:val="293"/>
        </w:trPr>
        <w:tc>
          <w:tcPr>
            <w:tcW w:w="5000" w:type="pct"/>
            <w:gridSpan w:val="5"/>
          </w:tcPr>
          <w:p w14:paraId="3A795F2D" w14:textId="77777777" w:rsidR="00C77FE3" w:rsidRPr="00945C2E" w:rsidRDefault="00C77FE3" w:rsidP="00CC2398">
            <w:pPr>
              <w:spacing w:after="120"/>
              <w:ind w:left="360" w:hanging="360"/>
              <w:jc w:val="center"/>
              <w:rPr>
                <w:b/>
                <w:bCs/>
                <w:color w:val="000000"/>
              </w:rPr>
            </w:pPr>
            <w:r w:rsidRPr="00F611CA">
              <w:rPr>
                <w:b/>
                <w:bCs/>
              </w:rPr>
              <w:lastRenderedPageBreak/>
              <w:t xml:space="preserve">Web Appendix </w:t>
            </w:r>
            <w:r>
              <w:rPr>
                <w:b/>
                <w:bCs/>
              </w:rPr>
              <w:t>C</w:t>
            </w:r>
            <w:r w:rsidRPr="00F611CA">
              <w:rPr>
                <w:b/>
                <w:bCs/>
              </w:rPr>
              <w:t xml:space="preserve">: </w:t>
            </w:r>
            <w:r w:rsidRPr="00945C2E">
              <w:rPr>
                <w:b/>
                <w:bCs/>
                <w:color w:val="000000"/>
              </w:rPr>
              <w:t xml:space="preserve">Historical Overview of </w:t>
            </w:r>
            <w:r>
              <w:rPr>
                <w:b/>
                <w:bCs/>
                <w:color w:val="000000"/>
              </w:rPr>
              <w:t>Customer Satisfaction (CSAT)</w:t>
            </w:r>
            <w:r w:rsidRPr="00945C2E">
              <w:rPr>
                <w:b/>
                <w:bCs/>
                <w:color w:val="000000"/>
              </w:rPr>
              <w:t xml:space="preserve"> Research</w:t>
            </w:r>
          </w:p>
        </w:tc>
      </w:tr>
      <w:tr w:rsidR="00C77FE3" w:rsidRPr="00945C2E" w14:paraId="4877680E" w14:textId="77777777" w:rsidTr="00CC2398">
        <w:trPr>
          <w:trHeight w:val="293"/>
        </w:trPr>
        <w:tc>
          <w:tcPr>
            <w:tcW w:w="610" w:type="pct"/>
            <w:hideMark/>
          </w:tcPr>
          <w:p w14:paraId="3E9E38B5" w14:textId="77777777" w:rsidR="00C77FE3" w:rsidRPr="00945C2E" w:rsidRDefault="00C77FE3" w:rsidP="00CC2398">
            <w:pPr>
              <w:widowControl w:val="0"/>
              <w:suppressAutoHyphens/>
              <w:rPr>
                <w:b/>
                <w:bCs/>
                <w:color w:val="000000"/>
              </w:rPr>
            </w:pPr>
            <w:r w:rsidRPr="00945C2E">
              <w:rPr>
                <w:b/>
                <w:bCs/>
                <w:color w:val="000000"/>
              </w:rPr>
              <w:t>Article</w:t>
            </w:r>
          </w:p>
        </w:tc>
        <w:tc>
          <w:tcPr>
            <w:tcW w:w="719" w:type="pct"/>
            <w:hideMark/>
          </w:tcPr>
          <w:p w14:paraId="56F23D23" w14:textId="77777777" w:rsidR="00C77FE3" w:rsidRPr="00945C2E" w:rsidRDefault="00C77FE3" w:rsidP="00CC2398">
            <w:pPr>
              <w:widowControl w:val="0"/>
              <w:suppressAutoHyphens/>
              <w:rPr>
                <w:b/>
                <w:bCs/>
                <w:color w:val="000000"/>
              </w:rPr>
            </w:pPr>
            <w:r w:rsidRPr="00945C2E">
              <w:rPr>
                <w:b/>
                <w:bCs/>
                <w:color w:val="000000"/>
              </w:rPr>
              <w:t>Area of Focus</w:t>
            </w:r>
          </w:p>
        </w:tc>
        <w:tc>
          <w:tcPr>
            <w:tcW w:w="2060" w:type="pct"/>
            <w:hideMark/>
          </w:tcPr>
          <w:p w14:paraId="26204933" w14:textId="77777777" w:rsidR="00C77FE3" w:rsidRPr="00945C2E" w:rsidRDefault="00C77FE3" w:rsidP="00CC2398">
            <w:pPr>
              <w:widowControl w:val="0"/>
              <w:suppressAutoHyphens/>
              <w:rPr>
                <w:b/>
                <w:bCs/>
                <w:color w:val="000000"/>
              </w:rPr>
            </w:pPr>
            <w:r w:rsidRPr="00945C2E">
              <w:rPr>
                <w:b/>
                <w:bCs/>
                <w:color w:val="000000"/>
              </w:rPr>
              <w:t>Key Findings</w:t>
            </w:r>
          </w:p>
        </w:tc>
        <w:tc>
          <w:tcPr>
            <w:tcW w:w="495" w:type="pct"/>
            <w:hideMark/>
          </w:tcPr>
          <w:p w14:paraId="3FA4E911" w14:textId="77777777" w:rsidR="00C77FE3" w:rsidRPr="00945C2E" w:rsidRDefault="00C77FE3" w:rsidP="00CC2398">
            <w:pPr>
              <w:widowControl w:val="0"/>
              <w:suppressAutoHyphens/>
              <w:rPr>
                <w:b/>
                <w:bCs/>
                <w:color w:val="000000"/>
              </w:rPr>
            </w:pPr>
            <w:r>
              <w:rPr>
                <w:b/>
                <w:bCs/>
                <w:color w:val="000000"/>
              </w:rPr>
              <w:t>Level</w:t>
            </w:r>
            <w:r w:rsidRPr="00945C2E">
              <w:rPr>
                <w:b/>
                <w:bCs/>
                <w:color w:val="000000"/>
              </w:rPr>
              <w:t xml:space="preserve"> of Analysis</w:t>
            </w:r>
          </w:p>
        </w:tc>
        <w:tc>
          <w:tcPr>
            <w:tcW w:w="1116" w:type="pct"/>
            <w:hideMark/>
          </w:tcPr>
          <w:p w14:paraId="348E0C37" w14:textId="77777777" w:rsidR="00C77FE3" w:rsidRPr="00945C2E" w:rsidRDefault="00C77FE3" w:rsidP="00CC2398">
            <w:pPr>
              <w:widowControl w:val="0"/>
              <w:suppressAutoHyphens/>
              <w:rPr>
                <w:b/>
                <w:bCs/>
                <w:color w:val="000000"/>
              </w:rPr>
            </w:pPr>
            <w:r w:rsidRPr="00945C2E">
              <w:rPr>
                <w:b/>
                <w:bCs/>
                <w:color w:val="000000"/>
              </w:rPr>
              <w:t>Moderators</w:t>
            </w:r>
          </w:p>
        </w:tc>
      </w:tr>
      <w:tr w:rsidR="00C77FE3" w:rsidRPr="00945C2E" w14:paraId="4E9F95EC" w14:textId="77777777" w:rsidTr="00CC2398">
        <w:trPr>
          <w:trHeight w:val="293"/>
        </w:trPr>
        <w:tc>
          <w:tcPr>
            <w:tcW w:w="5000" w:type="pct"/>
            <w:gridSpan w:val="5"/>
          </w:tcPr>
          <w:p w14:paraId="27DFC544" w14:textId="77777777" w:rsidR="00C77FE3" w:rsidRPr="00945C2E" w:rsidRDefault="00C77FE3" w:rsidP="00CC2398">
            <w:pPr>
              <w:widowControl w:val="0"/>
              <w:suppressAutoHyphens/>
              <w:rPr>
                <w:b/>
                <w:bCs/>
              </w:rPr>
            </w:pPr>
            <w:r w:rsidRPr="00945C2E">
              <w:rPr>
                <w:b/>
                <w:bCs/>
              </w:rPr>
              <w:t xml:space="preserve">Pre-1980: Exploring </w:t>
            </w:r>
            <w:r>
              <w:rPr>
                <w:b/>
                <w:bCs/>
              </w:rPr>
              <w:t>t</w:t>
            </w:r>
            <w:r w:rsidRPr="00945C2E">
              <w:rPr>
                <w:b/>
                <w:bCs/>
              </w:rPr>
              <w:t>he Terrain</w:t>
            </w:r>
          </w:p>
        </w:tc>
      </w:tr>
      <w:tr w:rsidR="00C77FE3" w:rsidRPr="00945C2E" w14:paraId="0BECDD3D" w14:textId="77777777" w:rsidTr="00CC2398">
        <w:trPr>
          <w:trHeight w:val="293"/>
        </w:trPr>
        <w:tc>
          <w:tcPr>
            <w:tcW w:w="610" w:type="pct"/>
          </w:tcPr>
          <w:p w14:paraId="5B475EDE" w14:textId="77777777" w:rsidR="00C77FE3" w:rsidRPr="00945C2E" w:rsidRDefault="00C77FE3" w:rsidP="00CC2398">
            <w:pPr>
              <w:widowControl w:val="0"/>
              <w:suppressAutoHyphens/>
              <w:rPr>
                <w:b/>
                <w:bCs/>
                <w:color w:val="000000"/>
              </w:rPr>
            </w:pPr>
            <w:r w:rsidRPr="00945C2E">
              <w:t>Kotler and Levy (1969)</w:t>
            </w:r>
          </w:p>
        </w:tc>
        <w:tc>
          <w:tcPr>
            <w:tcW w:w="719" w:type="pct"/>
          </w:tcPr>
          <w:p w14:paraId="5C0F4636" w14:textId="77777777" w:rsidR="00C77FE3" w:rsidRPr="001C7FF4" w:rsidRDefault="00C77FE3" w:rsidP="00CC2398">
            <w:pPr>
              <w:widowControl w:val="0"/>
              <w:suppressAutoHyphens/>
              <w:rPr>
                <w:color w:val="000000"/>
              </w:rPr>
            </w:pPr>
            <w:r>
              <w:rPr>
                <w:color w:val="000000"/>
              </w:rPr>
              <w:t xml:space="preserve">CSAT </w:t>
            </w:r>
            <w:r w:rsidRPr="001C7FF4">
              <w:rPr>
                <w:color w:val="000000"/>
              </w:rPr>
              <w:t>engineering</w:t>
            </w:r>
          </w:p>
        </w:tc>
        <w:tc>
          <w:tcPr>
            <w:tcW w:w="2060" w:type="pct"/>
          </w:tcPr>
          <w:p w14:paraId="51055E1B" w14:textId="77777777" w:rsidR="00C77FE3" w:rsidRPr="001C7FF4" w:rsidRDefault="00C77FE3" w:rsidP="00CC2398">
            <w:pPr>
              <w:widowControl w:val="0"/>
              <w:suppressAutoHyphens/>
              <w:rPr>
                <w:color w:val="000000"/>
              </w:rPr>
            </w:pPr>
            <w:r w:rsidRPr="001C7FF4">
              <w:rPr>
                <w:color w:val="000000"/>
              </w:rPr>
              <w:t xml:space="preserve">Compared old sense of </w:t>
            </w:r>
            <w:r>
              <w:rPr>
                <w:color w:val="000000"/>
              </w:rPr>
              <w:t>“</w:t>
            </w:r>
            <w:r w:rsidRPr="001C7FF4">
              <w:rPr>
                <w:color w:val="000000"/>
              </w:rPr>
              <w:t>pushing products</w:t>
            </w:r>
            <w:r>
              <w:rPr>
                <w:color w:val="000000"/>
              </w:rPr>
              <w:t>”</w:t>
            </w:r>
            <w:r w:rsidRPr="001C7FF4">
              <w:rPr>
                <w:color w:val="000000"/>
              </w:rPr>
              <w:t xml:space="preserve"> with the new approach of "customer satisfaction engineering</w:t>
            </w:r>
            <w:r>
              <w:rPr>
                <w:color w:val="000000"/>
              </w:rPr>
              <w:t>.”</w:t>
            </w:r>
            <w:r w:rsidRPr="001C7FF4">
              <w:rPr>
                <w:color w:val="000000"/>
              </w:rPr>
              <w:t xml:space="preserve"> </w:t>
            </w:r>
            <w:r>
              <w:rPr>
                <w:color w:val="000000"/>
              </w:rPr>
              <w:t>M</w:t>
            </w:r>
            <w:r w:rsidRPr="001C7FF4">
              <w:rPr>
                <w:color w:val="000000"/>
              </w:rPr>
              <w:t>arketing should focus on serving and satisfying human needs rather than just selling or persuading.</w:t>
            </w:r>
          </w:p>
        </w:tc>
        <w:tc>
          <w:tcPr>
            <w:tcW w:w="495" w:type="pct"/>
          </w:tcPr>
          <w:p w14:paraId="55F81F81" w14:textId="77777777" w:rsidR="00C77FE3" w:rsidRPr="001C7FF4" w:rsidRDefault="00C77FE3" w:rsidP="00CC2398">
            <w:pPr>
              <w:widowControl w:val="0"/>
              <w:suppressAutoHyphens/>
              <w:rPr>
                <w:color w:val="000000"/>
              </w:rPr>
            </w:pPr>
            <w:r>
              <w:rPr>
                <w:color w:val="000000"/>
              </w:rPr>
              <w:t xml:space="preserve">Micro, </w:t>
            </w:r>
            <w:proofErr w:type="spellStart"/>
            <w:r>
              <w:rPr>
                <w:color w:val="000000"/>
              </w:rPr>
              <w:t>meso</w:t>
            </w:r>
            <w:proofErr w:type="spellEnd"/>
          </w:p>
        </w:tc>
        <w:tc>
          <w:tcPr>
            <w:tcW w:w="1116" w:type="pct"/>
          </w:tcPr>
          <w:p w14:paraId="2ADD6EB5" w14:textId="77777777" w:rsidR="00C77FE3" w:rsidRPr="001C7FF4" w:rsidRDefault="00C77FE3" w:rsidP="00CC2398">
            <w:pPr>
              <w:widowControl w:val="0"/>
              <w:suppressAutoHyphens/>
              <w:rPr>
                <w:color w:val="000000"/>
              </w:rPr>
            </w:pPr>
          </w:p>
        </w:tc>
      </w:tr>
      <w:tr w:rsidR="00C77FE3" w:rsidRPr="00945C2E" w14:paraId="27BE0840" w14:textId="77777777" w:rsidTr="00CC2398">
        <w:trPr>
          <w:trHeight w:val="293"/>
        </w:trPr>
        <w:tc>
          <w:tcPr>
            <w:tcW w:w="610" w:type="pct"/>
          </w:tcPr>
          <w:p w14:paraId="18F02B94" w14:textId="77777777" w:rsidR="00C77FE3" w:rsidRPr="00945C2E" w:rsidRDefault="00C77FE3" w:rsidP="00CC2398">
            <w:pPr>
              <w:widowControl w:val="0"/>
              <w:suppressAutoHyphens/>
              <w:rPr>
                <w:b/>
                <w:bCs/>
                <w:color w:val="000000"/>
              </w:rPr>
            </w:pPr>
            <w:r w:rsidRPr="00945C2E">
              <w:t>Skinner (1969)</w:t>
            </w:r>
          </w:p>
        </w:tc>
        <w:tc>
          <w:tcPr>
            <w:tcW w:w="719" w:type="pct"/>
          </w:tcPr>
          <w:p w14:paraId="50C48C01" w14:textId="77777777" w:rsidR="00C77FE3" w:rsidRPr="001C7FF4" w:rsidRDefault="00C77FE3" w:rsidP="00CC2398">
            <w:pPr>
              <w:widowControl w:val="0"/>
              <w:suppressAutoHyphens/>
              <w:rPr>
                <w:color w:val="000000"/>
              </w:rPr>
            </w:pPr>
            <w:r>
              <w:rPr>
                <w:color w:val="000000"/>
              </w:rPr>
              <w:t>CSAT</w:t>
            </w:r>
            <w:r w:rsidRPr="001C7FF4">
              <w:rPr>
                <w:color w:val="000000"/>
              </w:rPr>
              <w:t xml:space="preserve"> </w:t>
            </w:r>
            <w:r>
              <w:rPr>
                <w:color w:val="000000"/>
              </w:rPr>
              <w:t>and</w:t>
            </w:r>
            <w:r w:rsidRPr="001C7FF4">
              <w:rPr>
                <w:color w:val="000000"/>
              </w:rPr>
              <w:t xml:space="preserve"> corporate strategy</w:t>
            </w:r>
          </w:p>
        </w:tc>
        <w:tc>
          <w:tcPr>
            <w:tcW w:w="2060" w:type="pct"/>
          </w:tcPr>
          <w:p w14:paraId="1F3BE7E5" w14:textId="77777777" w:rsidR="00C77FE3" w:rsidRPr="001C7FF4" w:rsidRDefault="00C77FE3" w:rsidP="00CC2398">
            <w:pPr>
              <w:widowControl w:val="0"/>
              <w:suppressAutoHyphens/>
              <w:rPr>
                <w:color w:val="000000"/>
              </w:rPr>
            </w:pPr>
            <w:r w:rsidRPr="001C7FF4">
              <w:rPr>
                <w:color w:val="000000"/>
              </w:rPr>
              <w:t xml:space="preserve">Argued that </w:t>
            </w:r>
            <w:r>
              <w:rPr>
                <w:color w:val="000000"/>
              </w:rPr>
              <w:t>CSAT</w:t>
            </w:r>
            <w:r w:rsidRPr="001C7FF4">
              <w:rPr>
                <w:color w:val="000000"/>
              </w:rPr>
              <w:t xml:space="preserve"> should be embedded in a firm's manufacturing and corporate strategy, making it a fundamental, pervasive concept in all aspects of business.</w:t>
            </w:r>
          </w:p>
        </w:tc>
        <w:tc>
          <w:tcPr>
            <w:tcW w:w="495" w:type="pct"/>
          </w:tcPr>
          <w:p w14:paraId="583BF463" w14:textId="77777777" w:rsidR="00C77FE3" w:rsidRPr="001C7FF4" w:rsidRDefault="00C77FE3" w:rsidP="00CC2398">
            <w:pPr>
              <w:widowControl w:val="0"/>
              <w:suppressAutoHyphens/>
              <w:rPr>
                <w:color w:val="000000"/>
              </w:rPr>
            </w:pPr>
            <w:proofErr w:type="spellStart"/>
            <w:r>
              <w:rPr>
                <w:color w:val="000000"/>
              </w:rPr>
              <w:t>Meso</w:t>
            </w:r>
            <w:proofErr w:type="spellEnd"/>
          </w:p>
        </w:tc>
        <w:tc>
          <w:tcPr>
            <w:tcW w:w="1116" w:type="pct"/>
          </w:tcPr>
          <w:p w14:paraId="0F1B5CA6" w14:textId="77777777" w:rsidR="00C77FE3" w:rsidRPr="001C7FF4" w:rsidRDefault="00C77FE3" w:rsidP="00CC2398">
            <w:pPr>
              <w:widowControl w:val="0"/>
              <w:suppressAutoHyphens/>
              <w:rPr>
                <w:color w:val="000000"/>
              </w:rPr>
            </w:pPr>
          </w:p>
        </w:tc>
      </w:tr>
      <w:tr w:rsidR="00C77FE3" w:rsidRPr="00945C2E" w14:paraId="0444543C" w14:textId="77777777" w:rsidTr="00CC2398">
        <w:trPr>
          <w:trHeight w:val="293"/>
        </w:trPr>
        <w:tc>
          <w:tcPr>
            <w:tcW w:w="610" w:type="pct"/>
          </w:tcPr>
          <w:p w14:paraId="404F3EB7" w14:textId="77777777" w:rsidR="00C77FE3" w:rsidRPr="00945C2E" w:rsidRDefault="00C77FE3" w:rsidP="00CC2398">
            <w:pPr>
              <w:widowControl w:val="0"/>
              <w:suppressAutoHyphens/>
            </w:pPr>
            <w:r w:rsidRPr="00945C2E">
              <w:t>Czep</w:t>
            </w:r>
            <w:r>
              <w:t>i</w:t>
            </w:r>
            <w:r w:rsidRPr="00945C2E">
              <w:t>el and Rosenberg (1977)</w:t>
            </w:r>
          </w:p>
        </w:tc>
        <w:tc>
          <w:tcPr>
            <w:tcW w:w="719" w:type="pct"/>
          </w:tcPr>
          <w:p w14:paraId="3B25C68D" w14:textId="77777777" w:rsidR="00C77FE3" w:rsidRPr="001C7FF4" w:rsidRDefault="00C77FE3" w:rsidP="00CC2398">
            <w:pPr>
              <w:widowControl w:val="0"/>
              <w:suppressAutoHyphens/>
              <w:rPr>
                <w:color w:val="000000"/>
              </w:rPr>
            </w:pPr>
            <w:r w:rsidRPr="001C7FF4">
              <w:rPr>
                <w:color w:val="000000"/>
              </w:rPr>
              <w:t xml:space="preserve">Conceptualizing </w:t>
            </w:r>
            <w:r>
              <w:rPr>
                <w:color w:val="000000"/>
              </w:rPr>
              <w:t>CSAT</w:t>
            </w:r>
          </w:p>
        </w:tc>
        <w:tc>
          <w:tcPr>
            <w:tcW w:w="2060" w:type="pct"/>
          </w:tcPr>
          <w:p w14:paraId="333EE16C" w14:textId="77777777" w:rsidR="00C77FE3" w:rsidRPr="001C7FF4" w:rsidRDefault="00C77FE3" w:rsidP="00CC2398">
            <w:pPr>
              <w:widowControl w:val="0"/>
              <w:suppressAutoHyphens/>
              <w:rPr>
                <w:color w:val="000000"/>
              </w:rPr>
            </w:pPr>
            <w:r w:rsidRPr="001C7FF4">
              <w:rPr>
                <w:color w:val="000000"/>
              </w:rPr>
              <w:t xml:space="preserve">Proposed a conceptual model for defining and measuring </w:t>
            </w:r>
            <w:r>
              <w:rPr>
                <w:color w:val="000000"/>
              </w:rPr>
              <w:t>CSAT</w:t>
            </w:r>
            <w:r w:rsidRPr="001C7FF4">
              <w:rPr>
                <w:color w:val="000000"/>
              </w:rPr>
              <w:t>, recognizing it as a crucial but underdeveloped concept in marketing.</w:t>
            </w:r>
          </w:p>
        </w:tc>
        <w:tc>
          <w:tcPr>
            <w:tcW w:w="495" w:type="pct"/>
          </w:tcPr>
          <w:p w14:paraId="0E5AA9AE" w14:textId="77777777" w:rsidR="00C77FE3" w:rsidRPr="001C7FF4" w:rsidRDefault="00C77FE3" w:rsidP="00CC2398">
            <w:pPr>
              <w:widowControl w:val="0"/>
              <w:suppressAutoHyphens/>
              <w:rPr>
                <w:color w:val="000000"/>
              </w:rPr>
            </w:pPr>
            <w:r>
              <w:rPr>
                <w:color w:val="000000"/>
              </w:rPr>
              <w:t xml:space="preserve">Micro, </w:t>
            </w:r>
            <w:proofErr w:type="spellStart"/>
            <w:r>
              <w:rPr>
                <w:color w:val="000000"/>
              </w:rPr>
              <w:t>meso</w:t>
            </w:r>
            <w:proofErr w:type="spellEnd"/>
          </w:p>
        </w:tc>
        <w:tc>
          <w:tcPr>
            <w:tcW w:w="1116" w:type="pct"/>
          </w:tcPr>
          <w:p w14:paraId="472C2997" w14:textId="77777777" w:rsidR="00C77FE3" w:rsidRPr="001C7FF4" w:rsidRDefault="00C77FE3" w:rsidP="00CC2398">
            <w:pPr>
              <w:widowControl w:val="0"/>
              <w:suppressAutoHyphens/>
              <w:rPr>
                <w:color w:val="000000"/>
              </w:rPr>
            </w:pPr>
          </w:p>
        </w:tc>
      </w:tr>
      <w:tr w:rsidR="00C77FE3" w:rsidRPr="00945C2E" w14:paraId="4BB59BC6" w14:textId="77777777" w:rsidTr="00CC2398">
        <w:trPr>
          <w:trHeight w:val="293"/>
        </w:trPr>
        <w:tc>
          <w:tcPr>
            <w:tcW w:w="610" w:type="pct"/>
          </w:tcPr>
          <w:p w14:paraId="4C60351F" w14:textId="77777777" w:rsidR="00C77FE3" w:rsidRPr="00945C2E" w:rsidRDefault="00C77FE3" w:rsidP="00CC2398">
            <w:pPr>
              <w:widowControl w:val="0"/>
              <w:suppressAutoHyphens/>
            </w:pPr>
            <w:r w:rsidRPr="00945C2E">
              <w:t>Cadotte (1979)</w:t>
            </w:r>
          </w:p>
        </w:tc>
        <w:tc>
          <w:tcPr>
            <w:tcW w:w="719" w:type="pct"/>
          </w:tcPr>
          <w:p w14:paraId="21E2D05D" w14:textId="77777777" w:rsidR="00C77FE3" w:rsidRPr="001C7FF4" w:rsidRDefault="00C77FE3" w:rsidP="00CC2398">
            <w:pPr>
              <w:widowControl w:val="0"/>
              <w:suppressAutoHyphens/>
              <w:rPr>
                <w:color w:val="000000"/>
              </w:rPr>
            </w:pPr>
            <w:r w:rsidRPr="001C7FF4">
              <w:rPr>
                <w:color w:val="000000"/>
              </w:rPr>
              <w:t xml:space="preserve">Measuring </w:t>
            </w:r>
            <w:r>
              <w:rPr>
                <w:color w:val="000000"/>
              </w:rPr>
              <w:t>CSAT</w:t>
            </w:r>
          </w:p>
        </w:tc>
        <w:tc>
          <w:tcPr>
            <w:tcW w:w="2060" w:type="pct"/>
          </w:tcPr>
          <w:p w14:paraId="15603B0E" w14:textId="77777777" w:rsidR="00C77FE3" w:rsidRPr="001C7FF4" w:rsidRDefault="00C77FE3" w:rsidP="00CC2398">
            <w:pPr>
              <w:widowControl w:val="0"/>
              <w:suppressAutoHyphens/>
              <w:rPr>
                <w:color w:val="000000"/>
              </w:rPr>
            </w:pPr>
            <w:r w:rsidRPr="001C7FF4">
              <w:rPr>
                <w:color w:val="000000"/>
              </w:rPr>
              <w:t xml:space="preserve">Developed a push-button survey tool to measure </w:t>
            </w:r>
            <w:r>
              <w:rPr>
                <w:color w:val="000000"/>
              </w:rPr>
              <w:t>CSAT</w:t>
            </w:r>
            <w:r w:rsidRPr="001C7FF4">
              <w:rPr>
                <w:color w:val="000000"/>
              </w:rPr>
              <w:t xml:space="preserve"> in retail settings, providing an empirical method for </w:t>
            </w:r>
            <w:r>
              <w:rPr>
                <w:color w:val="000000"/>
              </w:rPr>
              <w:t>companies</w:t>
            </w:r>
            <w:r w:rsidRPr="001C7FF4">
              <w:rPr>
                <w:color w:val="000000"/>
              </w:rPr>
              <w:t xml:space="preserve"> to assess and improve satisfaction.</w:t>
            </w:r>
          </w:p>
        </w:tc>
        <w:tc>
          <w:tcPr>
            <w:tcW w:w="495" w:type="pct"/>
          </w:tcPr>
          <w:p w14:paraId="27C65590" w14:textId="77777777" w:rsidR="00C77FE3" w:rsidRDefault="00C77FE3" w:rsidP="00CC2398">
            <w:pPr>
              <w:widowControl w:val="0"/>
              <w:suppressAutoHyphens/>
              <w:rPr>
                <w:color w:val="000000"/>
              </w:rPr>
            </w:pPr>
          </w:p>
          <w:p w14:paraId="7ECD481B" w14:textId="77777777" w:rsidR="00C77FE3" w:rsidRPr="001C7FF4" w:rsidRDefault="00C77FE3" w:rsidP="00CC2398">
            <w:pPr>
              <w:widowControl w:val="0"/>
              <w:suppressAutoHyphens/>
              <w:rPr>
                <w:color w:val="000000"/>
              </w:rPr>
            </w:pPr>
            <w:r>
              <w:rPr>
                <w:color w:val="000000"/>
              </w:rPr>
              <w:t>Micro</w:t>
            </w:r>
          </w:p>
        </w:tc>
        <w:tc>
          <w:tcPr>
            <w:tcW w:w="1116" w:type="pct"/>
          </w:tcPr>
          <w:p w14:paraId="24542900" w14:textId="77777777" w:rsidR="00C77FE3" w:rsidRPr="001C7FF4" w:rsidRDefault="00C77FE3" w:rsidP="00CC2398">
            <w:pPr>
              <w:widowControl w:val="0"/>
              <w:suppressAutoHyphens/>
              <w:rPr>
                <w:color w:val="000000"/>
              </w:rPr>
            </w:pPr>
          </w:p>
        </w:tc>
      </w:tr>
      <w:tr w:rsidR="00C77FE3" w:rsidRPr="00945C2E" w14:paraId="336512F5" w14:textId="77777777" w:rsidTr="00CC2398">
        <w:trPr>
          <w:trHeight w:val="293"/>
        </w:trPr>
        <w:tc>
          <w:tcPr>
            <w:tcW w:w="610" w:type="pct"/>
          </w:tcPr>
          <w:p w14:paraId="1125CC4E" w14:textId="77777777" w:rsidR="00C77FE3" w:rsidRPr="00945C2E" w:rsidRDefault="00C77FE3" w:rsidP="00CC2398">
            <w:pPr>
              <w:widowControl w:val="0"/>
              <w:suppressAutoHyphens/>
            </w:pPr>
            <w:r w:rsidRPr="00945C2E">
              <w:t>Cardozo (1965)</w:t>
            </w:r>
          </w:p>
        </w:tc>
        <w:tc>
          <w:tcPr>
            <w:tcW w:w="719" w:type="pct"/>
          </w:tcPr>
          <w:p w14:paraId="721B89D9" w14:textId="77777777" w:rsidR="00C77FE3" w:rsidRPr="001C7FF4" w:rsidRDefault="00C77FE3" w:rsidP="00CC2398">
            <w:pPr>
              <w:widowControl w:val="0"/>
              <w:suppressAutoHyphens/>
              <w:rPr>
                <w:color w:val="000000"/>
              </w:rPr>
            </w:pPr>
            <w:r w:rsidRPr="001C7FF4">
              <w:rPr>
                <w:color w:val="000000"/>
              </w:rPr>
              <w:t xml:space="preserve">Customer effort and </w:t>
            </w:r>
            <w:r>
              <w:rPr>
                <w:color w:val="000000"/>
              </w:rPr>
              <w:t>CSAT</w:t>
            </w:r>
          </w:p>
        </w:tc>
        <w:tc>
          <w:tcPr>
            <w:tcW w:w="2060" w:type="pct"/>
          </w:tcPr>
          <w:p w14:paraId="25844EE8" w14:textId="77777777" w:rsidR="00C77FE3" w:rsidRPr="001C7FF4" w:rsidRDefault="00C77FE3" w:rsidP="00CC2398">
            <w:pPr>
              <w:widowControl w:val="0"/>
              <w:suppressAutoHyphens/>
              <w:rPr>
                <w:color w:val="000000"/>
              </w:rPr>
            </w:pPr>
            <w:r w:rsidRPr="001C7FF4">
              <w:rPr>
                <w:color w:val="000000"/>
              </w:rPr>
              <w:t>Found that customers were more satisfied when they expended higher effort in acquiring a product or service, highlighting the relationship between effort and satisfaction in a purchase context.</w:t>
            </w:r>
          </w:p>
        </w:tc>
        <w:tc>
          <w:tcPr>
            <w:tcW w:w="495" w:type="pct"/>
          </w:tcPr>
          <w:p w14:paraId="5FD3E489" w14:textId="77777777" w:rsidR="00C77FE3" w:rsidRPr="001C7FF4" w:rsidRDefault="00C77FE3" w:rsidP="00CC2398">
            <w:pPr>
              <w:widowControl w:val="0"/>
              <w:suppressAutoHyphens/>
              <w:rPr>
                <w:color w:val="000000"/>
              </w:rPr>
            </w:pPr>
            <w:r>
              <w:rPr>
                <w:color w:val="000000"/>
              </w:rPr>
              <w:t>Micro</w:t>
            </w:r>
          </w:p>
        </w:tc>
        <w:tc>
          <w:tcPr>
            <w:tcW w:w="1116" w:type="pct"/>
          </w:tcPr>
          <w:p w14:paraId="5EF335D5" w14:textId="77777777" w:rsidR="00C77FE3" w:rsidRPr="001C7FF4" w:rsidRDefault="00C77FE3" w:rsidP="00CC2398">
            <w:pPr>
              <w:widowControl w:val="0"/>
              <w:suppressAutoHyphens/>
              <w:rPr>
                <w:color w:val="000000"/>
              </w:rPr>
            </w:pPr>
          </w:p>
        </w:tc>
      </w:tr>
      <w:tr w:rsidR="00C77FE3" w:rsidRPr="00945C2E" w14:paraId="5C9DBDF8" w14:textId="77777777" w:rsidTr="00CC2398">
        <w:trPr>
          <w:trHeight w:val="293"/>
        </w:trPr>
        <w:tc>
          <w:tcPr>
            <w:tcW w:w="610" w:type="pct"/>
          </w:tcPr>
          <w:p w14:paraId="47950E08" w14:textId="77777777" w:rsidR="00C77FE3" w:rsidRPr="00945C2E" w:rsidRDefault="00C77FE3" w:rsidP="00CC2398">
            <w:pPr>
              <w:widowControl w:val="0"/>
              <w:suppressAutoHyphens/>
            </w:pPr>
            <w:r w:rsidRPr="00945C2E">
              <w:t>Bell (1967)</w:t>
            </w:r>
          </w:p>
        </w:tc>
        <w:tc>
          <w:tcPr>
            <w:tcW w:w="719" w:type="pct"/>
          </w:tcPr>
          <w:p w14:paraId="3C481842" w14:textId="77777777" w:rsidR="00C77FE3" w:rsidRPr="001C7FF4" w:rsidRDefault="00C77FE3" w:rsidP="00CC2398">
            <w:pPr>
              <w:widowControl w:val="0"/>
              <w:suppressAutoHyphens/>
              <w:rPr>
                <w:color w:val="000000"/>
              </w:rPr>
            </w:pPr>
            <w:r>
              <w:rPr>
                <w:color w:val="000000"/>
              </w:rPr>
              <w:t>CSAT</w:t>
            </w:r>
            <w:r w:rsidRPr="001C7FF4">
              <w:rPr>
                <w:color w:val="000000"/>
              </w:rPr>
              <w:t xml:space="preserve"> and sales influence</w:t>
            </w:r>
          </w:p>
        </w:tc>
        <w:tc>
          <w:tcPr>
            <w:tcW w:w="2060" w:type="pct"/>
          </w:tcPr>
          <w:p w14:paraId="34D75D2A" w14:textId="77777777" w:rsidR="00C77FE3" w:rsidRPr="001C7FF4" w:rsidRDefault="00C77FE3" w:rsidP="00CC2398">
            <w:pPr>
              <w:widowControl w:val="0"/>
              <w:suppressAutoHyphens/>
              <w:rPr>
                <w:color w:val="000000"/>
              </w:rPr>
            </w:pPr>
            <w:r w:rsidRPr="001C7FF4">
              <w:rPr>
                <w:color w:val="000000"/>
              </w:rPr>
              <w:t xml:space="preserve">Examined how customer characteristics and a salesperson's persuasion efforts influence post-purchase </w:t>
            </w:r>
            <w:r>
              <w:rPr>
                <w:color w:val="000000"/>
              </w:rPr>
              <w:t>CSAT</w:t>
            </w:r>
            <w:r w:rsidRPr="001C7FF4">
              <w:rPr>
                <w:color w:val="000000"/>
              </w:rPr>
              <w:t>, emphasizing the role of human interaction in satisfaction.</w:t>
            </w:r>
          </w:p>
        </w:tc>
        <w:tc>
          <w:tcPr>
            <w:tcW w:w="495" w:type="pct"/>
          </w:tcPr>
          <w:p w14:paraId="451DEF25" w14:textId="77777777" w:rsidR="00C77FE3" w:rsidRPr="001C7FF4" w:rsidRDefault="00C77FE3" w:rsidP="00CC2398">
            <w:pPr>
              <w:widowControl w:val="0"/>
              <w:suppressAutoHyphens/>
              <w:rPr>
                <w:color w:val="000000"/>
              </w:rPr>
            </w:pPr>
            <w:r>
              <w:rPr>
                <w:color w:val="000000"/>
              </w:rPr>
              <w:t>Micro</w:t>
            </w:r>
          </w:p>
        </w:tc>
        <w:tc>
          <w:tcPr>
            <w:tcW w:w="1116" w:type="pct"/>
          </w:tcPr>
          <w:p w14:paraId="286C44F2" w14:textId="77777777" w:rsidR="00C77FE3" w:rsidRPr="001C7FF4" w:rsidRDefault="00C77FE3" w:rsidP="00CC2398">
            <w:pPr>
              <w:widowControl w:val="0"/>
              <w:suppressAutoHyphens/>
              <w:rPr>
                <w:color w:val="000000"/>
              </w:rPr>
            </w:pPr>
          </w:p>
        </w:tc>
      </w:tr>
      <w:tr w:rsidR="00C77FE3" w:rsidRPr="00945C2E" w14:paraId="498B0B30" w14:textId="77777777" w:rsidTr="00CC2398">
        <w:trPr>
          <w:trHeight w:val="293"/>
        </w:trPr>
        <w:tc>
          <w:tcPr>
            <w:tcW w:w="610" w:type="pct"/>
          </w:tcPr>
          <w:p w14:paraId="2A8DCCEE" w14:textId="77777777" w:rsidR="00C77FE3" w:rsidRPr="00945C2E" w:rsidRDefault="00C77FE3" w:rsidP="00CC2398">
            <w:pPr>
              <w:widowControl w:val="0"/>
              <w:suppressAutoHyphens/>
            </w:pPr>
            <w:r w:rsidRPr="00945C2E">
              <w:t>Esbensen (1973)</w:t>
            </w:r>
          </w:p>
        </w:tc>
        <w:tc>
          <w:tcPr>
            <w:tcW w:w="719" w:type="pct"/>
          </w:tcPr>
          <w:p w14:paraId="1CFB8747" w14:textId="77777777" w:rsidR="00C77FE3" w:rsidRPr="001C7FF4" w:rsidRDefault="00C77FE3" w:rsidP="00CC2398">
            <w:pPr>
              <w:widowControl w:val="0"/>
              <w:suppressAutoHyphens/>
              <w:rPr>
                <w:color w:val="000000"/>
              </w:rPr>
            </w:pPr>
            <w:r>
              <w:rPr>
                <w:color w:val="000000"/>
              </w:rPr>
              <w:t>CSAT</w:t>
            </w:r>
            <w:r w:rsidRPr="001C7FF4">
              <w:rPr>
                <w:color w:val="000000"/>
              </w:rPr>
              <w:t xml:space="preserve"> in public services</w:t>
            </w:r>
          </w:p>
        </w:tc>
        <w:tc>
          <w:tcPr>
            <w:tcW w:w="2060" w:type="pct"/>
          </w:tcPr>
          <w:p w14:paraId="788166D6" w14:textId="77777777" w:rsidR="00C77FE3" w:rsidRPr="001C7FF4" w:rsidRDefault="00C77FE3" w:rsidP="00CC2398">
            <w:pPr>
              <w:widowControl w:val="0"/>
              <w:suppressAutoHyphens/>
              <w:rPr>
                <w:color w:val="000000"/>
              </w:rPr>
            </w:pPr>
            <w:r w:rsidRPr="001C7FF4">
              <w:rPr>
                <w:color w:val="000000"/>
              </w:rPr>
              <w:t xml:space="preserve">Used </w:t>
            </w:r>
            <w:r>
              <w:rPr>
                <w:color w:val="000000"/>
              </w:rPr>
              <w:t>CSAT</w:t>
            </w:r>
            <w:r w:rsidRPr="001C7FF4">
              <w:rPr>
                <w:color w:val="000000"/>
              </w:rPr>
              <w:t xml:space="preserve"> as a metric for holding public schools accountable to parents, demonstrating its utility beyond the commercial sector.</w:t>
            </w:r>
          </w:p>
        </w:tc>
        <w:tc>
          <w:tcPr>
            <w:tcW w:w="495" w:type="pct"/>
          </w:tcPr>
          <w:p w14:paraId="17531ADA" w14:textId="77777777" w:rsidR="00C77FE3" w:rsidRPr="001C7FF4" w:rsidRDefault="00C77FE3" w:rsidP="00CC2398">
            <w:pPr>
              <w:widowControl w:val="0"/>
              <w:suppressAutoHyphens/>
              <w:rPr>
                <w:color w:val="000000"/>
              </w:rPr>
            </w:pPr>
            <w:r>
              <w:rPr>
                <w:color w:val="000000"/>
              </w:rPr>
              <w:t xml:space="preserve">Micro, </w:t>
            </w:r>
            <w:proofErr w:type="spellStart"/>
            <w:r>
              <w:rPr>
                <w:color w:val="000000"/>
              </w:rPr>
              <w:t>meso</w:t>
            </w:r>
            <w:proofErr w:type="spellEnd"/>
          </w:p>
        </w:tc>
        <w:tc>
          <w:tcPr>
            <w:tcW w:w="1116" w:type="pct"/>
          </w:tcPr>
          <w:p w14:paraId="6A39E174" w14:textId="77777777" w:rsidR="00C77FE3" w:rsidRPr="001C7FF4" w:rsidRDefault="00C77FE3" w:rsidP="00CC2398">
            <w:pPr>
              <w:widowControl w:val="0"/>
              <w:suppressAutoHyphens/>
              <w:rPr>
                <w:color w:val="000000"/>
              </w:rPr>
            </w:pPr>
          </w:p>
        </w:tc>
      </w:tr>
      <w:tr w:rsidR="00C77FE3" w:rsidRPr="00945C2E" w14:paraId="77CAAE4A" w14:textId="77777777" w:rsidTr="00CC2398">
        <w:trPr>
          <w:trHeight w:val="293"/>
        </w:trPr>
        <w:tc>
          <w:tcPr>
            <w:tcW w:w="610" w:type="pct"/>
          </w:tcPr>
          <w:p w14:paraId="7639076D" w14:textId="77777777" w:rsidR="00C77FE3" w:rsidRPr="00945C2E" w:rsidRDefault="00C77FE3" w:rsidP="00CC2398">
            <w:pPr>
              <w:widowControl w:val="0"/>
              <w:suppressAutoHyphens/>
            </w:pPr>
            <w:r>
              <w:t xml:space="preserve">Pickle and </w:t>
            </w:r>
            <w:proofErr w:type="spellStart"/>
            <w:r w:rsidRPr="00945C2E">
              <w:t>Rungeling</w:t>
            </w:r>
            <w:proofErr w:type="spellEnd"/>
            <w:r w:rsidRPr="00945C2E">
              <w:t xml:space="preserve"> </w:t>
            </w:r>
            <w:r w:rsidRPr="00945C2E">
              <w:lastRenderedPageBreak/>
              <w:t>(1973)</w:t>
            </w:r>
          </w:p>
        </w:tc>
        <w:tc>
          <w:tcPr>
            <w:tcW w:w="719" w:type="pct"/>
          </w:tcPr>
          <w:p w14:paraId="04DEDC62" w14:textId="77777777" w:rsidR="00C77FE3" w:rsidRPr="001C7FF4" w:rsidRDefault="00C77FE3" w:rsidP="00CC2398">
            <w:pPr>
              <w:widowControl w:val="0"/>
              <w:suppressAutoHyphens/>
              <w:rPr>
                <w:color w:val="000000"/>
              </w:rPr>
            </w:pPr>
            <w:r>
              <w:rPr>
                <w:color w:val="000000"/>
              </w:rPr>
              <w:lastRenderedPageBreak/>
              <w:t>CSAT</w:t>
            </w:r>
            <w:r w:rsidRPr="001C7FF4">
              <w:rPr>
                <w:color w:val="000000"/>
              </w:rPr>
              <w:t>, strategy, and profit</w:t>
            </w:r>
          </w:p>
        </w:tc>
        <w:tc>
          <w:tcPr>
            <w:tcW w:w="2060" w:type="pct"/>
          </w:tcPr>
          <w:p w14:paraId="74B951C6" w14:textId="77777777" w:rsidR="00C77FE3" w:rsidRPr="001C7FF4" w:rsidRDefault="00C77FE3" w:rsidP="00CC2398">
            <w:pPr>
              <w:widowControl w:val="0"/>
              <w:suppressAutoHyphens/>
              <w:rPr>
                <w:color w:val="000000"/>
              </w:rPr>
            </w:pPr>
            <w:r>
              <w:rPr>
                <w:color w:val="000000"/>
              </w:rPr>
              <w:t xml:space="preserve">Showed that in a </w:t>
            </w:r>
            <w:r w:rsidRPr="001C7FF4">
              <w:rPr>
                <w:color w:val="000000"/>
              </w:rPr>
              <w:t xml:space="preserve">firm’s strategy, </w:t>
            </w:r>
            <w:r>
              <w:rPr>
                <w:color w:val="000000"/>
              </w:rPr>
              <w:t>CSAT</w:t>
            </w:r>
            <w:r w:rsidRPr="001C7FF4">
              <w:rPr>
                <w:color w:val="000000"/>
              </w:rPr>
              <w:t xml:space="preserve"> is integral to a firm's long-term success and profitability.</w:t>
            </w:r>
          </w:p>
        </w:tc>
        <w:tc>
          <w:tcPr>
            <w:tcW w:w="495" w:type="pct"/>
          </w:tcPr>
          <w:p w14:paraId="0482FF49" w14:textId="77777777" w:rsidR="00C77FE3" w:rsidRPr="001C7FF4" w:rsidRDefault="00C77FE3" w:rsidP="00CC2398">
            <w:pPr>
              <w:widowControl w:val="0"/>
              <w:suppressAutoHyphens/>
              <w:rPr>
                <w:color w:val="000000"/>
              </w:rPr>
            </w:pPr>
            <w:proofErr w:type="spellStart"/>
            <w:r>
              <w:rPr>
                <w:color w:val="000000"/>
              </w:rPr>
              <w:t>Meso</w:t>
            </w:r>
            <w:proofErr w:type="spellEnd"/>
          </w:p>
        </w:tc>
        <w:tc>
          <w:tcPr>
            <w:tcW w:w="1116" w:type="pct"/>
          </w:tcPr>
          <w:p w14:paraId="30884BA4" w14:textId="77777777" w:rsidR="00C77FE3" w:rsidRPr="001C7FF4" w:rsidRDefault="00C77FE3" w:rsidP="00CC2398">
            <w:pPr>
              <w:widowControl w:val="0"/>
              <w:suppressAutoHyphens/>
              <w:rPr>
                <w:color w:val="000000"/>
              </w:rPr>
            </w:pPr>
          </w:p>
        </w:tc>
      </w:tr>
      <w:tr w:rsidR="00C77FE3" w:rsidRPr="00945C2E" w14:paraId="04F6433B" w14:textId="77777777" w:rsidTr="00CC2398">
        <w:trPr>
          <w:trHeight w:val="368"/>
        </w:trPr>
        <w:tc>
          <w:tcPr>
            <w:tcW w:w="5000" w:type="pct"/>
            <w:gridSpan w:val="5"/>
            <w:shd w:val="clear" w:color="000000" w:fill="ADADAD"/>
            <w:hideMark/>
          </w:tcPr>
          <w:p w14:paraId="358D3350" w14:textId="77777777" w:rsidR="00C77FE3" w:rsidRPr="00945C2E" w:rsidRDefault="00C77FE3" w:rsidP="00CC2398">
            <w:pPr>
              <w:widowControl w:val="0"/>
              <w:suppressAutoHyphens/>
              <w:rPr>
                <w:b/>
                <w:bCs/>
                <w:color w:val="000000"/>
              </w:rPr>
            </w:pPr>
            <w:r w:rsidRPr="00945C2E">
              <w:rPr>
                <w:b/>
                <w:bCs/>
              </w:rPr>
              <w:t>1980</w:t>
            </w:r>
            <w:r>
              <w:rPr>
                <w:b/>
                <w:bCs/>
              </w:rPr>
              <w:t>–</w:t>
            </w:r>
            <w:r w:rsidRPr="00945C2E">
              <w:rPr>
                <w:b/>
                <w:bCs/>
              </w:rPr>
              <w:t>2000: Nomological Net</w:t>
            </w:r>
          </w:p>
        </w:tc>
      </w:tr>
      <w:tr w:rsidR="00C77FE3" w:rsidRPr="00945C2E" w14:paraId="0BA1FD19" w14:textId="77777777" w:rsidTr="00CC2398">
        <w:trPr>
          <w:trHeight w:val="855"/>
        </w:trPr>
        <w:tc>
          <w:tcPr>
            <w:tcW w:w="610" w:type="pct"/>
            <w:shd w:val="clear" w:color="000000" w:fill="FFFFFF"/>
            <w:hideMark/>
          </w:tcPr>
          <w:p w14:paraId="767DE6A0" w14:textId="77777777" w:rsidR="00C77FE3" w:rsidRPr="00945C2E" w:rsidRDefault="00C77FE3" w:rsidP="00CC2398">
            <w:pPr>
              <w:widowControl w:val="0"/>
              <w:suppressAutoHyphens/>
              <w:rPr>
                <w:color w:val="000000"/>
              </w:rPr>
            </w:pPr>
            <w:r w:rsidRPr="00945C2E">
              <w:rPr>
                <w:color w:val="000000"/>
              </w:rPr>
              <w:t>Oliver (1980)</w:t>
            </w:r>
          </w:p>
        </w:tc>
        <w:tc>
          <w:tcPr>
            <w:tcW w:w="719" w:type="pct"/>
            <w:shd w:val="clear" w:color="000000" w:fill="FFFFFF"/>
            <w:hideMark/>
          </w:tcPr>
          <w:p w14:paraId="5705912B" w14:textId="77777777" w:rsidR="00C77FE3" w:rsidRPr="00945C2E" w:rsidRDefault="00C77FE3" w:rsidP="00CC2398">
            <w:pPr>
              <w:widowControl w:val="0"/>
              <w:suppressAutoHyphens/>
              <w:rPr>
                <w:color w:val="000000"/>
              </w:rPr>
            </w:pPr>
            <w:r w:rsidRPr="00945C2E">
              <w:rPr>
                <w:color w:val="000000"/>
              </w:rPr>
              <w:t>Expectancy</w:t>
            </w:r>
            <w:r>
              <w:rPr>
                <w:color w:val="000000"/>
              </w:rPr>
              <w:t>–d</w:t>
            </w:r>
            <w:r w:rsidRPr="00945C2E">
              <w:rPr>
                <w:color w:val="000000"/>
              </w:rPr>
              <w:t xml:space="preserve">isconfirmation </w:t>
            </w:r>
            <w:r>
              <w:rPr>
                <w:color w:val="000000"/>
              </w:rPr>
              <w:t>m</w:t>
            </w:r>
            <w:r w:rsidRPr="00945C2E">
              <w:rPr>
                <w:color w:val="000000"/>
              </w:rPr>
              <w:t>odel</w:t>
            </w:r>
          </w:p>
        </w:tc>
        <w:tc>
          <w:tcPr>
            <w:tcW w:w="2060" w:type="pct"/>
            <w:shd w:val="clear" w:color="000000" w:fill="FFFFFF"/>
            <w:hideMark/>
          </w:tcPr>
          <w:p w14:paraId="0B9F0101" w14:textId="77777777" w:rsidR="00C77FE3" w:rsidRPr="00945C2E" w:rsidRDefault="00C77FE3" w:rsidP="00CC2398">
            <w:pPr>
              <w:widowControl w:val="0"/>
              <w:suppressAutoHyphens/>
              <w:rPr>
                <w:color w:val="000000"/>
              </w:rPr>
            </w:pPr>
            <w:r w:rsidRPr="00945C2E">
              <w:rPr>
                <w:color w:val="000000"/>
              </w:rPr>
              <w:t>Introduced cognitive model linking expectations, disconfirmation, and satisfaction.</w:t>
            </w:r>
          </w:p>
        </w:tc>
        <w:tc>
          <w:tcPr>
            <w:tcW w:w="495" w:type="pct"/>
            <w:shd w:val="clear" w:color="000000" w:fill="FFFFFF"/>
            <w:hideMark/>
          </w:tcPr>
          <w:p w14:paraId="6DF649CB"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1C79E70F" w14:textId="77777777" w:rsidR="00C77FE3" w:rsidRPr="00945C2E" w:rsidRDefault="00C77FE3" w:rsidP="00CC2398">
            <w:pPr>
              <w:widowControl w:val="0"/>
              <w:suppressAutoHyphens/>
              <w:rPr>
                <w:color w:val="000000"/>
              </w:rPr>
            </w:pPr>
            <w:r w:rsidRPr="00945C2E">
              <w:rPr>
                <w:color w:val="000000"/>
              </w:rPr>
              <w:t>Consumer status (user vs. non-user)</w:t>
            </w:r>
          </w:p>
        </w:tc>
      </w:tr>
      <w:tr w:rsidR="00C77FE3" w:rsidRPr="00C932CF" w14:paraId="7CCB84A4" w14:textId="77777777" w:rsidTr="00CC2398">
        <w:trPr>
          <w:trHeight w:val="962"/>
        </w:trPr>
        <w:tc>
          <w:tcPr>
            <w:tcW w:w="610" w:type="pct"/>
            <w:shd w:val="clear" w:color="000000" w:fill="FFFFFF"/>
            <w:hideMark/>
          </w:tcPr>
          <w:p w14:paraId="607768F8" w14:textId="77777777" w:rsidR="00C77FE3" w:rsidRPr="00945C2E" w:rsidRDefault="00C77FE3" w:rsidP="00CC2398">
            <w:pPr>
              <w:widowControl w:val="0"/>
              <w:suppressAutoHyphens/>
              <w:rPr>
                <w:color w:val="000000"/>
              </w:rPr>
            </w:pPr>
            <w:r w:rsidRPr="00945C2E">
              <w:rPr>
                <w:color w:val="000000"/>
              </w:rPr>
              <w:t xml:space="preserve">Churchill </w:t>
            </w:r>
            <w:r>
              <w:rPr>
                <w:color w:val="000000"/>
              </w:rPr>
              <w:t>and</w:t>
            </w:r>
            <w:r w:rsidRPr="00945C2E">
              <w:rPr>
                <w:color w:val="000000"/>
              </w:rPr>
              <w:t xml:space="preserve"> Surprenant (1982)</w:t>
            </w:r>
          </w:p>
        </w:tc>
        <w:tc>
          <w:tcPr>
            <w:tcW w:w="719" w:type="pct"/>
            <w:shd w:val="clear" w:color="000000" w:fill="FFFFFF"/>
            <w:hideMark/>
          </w:tcPr>
          <w:p w14:paraId="6002D778" w14:textId="77777777" w:rsidR="00C77FE3" w:rsidRPr="00945C2E" w:rsidRDefault="00C77FE3" w:rsidP="00CC2398">
            <w:pPr>
              <w:widowControl w:val="0"/>
              <w:suppressAutoHyphens/>
              <w:rPr>
                <w:color w:val="000000"/>
              </w:rPr>
            </w:pPr>
            <w:r w:rsidRPr="00945C2E">
              <w:rPr>
                <w:color w:val="000000"/>
              </w:rPr>
              <w:t>Performance attributes</w:t>
            </w:r>
          </w:p>
        </w:tc>
        <w:tc>
          <w:tcPr>
            <w:tcW w:w="2060" w:type="pct"/>
            <w:shd w:val="clear" w:color="000000" w:fill="FFFFFF"/>
            <w:hideMark/>
          </w:tcPr>
          <w:p w14:paraId="68110D94" w14:textId="77777777" w:rsidR="00C77FE3" w:rsidRPr="00945C2E" w:rsidRDefault="00C77FE3" w:rsidP="00CC2398">
            <w:pPr>
              <w:widowControl w:val="0"/>
              <w:suppressAutoHyphens/>
              <w:rPr>
                <w:color w:val="000000"/>
              </w:rPr>
            </w:pPr>
            <w:r w:rsidRPr="00945C2E">
              <w:rPr>
                <w:color w:val="000000"/>
              </w:rPr>
              <w:t>For nondurables, expectations + disconfirmation matter; for durables, satisfaction is driven almost entirely by performance attributes.</w:t>
            </w:r>
          </w:p>
        </w:tc>
        <w:tc>
          <w:tcPr>
            <w:tcW w:w="495" w:type="pct"/>
            <w:shd w:val="clear" w:color="000000" w:fill="FFFFFF"/>
            <w:hideMark/>
          </w:tcPr>
          <w:p w14:paraId="7142D1B0"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2B732E7F" w14:textId="77777777" w:rsidR="00C77FE3" w:rsidRPr="00945C2E" w:rsidRDefault="00C77FE3" w:rsidP="00CC2398">
            <w:pPr>
              <w:widowControl w:val="0"/>
              <w:suppressAutoHyphens/>
              <w:rPr>
                <w:color w:val="000000"/>
                <w:lang w:val="fr-CA"/>
              </w:rPr>
            </w:pPr>
            <w:r w:rsidRPr="00945C2E">
              <w:rPr>
                <w:color w:val="000000"/>
                <w:lang w:val="fr-CA"/>
              </w:rPr>
              <w:t xml:space="preserve">Product type (durable vs. </w:t>
            </w:r>
            <w:proofErr w:type="gramStart"/>
            <w:r w:rsidRPr="00945C2E">
              <w:rPr>
                <w:color w:val="000000"/>
                <w:lang w:val="fr-CA"/>
              </w:rPr>
              <w:t>non</w:t>
            </w:r>
            <w:proofErr w:type="gramEnd"/>
            <w:r>
              <w:rPr>
                <w:color w:val="000000"/>
                <w:lang w:val="fr-CA"/>
              </w:rPr>
              <w:t>-</w:t>
            </w:r>
            <w:r w:rsidRPr="00945C2E">
              <w:rPr>
                <w:color w:val="000000"/>
                <w:lang w:val="fr-CA"/>
              </w:rPr>
              <w:t>durable)</w:t>
            </w:r>
          </w:p>
        </w:tc>
      </w:tr>
      <w:tr w:rsidR="00C77FE3" w:rsidRPr="00945C2E" w14:paraId="692B37AE" w14:textId="77777777" w:rsidTr="00CC2398">
        <w:trPr>
          <w:trHeight w:val="1140"/>
        </w:trPr>
        <w:tc>
          <w:tcPr>
            <w:tcW w:w="610" w:type="pct"/>
            <w:shd w:val="clear" w:color="000000" w:fill="FFFFFF"/>
            <w:hideMark/>
          </w:tcPr>
          <w:p w14:paraId="26AC84DC" w14:textId="77777777" w:rsidR="00C77FE3" w:rsidRPr="00945C2E" w:rsidRDefault="00C77FE3" w:rsidP="00CC2398">
            <w:pPr>
              <w:widowControl w:val="0"/>
              <w:suppressAutoHyphens/>
              <w:rPr>
                <w:color w:val="000000"/>
              </w:rPr>
            </w:pPr>
            <w:r w:rsidRPr="00945C2E">
              <w:rPr>
                <w:color w:val="000000"/>
              </w:rPr>
              <w:t>Cadotte</w:t>
            </w:r>
            <w:r>
              <w:rPr>
                <w:color w:val="000000"/>
              </w:rPr>
              <w:t xml:space="preserve"> et al. </w:t>
            </w:r>
            <w:r w:rsidRPr="00945C2E">
              <w:rPr>
                <w:color w:val="000000"/>
              </w:rPr>
              <w:t>(1987)</w:t>
            </w:r>
          </w:p>
        </w:tc>
        <w:tc>
          <w:tcPr>
            <w:tcW w:w="719" w:type="pct"/>
            <w:shd w:val="clear" w:color="000000" w:fill="FFFFFF"/>
            <w:hideMark/>
          </w:tcPr>
          <w:p w14:paraId="4371BA5F" w14:textId="77777777" w:rsidR="00C77FE3" w:rsidRPr="00945C2E" w:rsidRDefault="00C77FE3" w:rsidP="00CC2398">
            <w:pPr>
              <w:widowControl w:val="0"/>
              <w:suppressAutoHyphens/>
              <w:rPr>
                <w:color w:val="000000"/>
              </w:rPr>
            </w:pPr>
            <w:r w:rsidRPr="00945C2E">
              <w:rPr>
                <w:color w:val="000000"/>
              </w:rPr>
              <w:t>Norms</w:t>
            </w:r>
          </w:p>
        </w:tc>
        <w:tc>
          <w:tcPr>
            <w:tcW w:w="2060" w:type="pct"/>
            <w:shd w:val="clear" w:color="000000" w:fill="FFFFFF"/>
            <w:hideMark/>
          </w:tcPr>
          <w:p w14:paraId="7D07AF2A" w14:textId="77777777" w:rsidR="00C77FE3" w:rsidRPr="00945C2E" w:rsidRDefault="00C77FE3" w:rsidP="00CC2398">
            <w:pPr>
              <w:widowControl w:val="0"/>
              <w:suppressAutoHyphens/>
              <w:rPr>
                <w:color w:val="000000"/>
              </w:rPr>
            </w:pPr>
            <w:r w:rsidRPr="00945C2E">
              <w:rPr>
                <w:color w:val="000000"/>
              </w:rPr>
              <w:t>Best</w:t>
            </w:r>
            <w:r>
              <w:rPr>
                <w:color w:val="000000"/>
              </w:rPr>
              <w:t>-</w:t>
            </w:r>
            <w:r w:rsidRPr="00945C2E">
              <w:rPr>
                <w:color w:val="000000"/>
              </w:rPr>
              <w:t>brand norm and product norm act as additional standards for evaluating focal brand performance, beyond the commonly considered expectations</w:t>
            </w:r>
            <w:r>
              <w:rPr>
                <w:color w:val="000000"/>
              </w:rPr>
              <w:t>.</w:t>
            </w:r>
          </w:p>
        </w:tc>
        <w:tc>
          <w:tcPr>
            <w:tcW w:w="495" w:type="pct"/>
            <w:shd w:val="clear" w:color="000000" w:fill="FFFFFF"/>
            <w:hideMark/>
          </w:tcPr>
          <w:p w14:paraId="2AD7EA9A"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384FD1AA" w14:textId="77777777" w:rsidR="00C77FE3" w:rsidRPr="00945C2E" w:rsidRDefault="00C77FE3" w:rsidP="00CC2398">
            <w:pPr>
              <w:widowControl w:val="0"/>
              <w:suppressAutoHyphens/>
              <w:rPr>
                <w:color w:val="000000"/>
              </w:rPr>
            </w:pPr>
            <w:r w:rsidRPr="00945C2E">
              <w:rPr>
                <w:color w:val="000000"/>
              </w:rPr>
              <w:t xml:space="preserve">Use </w:t>
            </w:r>
            <w:r>
              <w:rPr>
                <w:color w:val="000000"/>
              </w:rPr>
              <w:t>s</w:t>
            </w:r>
            <w:r w:rsidRPr="00945C2E">
              <w:rPr>
                <w:color w:val="000000"/>
              </w:rPr>
              <w:t xml:space="preserve">ituation (restaurant type influences </w:t>
            </w:r>
            <w:r>
              <w:rPr>
                <w:color w:val="000000"/>
              </w:rPr>
              <w:t>the standard used</w:t>
            </w:r>
            <w:r w:rsidRPr="00945C2E">
              <w:rPr>
                <w:color w:val="000000"/>
              </w:rPr>
              <w:t xml:space="preserve">: product norm </w:t>
            </w:r>
            <w:r>
              <w:rPr>
                <w:color w:val="000000"/>
              </w:rPr>
              <w:t>or</w:t>
            </w:r>
            <w:r w:rsidRPr="00945C2E">
              <w:rPr>
                <w:color w:val="000000"/>
              </w:rPr>
              <w:t xml:space="preserve"> best</w:t>
            </w:r>
            <w:r>
              <w:rPr>
                <w:color w:val="000000"/>
              </w:rPr>
              <w:t>-</w:t>
            </w:r>
            <w:r w:rsidRPr="00945C2E">
              <w:rPr>
                <w:color w:val="000000"/>
              </w:rPr>
              <w:t>brand norm)</w:t>
            </w:r>
          </w:p>
        </w:tc>
      </w:tr>
      <w:tr w:rsidR="00C77FE3" w:rsidRPr="00945C2E" w14:paraId="5A6054CE" w14:textId="77777777" w:rsidTr="00CC2398">
        <w:trPr>
          <w:trHeight w:val="1995"/>
        </w:trPr>
        <w:tc>
          <w:tcPr>
            <w:tcW w:w="610" w:type="pct"/>
            <w:shd w:val="clear" w:color="000000" w:fill="FFFFFF"/>
            <w:hideMark/>
          </w:tcPr>
          <w:p w14:paraId="3A03EEA5" w14:textId="77777777" w:rsidR="00C77FE3" w:rsidRPr="00945C2E" w:rsidRDefault="00C77FE3" w:rsidP="00CC2398">
            <w:pPr>
              <w:widowControl w:val="0"/>
              <w:suppressAutoHyphens/>
              <w:rPr>
                <w:color w:val="000000"/>
              </w:rPr>
            </w:pPr>
            <w:r w:rsidRPr="00945C2E">
              <w:rPr>
                <w:color w:val="000000"/>
              </w:rPr>
              <w:t>Folkes (1988)</w:t>
            </w:r>
          </w:p>
        </w:tc>
        <w:tc>
          <w:tcPr>
            <w:tcW w:w="719" w:type="pct"/>
            <w:shd w:val="clear" w:color="000000" w:fill="FFFFFF"/>
            <w:hideMark/>
          </w:tcPr>
          <w:p w14:paraId="43E70104" w14:textId="77777777" w:rsidR="00C77FE3" w:rsidRPr="00945C2E" w:rsidRDefault="00C77FE3" w:rsidP="00CC2398">
            <w:pPr>
              <w:widowControl w:val="0"/>
              <w:suppressAutoHyphens/>
              <w:rPr>
                <w:color w:val="000000"/>
              </w:rPr>
            </w:pPr>
            <w:r w:rsidRPr="00945C2E">
              <w:rPr>
                <w:color w:val="000000"/>
              </w:rPr>
              <w:t>Attribution theory</w:t>
            </w:r>
          </w:p>
        </w:tc>
        <w:tc>
          <w:tcPr>
            <w:tcW w:w="2060" w:type="pct"/>
            <w:shd w:val="clear" w:color="000000" w:fill="FFFFFF"/>
            <w:hideMark/>
          </w:tcPr>
          <w:p w14:paraId="101EBE76" w14:textId="77777777" w:rsidR="00C77FE3" w:rsidRPr="00945C2E" w:rsidRDefault="00C77FE3" w:rsidP="00CC2398">
            <w:pPr>
              <w:widowControl w:val="0"/>
              <w:suppressAutoHyphens/>
              <w:rPr>
                <w:color w:val="000000"/>
              </w:rPr>
            </w:pPr>
            <w:r w:rsidRPr="00945C2E">
              <w:rPr>
                <w:color w:val="000000"/>
              </w:rPr>
              <w:t xml:space="preserve">Attribution processes not only affect satisfaction but also mediate post-purchase behavior and emotional reactions, suggesting models of </w:t>
            </w:r>
            <w:r>
              <w:rPr>
                <w:color w:val="000000"/>
              </w:rPr>
              <w:t>CSAT</w:t>
            </w:r>
            <w:r w:rsidRPr="00945C2E">
              <w:rPr>
                <w:color w:val="000000"/>
              </w:rPr>
              <w:t xml:space="preserve"> should include causal attribution as a core determinant alongside expectation-disconfirmation</w:t>
            </w:r>
            <w:r>
              <w:rPr>
                <w:color w:val="000000"/>
              </w:rPr>
              <w:t>.</w:t>
            </w:r>
          </w:p>
        </w:tc>
        <w:tc>
          <w:tcPr>
            <w:tcW w:w="495" w:type="pct"/>
            <w:shd w:val="clear" w:color="000000" w:fill="FFFFFF"/>
            <w:hideMark/>
          </w:tcPr>
          <w:p w14:paraId="067D7DB4"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174C04C9" w14:textId="77777777" w:rsidR="00C77FE3" w:rsidRPr="00945C2E" w:rsidRDefault="00C77FE3" w:rsidP="00CC2398">
            <w:pPr>
              <w:widowControl w:val="0"/>
              <w:suppressAutoHyphens/>
              <w:rPr>
                <w:color w:val="000000"/>
              </w:rPr>
            </w:pPr>
            <w:r w:rsidRPr="00945C2E">
              <w:rPr>
                <w:color w:val="000000"/>
              </w:rPr>
              <w:t xml:space="preserve">Causal </w:t>
            </w:r>
            <w:r>
              <w:rPr>
                <w:color w:val="000000"/>
              </w:rPr>
              <w:t>d</w:t>
            </w:r>
            <w:r w:rsidRPr="00945C2E">
              <w:rPr>
                <w:color w:val="000000"/>
              </w:rPr>
              <w:t xml:space="preserve">imensions (locus, controllability, </w:t>
            </w:r>
            <w:r>
              <w:rPr>
                <w:color w:val="000000"/>
              </w:rPr>
              <w:t xml:space="preserve">and </w:t>
            </w:r>
            <w:r w:rsidRPr="00945C2E">
              <w:rPr>
                <w:color w:val="000000"/>
              </w:rPr>
              <w:t xml:space="preserve">stability), </w:t>
            </w:r>
            <w:r>
              <w:rPr>
                <w:color w:val="000000"/>
              </w:rPr>
              <w:t>a</w:t>
            </w:r>
            <w:r w:rsidRPr="00945C2E">
              <w:rPr>
                <w:color w:val="000000"/>
              </w:rPr>
              <w:t>ntecedents (motivation, information, beliefs), and situational factors (e.g., incentives, expectation violation)</w:t>
            </w:r>
          </w:p>
        </w:tc>
      </w:tr>
      <w:tr w:rsidR="00C77FE3" w:rsidRPr="00945C2E" w14:paraId="60F77826" w14:textId="77777777" w:rsidTr="00CC2398">
        <w:trPr>
          <w:trHeight w:val="1394"/>
        </w:trPr>
        <w:tc>
          <w:tcPr>
            <w:tcW w:w="610" w:type="pct"/>
            <w:shd w:val="clear" w:color="000000" w:fill="FFFFFF"/>
            <w:hideMark/>
          </w:tcPr>
          <w:p w14:paraId="3CA24F1C" w14:textId="77777777" w:rsidR="00C77FE3" w:rsidRPr="00945C2E" w:rsidRDefault="00C77FE3" w:rsidP="00CC2398">
            <w:pPr>
              <w:widowControl w:val="0"/>
              <w:suppressAutoHyphens/>
              <w:rPr>
                <w:color w:val="000000"/>
              </w:rPr>
            </w:pPr>
            <w:r w:rsidRPr="00945C2E">
              <w:rPr>
                <w:color w:val="000000"/>
              </w:rPr>
              <w:t xml:space="preserve">Oliver </w:t>
            </w:r>
            <w:r>
              <w:rPr>
                <w:color w:val="000000"/>
              </w:rPr>
              <w:t>and</w:t>
            </w:r>
            <w:r w:rsidRPr="00945C2E">
              <w:rPr>
                <w:color w:val="000000"/>
              </w:rPr>
              <w:t xml:space="preserve"> Swan (1989)</w:t>
            </w:r>
          </w:p>
        </w:tc>
        <w:tc>
          <w:tcPr>
            <w:tcW w:w="719" w:type="pct"/>
            <w:shd w:val="clear" w:color="000000" w:fill="FFFFFF"/>
            <w:hideMark/>
          </w:tcPr>
          <w:p w14:paraId="39C1AAB5" w14:textId="77777777" w:rsidR="00C77FE3" w:rsidRPr="00945C2E" w:rsidRDefault="00C77FE3" w:rsidP="00CC2398">
            <w:pPr>
              <w:widowControl w:val="0"/>
              <w:suppressAutoHyphens/>
              <w:rPr>
                <w:color w:val="000000"/>
              </w:rPr>
            </w:pPr>
            <w:r w:rsidRPr="00945C2E">
              <w:rPr>
                <w:color w:val="000000"/>
              </w:rPr>
              <w:t xml:space="preserve">Equity </w:t>
            </w:r>
            <w:r>
              <w:rPr>
                <w:color w:val="000000"/>
              </w:rPr>
              <w:t>and</w:t>
            </w:r>
            <w:r w:rsidRPr="00945C2E">
              <w:rPr>
                <w:color w:val="000000"/>
              </w:rPr>
              <w:t xml:space="preserve"> fairness</w:t>
            </w:r>
          </w:p>
        </w:tc>
        <w:tc>
          <w:tcPr>
            <w:tcW w:w="2060" w:type="pct"/>
            <w:shd w:val="clear" w:color="000000" w:fill="FFFFFF"/>
            <w:hideMark/>
          </w:tcPr>
          <w:p w14:paraId="55BEAACF" w14:textId="77777777" w:rsidR="00C77FE3" w:rsidRPr="00945C2E" w:rsidRDefault="00C77FE3" w:rsidP="00CC2398">
            <w:pPr>
              <w:widowControl w:val="0"/>
              <w:suppressAutoHyphens/>
              <w:rPr>
                <w:color w:val="000000"/>
              </w:rPr>
            </w:pPr>
            <w:r w:rsidRPr="00945C2E">
              <w:rPr>
                <w:color w:val="000000"/>
              </w:rPr>
              <w:t xml:space="preserve">Unlike simple expectation–disconfirmation models, equity-based fairness </w:t>
            </w:r>
            <w:r>
              <w:rPr>
                <w:color w:val="000000"/>
              </w:rPr>
              <w:t xml:space="preserve">mediates </w:t>
            </w:r>
            <w:r w:rsidRPr="00945C2E">
              <w:rPr>
                <w:color w:val="000000"/>
              </w:rPr>
              <w:t>in driving satisfaction with the salesperson</w:t>
            </w:r>
            <w:r>
              <w:rPr>
                <w:color w:val="000000"/>
              </w:rPr>
              <w:t xml:space="preserve"> (e.g., </w:t>
            </w:r>
            <w:r w:rsidRPr="00945C2E">
              <w:rPr>
                <w:color w:val="000000"/>
              </w:rPr>
              <w:t>interpersonal fairness matters more than advantageous inequity</w:t>
            </w:r>
            <w:r>
              <w:rPr>
                <w:color w:val="000000"/>
              </w:rPr>
              <w:t>)</w:t>
            </w:r>
            <w:r w:rsidRPr="00945C2E">
              <w:rPr>
                <w:color w:val="000000"/>
              </w:rPr>
              <w:t>.</w:t>
            </w:r>
          </w:p>
        </w:tc>
        <w:tc>
          <w:tcPr>
            <w:tcW w:w="495" w:type="pct"/>
            <w:shd w:val="clear" w:color="000000" w:fill="FFFFFF"/>
            <w:hideMark/>
          </w:tcPr>
          <w:p w14:paraId="0EABA4DD"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69E067B5" w14:textId="77777777" w:rsidR="00C77FE3" w:rsidRPr="00945C2E" w:rsidRDefault="00C77FE3" w:rsidP="00CC2398">
            <w:pPr>
              <w:widowControl w:val="0"/>
              <w:suppressAutoHyphens/>
              <w:rPr>
                <w:color w:val="000000"/>
              </w:rPr>
            </w:pPr>
            <w:r w:rsidRPr="00945C2E">
              <w:rPr>
                <w:color w:val="000000"/>
              </w:rPr>
              <w:t xml:space="preserve">Comparison (self vs. salesperson), input vs. outcome (asymmetrical), and disconfirmation </w:t>
            </w:r>
          </w:p>
        </w:tc>
      </w:tr>
      <w:tr w:rsidR="00C77FE3" w:rsidRPr="00945C2E" w14:paraId="04D74368" w14:textId="77777777" w:rsidTr="00CC2398">
        <w:trPr>
          <w:trHeight w:val="1425"/>
        </w:trPr>
        <w:tc>
          <w:tcPr>
            <w:tcW w:w="610" w:type="pct"/>
            <w:shd w:val="clear" w:color="000000" w:fill="FFFFFF"/>
            <w:hideMark/>
          </w:tcPr>
          <w:p w14:paraId="10C92B24" w14:textId="77777777" w:rsidR="00C77FE3" w:rsidRPr="00945C2E" w:rsidRDefault="00C77FE3" w:rsidP="00CC2398">
            <w:pPr>
              <w:widowControl w:val="0"/>
              <w:suppressAutoHyphens/>
              <w:rPr>
                <w:color w:val="000000"/>
              </w:rPr>
            </w:pPr>
            <w:r w:rsidRPr="00945C2E">
              <w:rPr>
                <w:color w:val="000000"/>
              </w:rPr>
              <w:t xml:space="preserve">Mano </w:t>
            </w:r>
            <w:r>
              <w:rPr>
                <w:color w:val="000000"/>
              </w:rPr>
              <w:t>and</w:t>
            </w:r>
            <w:r w:rsidRPr="00945C2E">
              <w:rPr>
                <w:color w:val="000000"/>
              </w:rPr>
              <w:t xml:space="preserve"> Oliver (1993)</w:t>
            </w:r>
          </w:p>
        </w:tc>
        <w:tc>
          <w:tcPr>
            <w:tcW w:w="719" w:type="pct"/>
            <w:shd w:val="clear" w:color="000000" w:fill="FFFFFF"/>
            <w:hideMark/>
          </w:tcPr>
          <w:p w14:paraId="1088B5AF" w14:textId="77777777" w:rsidR="00C77FE3" w:rsidRPr="00945C2E" w:rsidRDefault="00C77FE3" w:rsidP="00CC2398">
            <w:pPr>
              <w:widowControl w:val="0"/>
              <w:suppressAutoHyphens/>
              <w:rPr>
                <w:color w:val="000000"/>
              </w:rPr>
            </w:pPr>
            <w:r w:rsidRPr="00945C2E">
              <w:rPr>
                <w:color w:val="000000"/>
              </w:rPr>
              <w:t xml:space="preserve">Affect </w:t>
            </w:r>
            <w:r>
              <w:rPr>
                <w:color w:val="000000"/>
              </w:rPr>
              <w:t>and</w:t>
            </w:r>
            <w:r w:rsidRPr="00945C2E">
              <w:rPr>
                <w:color w:val="000000"/>
              </w:rPr>
              <w:t xml:space="preserve"> evaluation, </w:t>
            </w:r>
            <w:r>
              <w:rPr>
                <w:color w:val="000000"/>
              </w:rPr>
              <w:t>CSAT</w:t>
            </w:r>
            <w:r w:rsidRPr="00945C2E">
              <w:rPr>
                <w:color w:val="000000"/>
              </w:rPr>
              <w:t xml:space="preserve"> model</w:t>
            </w:r>
          </w:p>
        </w:tc>
        <w:tc>
          <w:tcPr>
            <w:tcW w:w="2060" w:type="pct"/>
            <w:shd w:val="clear" w:color="000000" w:fill="FFFFFF"/>
            <w:hideMark/>
          </w:tcPr>
          <w:p w14:paraId="67AEB77D" w14:textId="77777777" w:rsidR="00C77FE3" w:rsidRPr="00945C2E" w:rsidRDefault="00C77FE3" w:rsidP="00CC2398">
            <w:pPr>
              <w:widowControl w:val="0"/>
              <w:suppressAutoHyphens/>
              <w:rPr>
                <w:color w:val="000000"/>
              </w:rPr>
            </w:pPr>
            <w:r w:rsidRPr="00945C2E">
              <w:rPr>
                <w:color w:val="000000"/>
              </w:rPr>
              <w:t>Product evaluations (utilitarian and hedonic) drive affect (pleasantness and arousal) and satisfaction, integrating cognitive and emotional dimensions in post-consumption experience.</w:t>
            </w:r>
          </w:p>
        </w:tc>
        <w:tc>
          <w:tcPr>
            <w:tcW w:w="495" w:type="pct"/>
            <w:shd w:val="clear" w:color="000000" w:fill="FFFFFF"/>
            <w:hideMark/>
          </w:tcPr>
          <w:p w14:paraId="34C22A1A"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17D5EC4F" w14:textId="77777777" w:rsidR="00C77FE3" w:rsidRPr="00945C2E" w:rsidRDefault="00C77FE3" w:rsidP="00CC2398">
            <w:pPr>
              <w:widowControl w:val="0"/>
              <w:suppressAutoHyphens/>
              <w:rPr>
                <w:color w:val="000000"/>
              </w:rPr>
            </w:pPr>
            <w:r w:rsidRPr="00945C2E">
              <w:rPr>
                <w:color w:val="000000"/>
              </w:rPr>
              <w:t>Product involvement level</w:t>
            </w:r>
          </w:p>
        </w:tc>
      </w:tr>
      <w:tr w:rsidR="00C77FE3" w:rsidRPr="00945C2E" w14:paraId="153EACEE" w14:textId="77777777" w:rsidTr="00CC2398">
        <w:trPr>
          <w:trHeight w:val="1250"/>
        </w:trPr>
        <w:tc>
          <w:tcPr>
            <w:tcW w:w="610" w:type="pct"/>
            <w:shd w:val="clear" w:color="000000" w:fill="FFFFFF"/>
            <w:hideMark/>
          </w:tcPr>
          <w:p w14:paraId="5141A2CE" w14:textId="77777777" w:rsidR="00C77FE3" w:rsidRPr="00945C2E" w:rsidRDefault="00C77FE3" w:rsidP="00CC2398">
            <w:pPr>
              <w:widowControl w:val="0"/>
              <w:suppressAutoHyphens/>
              <w:rPr>
                <w:color w:val="000000"/>
              </w:rPr>
            </w:pPr>
            <w:r w:rsidRPr="00945C2E">
              <w:rPr>
                <w:color w:val="000000"/>
              </w:rPr>
              <w:lastRenderedPageBreak/>
              <w:t>Fornell et al. (1996)</w:t>
            </w:r>
          </w:p>
        </w:tc>
        <w:tc>
          <w:tcPr>
            <w:tcW w:w="719" w:type="pct"/>
            <w:shd w:val="clear" w:color="000000" w:fill="FFFFFF"/>
            <w:hideMark/>
          </w:tcPr>
          <w:p w14:paraId="5E0F9140" w14:textId="77777777" w:rsidR="00C77FE3" w:rsidRPr="00945C2E" w:rsidRDefault="00C77FE3" w:rsidP="00CC2398">
            <w:pPr>
              <w:widowControl w:val="0"/>
              <w:suppressAutoHyphens/>
              <w:rPr>
                <w:color w:val="000000"/>
              </w:rPr>
            </w:pPr>
            <w:r w:rsidRPr="00945C2E">
              <w:rPr>
                <w:color w:val="000000"/>
              </w:rPr>
              <w:t>ACSI model, benchmarking</w:t>
            </w:r>
          </w:p>
        </w:tc>
        <w:tc>
          <w:tcPr>
            <w:tcW w:w="2060" w:type="pct"/>
            <w:shd w:val="clear" w:color="000000" w:fill="FFFFFF"/>
            <w:hideMark/>
          </w:tcPr>
          <w:p w14:paraId="16442AFB" w14:textId="77777777" w:rsidR="00C77FE3" w:rsidRPr="00945C2E" w:rsidRDefault="00C77FE3" w:rsidP="00CC2398">
            <w:pPr>
              <w:widowControl w:val="0"/>
              <w:suppressAutoHyphens/>
              <w:rPr>
                <w:color w:val="000000"/>
              </w:rPr>
            </w:pPr>
            <w:r>
              <w:rPr>
                <w:color w:val="000000"/>
              </w:rPr>
              <w:t>CSAT</w:t>
            </w:r>
            <w:r w:rsidRPr="00945C2E">
              <w:rPr>
                <w:color w:val="000000"/>
              </w:rPr>
              <w:t xml:space="preserve"> is more quality-driven than price-driven; customization matters more than reliability, and satisfaction varies across sectors (goods</w:t>
            </w:r>
            <w:r>
              <w:rPr>
                <w:color w:val="000000"/>
              </w:rPr>
              <w:t>,</w:t>
            </w:r>
            <w:r w:rsidRPr="00945C2E">
              <w:rPr>
                <w:color w:val="000000"/>
              </w:rPr>
              <w:t xml:space="preserve"> services</w:t>
            </w:r>
            <w:r>
              <w:rPr>
                <w:color w:val="000000"/>
              </w:rPr>
              <w:t>,</w:t>
            </w:r>
            <w:r w:rsidRPr="00945C2E">
              <w:rPr>
                <w:color w:val="000000"/>
              </w:rPr>
              <w:t xml:space="preserve"> </w:t>
            </w:r>
            <w:r>
              <w:rPr>
                <w:color w:val="000000"/>
              </w:rPr>
              <w:t xml:space="preserve">and </w:t>
            </w:r>
            <w:r w:rsidRPr="00945C2E">
              <w:rPr>
                <w:color w:val="000000"/>
              </w:rPr>
              <w:t>government).</w:t>
            </w:r>
          </w:p>
        </w:tc>
        <w:tc>
          <w:tcPr>
            <w:tcW w:w="495" w:type="pct"/>
            <w:shd w:val="clear" w:color="000000" w:fill="FFFFFF"/>
            <w:hideMark/>
          </w:tcPr>
          <w:p w14:paraId="503193C8"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18FF4D21" w14:textId="77777777" w:rsidR="00C77FE3" w:rsidRPr="00945C2E" w:rsidRDefault="00C77FE3" w:rsidP="00CC2398">
            <w:pPr>
              <w:widowControl w:val="0"/>
              <w:suppressAutoHyphens/>
              <w:rPr>
                <w:color w:val="000000"/>
              </w:rPr>
            </w:pPr>
            <w:r w:rsidRPr="00945C2E">
              <w:rPr>
                <w:color w:val="000000"/>
              </w:rPr>
              <w:t>Industry sector and production/consumption variance</w:t>
            </w:r>
          </w:p>
        </w:tc>
      </w:tr>
      <w:tr w:rsidR="00C77FE3" w:rsidRPr="00945C2E" w14:paraId="006F7992" w14:textId="77777777" w:rsidTr="00CC2398">
        <w:trPr>
          <w:trHeight w:val="1250"/>
        </w:trPr>
        <w:tc>
          <w:tcPr>
            <w:tcW w:w="610" w:type="pct"/>
            <w:shd w:val="clear" w:color="000000" w:fill="FFFFFF"/>
            <w:hideMark/>
          </w:tcPr>
          <w:p w14:paraId="207CD3F2" w14:textId="77777777" w:rsidR="00C77FE3" w:rsidRPr="00945C2E" w:rsidRDefault="00C77FE3" w:rsidP="00CC2398">
            <w:pPr>
              <w:widowControl w:val="0"/>
              <w:suppressAutoHyphens/>
              <w:rPr>
                <w:color w:val="000000"/>
              </w:rPr>
            </w:pPr>
            <w:r w:rsidRPr="00945C2E">
              <w:rPr>
                <w:color w:val="000000"/>
              </w:rPr>
              <w:t xml:space="preserve">Anderson </w:t>
            </w:r>
            <w:r>
              <w:rPr>
                <w:color w:val="000000"/>
              </w:rPr>
              <w:t>and</w:t>
            </w:r>
            <w:r w:rsidRPr="00945C2E">
              <w:rPr>
                <w:color w:val="000000"/>
              </w:rPr>
              <w:t xml:space="preserve"> Sullivan (1993)</w:t>
            </w:r>
          </w:p>
        </w:tc>
        <w:tc>
          <w:tcPr>
            <w:tcW w:w="719" w:type="pct"/>
            <w:shd w:val="clear" w:color="000000" w:fill="FFFFFF"/>
            <w:hideMark/>
          </w:tcPr>
          <w:p w14:paraId="6FDBA834" w14:textId="77777777" w:rsidR="00C77FE3" w:rsidRPr="00945C2E" w:rsidRDefault="00C77FE3" w:rsidP="00CC2398">
            <w:pPr>
              <w:widowControl w:val="0"/>
              <w:suppressAutoHyphens/>
              <w:rPr>
                <w:color w:val="000000"/>
              </w:rPr>
            </w:pPr>
            <w:r w:rsidRPr="00945C2E">
              <w:rPr>
                <w:color w:val="000000"/>
              </w:rPr>
              <w:t>Antecedents and consequences; non-linear relationships</w:t>
            </w:r>
          </w:p>
        </w:tc>
        <w:tc>
          <w:tcPr>
            <w:tcW w:w="2060" w:type="pct"/>
            <w:shd w:val="clear" w:color="000000" w:fill="FFFFFF"/>
            <w:hideMark/>
          </w:tcPr>
          <w:p w14:paraId="58D0C30F" w14:textId="77777777" w:rsidR="00C77FE3" w:rsidRPr="00945C2E" w:rsidRDefault="00C77FE3" w:rsidP="00CC2398">
            <w:pPr>
              <w:widowControl w:val="0"/>
              <w:suppressAutoHyphens/>
              <w:rPr>
                <w:color w:val="000000"/>
              </w:rPr>
            </w:pPr>
            <w:r>
              <w:rPr>
                <w:color w:val="000000"/>
              </w:rPr>
              <w:t>CSAT</w:t>
            </w:r>
            <w:r w:rsidRPr="00945C2E">
              <w:rPr>
                <w:color w:val="000000"/>
              </w:rPr>
              <w:t xml:space="preserve"> is primarily driven by perceived quality and disconfirmation; negative disconfirmation has a stronger effect on satisfaction and repurchase intentions than positive disconfirmation.</w:t>
            </w:r>
          </w:p>
        </w:tc>
        <w:tc>
          <w:tcPr>
            <w:tcW w:w="495" w:type="pct"/>
            <w:shd w:val="clear" w:color="000000" w:fill="FFFFFF"/>
            <w:hideMark/>
          </w:tcPr>
          <w:p w14:paraId="5BD7ED24"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05B15DFD" w14:textId="77777777" w:rsidR="00C77FE3" w:rsidRPr="00945C2E" w:rsidRDefault="00C77FE3" w:rsidP="00CC2398">
            <w:pPr>
              <w:widowControl w:val="0"/>
              <w:suppressAutoHyphens/>
              <w:rPr>
                <w:color w:val="000000"/>
              </w:rPr>
            </w:pPr>
            <w:r w:rsidRPr="00945C2E">
              <w:rPr>
                <w:color w:val="000000"/>
              </w:rPr>
              <w:t>Ease of quality evaluation and firm’s baseline satisfaction level</w:t>
            </w:r>
          </w:p>
        </w:tc>
      </w:tr>
      <w:tr w:rsidR="00C77FE3" w:rsidRPr="00945C2E" w14:paraId="5CAF8E7A" w14:textId="77777777" w:rsidTr="00CC2398">
        <w:trPr>
          <w:trHeight w:val="1259"/>
        </w:trPr>
        <w:tc>
          <w:tcPr>
            <w:tcW w:w="610" w:type="pct"/>
            <w:shd w:val="clear" w:color="000000" w:fill="FFFFFF"/>
            <w:hideMark/>
          </w:tcPr>
          <w:p w14:paraId="4F979487" w14:textId="77777777" w:rsidR="00C77FE3" w:rsidRPr="00945C2E" w:rsidRDefault="00C77FE3" w:rsidP="00CC2398">
            <w:pPr>
              <w:widowControl w:val="0"/>
              <w:suppressAutoHyphens/>
              <w:rPr>
                <w:color w:val="000000"/>
              </w:rPr>
            </w:pPr>
            <w:r w:rsidRPr="00945C2E">
              <w:rPr>
                <w:color w:val="000000"/>
              </w:rPr>
              <w:t>Mittal</w:t>
            </w:r>
            <w:r>
              <w:rPr>
                <w:color w:val="000000"/>
              </w:rPr>
              <w:t xml:space="preserve"> et al. </w:t>
            </w:r>
            <w:r w:rsidRPr="00945C2E">
              <w:rPr>
                <w:color w:val="000000"/>
              </w:rPr>
              <w:t>(1999)</w:t>
            </w:r>
          </w:p>
        </w:tc>
        <w:tc>
          <w:tcPr>
            <w:tcW w:w="719" w:type="pct"/>
            <w:shd w:val="clear" w:color="000000" w:fill="FFFFFF"/>
            <w:hideMark/>
          </w:tcPr>
          <w:p w14:paraId="0529EB9F" w14:textId="77777777" w:rsidR="00C77FE3" w:rsidRPr="00945C2E" w:rsidRDefault="00C77FE3" w:rsidP="00CC2398">
            <w:pPr>
              <w:widowControl w:val="0"/>
              <w:suppressAutoHyphens/>
              <w:rPr>
                <w:color w:val="000000"/>
              </w:rPr>
            </w:pPr>
            <w:r w:rsidRPr="00945C2E">
              <w:rPr>
                <w:color w:val="000000"/>
              </w:rPr>
              <w:t>Attribute-level performance; shift in attribute weights overtime</w:t>
            </w:r>
          </w:p>
        </w:tc>
        <w:tc>
          <w:tcPr>
            <w:tcW w:w="2060" w:type="pct"/>
            <w:shd w:val="clear" w:color="000000" w:fill="FFFFFF"/>
            <w:hideMark/>
          </w:tcPr>
          <w:p w14:paraId="3440D2E8" w14:textId="77777777" w:rsidR="00C77FE3" w:rsidRPr="00945C2E" w:rsidRDefault="00C77FE3" w:rsidP="00CC2398">
            <w:pPr>
              <w:widowControl w:val="0"/>
              <w:suppressAutoHyphens/>
              <w:rPr>
                <w:color w:val="000000"/>
              </w:rPr>
            </w:pPr>
            <w:r w:rsidRPr="00945C2E">
              <w:rPr>
                <w:color w:val="000000"/>
              </w:rPr>
              <w:t>Satisfaction and attribute-level effects on behavioral intentions shift over time in consumption systems; service satisfaction initially dominates, while product satisfaction becomes more important later.</w:t>
            </w:r>
          </w:p>
        </w:tc>
        <w:tc>
          <w:tcPr>
            <w:tcW w:w="495" w:type="pct"/>
            <w:shd w:val="clear" w:color="000000" w:fill="FFFFFF"/>
            <w:hideMark/>
          </w:tcPr>
          <w:p w14:paraId="35E7E533"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1C50A3FB" w14:textId="77777777" w:rsidR="00C77FE3" w:rsidRPr="00945C2E" w:rsidRDefault="00C77FE3" w:rsidP="00CC2398">
            <w:pPr>
              <w:widowControl w:val="0"/>
              <w:suppressAutoHyphens/>
              <w:rPr>
                <w:color w:val="000000"/>
              </w:rPr>
            </w:pPr>
            <w:r w:rsidRPr="00945C2E">
              <w:rPr>
                <w:color w:val="000000"/>
              </w:rPr>
              <w:t>Time (consumption stage)</w:t>
            </w:r>
          </w:p>
        </w:tc>
      </w:tr>
      <w:tr w:rsidR="00C77FE3" w:rsidRPr="00945C2E" w14:paraId="3E5DE5CE" w14:textId="77777777" w:rsidTr="00CC2398">
        <w:trPr>
          <w:trHeight w:val="1425"/>
        </w:trPr>
        <w:tc>
          <w:tcPr>
            <w:tcW w:w="610" w:type="pct"/>
            <w:shd w:val="clear" w:color="000000" w:fill="FFFFFF"/>
            <w:hideMark/>
          </w:tcPr>
          <w:p w14:paraId="55F9C44C" w14:textId="77777777" w:rsidR="00C77FE3" w:rsidRPr="00945C2E" w:rsidRDefault="00C77FE3" w:rsidP="00CC2398">
            <w:pPr>
              <w:widowControl w:val="0"/>
              <w:suppressAutoHyphens/>
              <w:rPr>
                <w:color w:val="000000"/>
              </w:rPr>
            </w:pPr>
            <w:proofErr w:type="spellStart"/>
            <w:r w:rsidRPr="00945C2E">
              <w:rPr>
                <w:color w:val="000000"/>
              </w:rPr>
              <w:t>Tsiros</w:t>
            </w:r>
            <w:proofErr w:type="spellEnd"/>
            <w:r w:rsidRPr="00945C2E">
              <w:rPr>
                <w:color w:val="000000"/>
              </w:rPr>
              <w:t xml:space="preserve"> </w:t>
            </w:r>
            <w:r>
              <w:rPr>
                <w:color w:val="000000"/>
              </w:rPr>
              <w:t>and</w:t>
            </w:r>
            <w:r w:rsidRPr="00945C2E">
              <w:rPr>
                <w:color w:val="000000"/>
              </w:rPr>
              <w:t xml:space="preserve"> Mittal (2000)</w:t>
            </w:r>
          </w:p>
        </w:tc>
        <w:tc>
          <w:tcPr>
            <w:tcW w:w="719" w:type="pct"/>
            <w:shd w:val="clear" w:color="000000" w:fill="FFFFFF"/>
            <w:hideMark/>
          </w:tcPr>
          <w:p w14:paraId="69EC799D" w14:textId="77777777" w:rsidR="00C77FE3" w:rsidRPr="00945C2E" w:rsidRDefault="00C77FE3" w:rsidP="00CC2398">
            <w:pPr>
              <w:widowControl w:val="0"/>
              <w:suppressAutoHyphens/>
              <w:rPr>
                <w:color w:val="000000"/>
              </w:rPr>
            </w:pPr>
            <w:r w:rsidRPr="00945C2E">
              <w:rPr>
                <w:color w:val="000000"/>
              </w:rPr>
              <w:t>Regret</w:t>
            </w:r>
            <w:r>
              <w:rPr>
                <w:color w:val="000000"/>
              </w:rPr>
              <w:t>–CSAT</w:t>
            </w:r>
            <w:r w:rsidRPr="00945C2E">
              <w:rPr>
                <w:color w:val="000000"/>
              </w:rPr>
              <w:t xml:space="preserve"> link</w:t>
            </w:r>
          </w:p>
        </w:tc>
        <w:tc>
          <w:tcPr>
            <w:tcW w:w="2060" w:type="pct"/>
            <w:shd w:val="clear" w:color="000000" w:fill="FFFFFF"/>
            <w:hideMark/>
          </w:tcPr>
          <w:p w14:paraId="30026C5B" w14:textId="77777777" w:rsidR="00C77FE3" w:rsidRPr="00945C2E" w:rsidRDefault="00C77FE3" w:rsidP="00CC2398">
            <w:pPr>
              <w:widowControl w:val="0"/>
              <w:suppressAutoHyphens/>
              <w:rPr>
                <w:color w:val="000000"/>
              </w:rPr>
            </w:pPr>
            <w:r w:rsidRPr="00945C2E">
              <w:rPr>
                <w:color w:val="000000"/>
              </w:rPr>
              <w:t>Regret and satisfaction are distinct constructs; satisfaction influences both repurchase and complaint intentions, while regret affects only repurchase intentions, mediated by satisfaction for complaints.</w:t>
            </w:r>
          </w:p>
        </w:tc>
        <w:tc>
          <w:tcPr>
            <w:tcW w:w="495" w:type="pct"/>
            <w:shd w:val="clear" w:color="000000" w:fill="FFFFFF"/>
            <w:hideMark/>
          </w:tcPr>
          <w:p w14:paraId="68039D3F"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6DB470F2" w14:textId="77777777" w:rsidR="00C77FE3" w:rsidRPr="00945C2E" w:rsidRDefault="00C77FE3" w:rsidP="00CC2398">
            <w:pPr>
              <w:widowControl w:val="0"/>
              <w:suppressAutoHyphens/>
              <w:rPr>
                <w:color w:val="000000"/>
              </w:rPr>
            </w:pPr>
            <w:r>
              <w:rPr>
                <w:color w:val="000000"/>
              </w:rPr>
              <w:t>S</w:t>
            </w:r>
            <w:r w:rsidRPr="00945C2E">
              <w:rPr>
                <w:color w:val="000000"/>
              </w:rPr>
              <w:t>ituation-specific characteristics</w:t>
            </w:r>
            <w:r>
              <w:rPr>
                <w:color w:val="000000"/>
              </w:rPr>
              <w:t>:</w:t>
            </w:r>
            <w:r w:rsidRPr="00945C2E">
              <w:rPr>
                <w:color w:val="000000"/>
              </w:rPr>
              <w:t xml:space="preserve"> </w:t>
            </w:r>
            <w:r>
              <w:rPr>
                <w:color w:val="000000"/>
              </w:rPr>
              <w:t>o</w:t>
            </w:r>
            <w:r w:rsidRPr="00945C2E">
              <w:rPr>
                <w:color w:val="000000"/>
              </w:rPr>
              <w:t>utcome valence, status quo preservation, and reversibility of the outcome</w:t>
            </w:r>
          </w:p>
        </w:tc>
      </w:tr>
      <w:tr w:rsidR="00C77FE3" w:rsidRPr="00945C2E" w14:paraId="0072E1AE" w14:textId="77777777" w:rsidTr="00CC2398">
        <w:trPr>
          <w:trHeight w:val="570"/>
        </w:trPr>
        <w:tc>
          <w:tcPr>
            <w:tcW w:w="610" w:type="pct"/>
            <w:shd w:val="clear" w:color="000000" w:fill="FFFFFF"/>
            <w:hideMark/>
          </w:tcPr>
          <w:p w14:paraId="3345ED46" w14:textId="77777777" w:rsidR="00C77FE3" w:rsidRPr="00BA0363" w:rsidRDefault="00C77FE3" w:rsidP="00CC2398">
            <w:pPr>
              <w:widowControl w:val="0"/>
              <w:suppressAutoHyphens/>
              <w:rPr>
                <w:color w:val="000000"/>
              </w:rPr>
            </w:pPr>
            <w:r w:rsidRPr="00BA0363">
              <w:rPr>
                <w:color w:val="000000"/>
              </w:rPr>
              <w:t>Oliver (2006)</w:t>
            </w:r>
          </w:p>
        </w:tc>
        <w:tc>
          <w:tcPr>
            <w:tcW w:w="719" w:type="pct"/>
            <w:shd w:val="clear" w:color="000000" w:fill="FFFFFF"/>
            <w:hideMark/>
          </w:tcPr>
          <w:p w14:paraId="1CAC5D50" w14:textId="77777777" w:rsidR="00C77FE3" w:rsidRPr="00BA0363" w:rsidRDefault="00C77FE3" w:rsidP="00CC2398">
            <w:pPr>
              <w:widowControl w:val="0"/>
              <w:suppressAutoHyphens/>
              <w:rPr>
                <w:color w:val="000000"/>
              </w:rPr>
            </w:pPr>
            <w:r>
              <w:rPr>
                <w:color w:val="000000"/>
              </w:rPr>
              <w:t>CSAT</w:t>
            </w:r>
            <w:r w:rsidRPr="00BA0363">
              <w:rPr>
                <w:color w:val="000000"/>
              </w:rPr>
              <w:t xml:space="preserve"> research review</w:t>
            </w:r>
          </w:p>
        </w:tc>
        <w:tc>
          <w:tcPr>
            <w:tcW w:w="2060" w:type="pct"/>
            <w:shd w:val="clear" w:color="000000" w:fill="FFFFFF"/>
            <w:hideMark/>
          </w:tcPr>
          <w:p w14:paraId="1B849976" w14:textId="77777777" w:rsidR="00C77FE3" w:rsidRPr="00BA0363" w:rsidRDefault="00C77FE3" w:rsidP="00CC2398">
            <w:pPr>
              <w:widowControl w:val="0"/>
              <w:suppressAutoHyphens/>
              <w:rPr>
                <w:color w:val="000000"/>
              </w:rPr>
            </w:pPr>
            <w:r w:rsidRPr="00BA0363">
              <w:rPr>
                <w:color w:val="000000"/>
              </w:rPr>
              <w:t>Synthesized advances and highlighted complexity in satisfaction formation.</w:t>
            </w:r>
          </w:p>
        </w:tc>
        <w:tc>
          <w:tcPr>
            <w:tcW w:w="495" w:type="pct"/>
            <w:shd w:val="clear" w:color="000000" w:fill="FFFFFF"/>
            <w:hideMark/>
          </w:tcPr>
          <w:p w14:paraId="48FFFDB6" w14:textId="77777777" w:rsidR="00C77FE3" w:rsidRPr="00BA0363" w:rsidRDefault="00C77FE3" w:rsidP="00CC2398">
            <w:pPr>
              <w:widowControl w:val="0"/>
              <w:suppressAutoHyphens/>
              <w:rPr>
                <w:color w:val="000000"/>
              </w:rPr>
            </w:pPr>
            <w:r>
              <w:rPr>
                <w:color w:val="000000"/>
              </w:rPr>
              <w:t>Micro</w:t>
            </w:r>
          </w:p>
        </w:tc>
        <w:tc>
          <w:tcPr>
            <w:tcW w:w="1116" w:type="pct"/>
            <w:shd w:val="clear" w:color="000000" w:fill="FFFFFF"/>
            <w:hideMark/>
          </w:tcPr>
          <w:p w14:paraId="1FB511A6" w14:textId="77777777" w:rsidR="00C77FE3" w:rsidRPr="00BA0363" w:rsidRDefault="00C77FE3" w:rsidP="00CC2398">
            <w:pPr>
              <w:widowControl w:val="0"/>
              <w:suppressAutoHyphens/>
              <w:rPr>
                <w:color w:val="000000"/>
              </w:rPr>
            </w:pPr>
            <w:r w:rsidRPr="00BA0363">
              <w:rPr>
                <w:color w:val="000000"/>
              </w:rPr>
              <w:t>Methodological and contextual factors</w:t>
            </w:r>
          </w:p>
        </w:tc>
      </w:tr>
      <w:tr w:rsidR="00C77FE3" w:rsidRPr="00945C2E" w14:paraId="403927E8" w14:textId="77777777" w:rsidTr="00CC2398">
        <w:trPr>
          <w:trHeight w:val="293"/>
        </w:trPr>
        <w:tc>
          <w:tcPr>
            <w:tcW w:w="5000" w:type="pct"/>
            <w:gridSpan w:val="5"/>
            <w:shd w:val="clear" w:color="000000" w:fill="D9D9D9"/>
            <w:hideMark/>
          </w:tcPr>
          <w:p w14:paraId="5248718E" w14:textId="77777777" w:rsidR="00C77FE3" w:rsidRPr="00945C2E" w:rsidRDefault="00C77FE3" w:rsidP="00CC2398">
            <w:pPr>
              <w:widowControl w:val="0"/>
              <w:suppressAutoHyphens/>
              <w:rPr>
                <w:b/>
                <w:bCs/>
                <w:color w:val="000000"/>
              </w:rPr>
            </w:pPr>
            <w:r w:rsidRPr="00945C2E">
              <w:rPr>
                <w:b/>
                <w:bCs/>
              </w:rPr>
              <w:t>2000</w:t>
            </w:r>
            <w:r>
              <w:rPr>
                <w:b/>
                <w:bCs/>
              </w:rPr>
              <w:t>–</w:t>
            </w:r>
            <w:r w:rsidRPr="00945C2E">
              <w:rPr>
                <w:b/>
                <w:bCs/>
              </w:rPr>
              <w:t>2010: Consequences of Satisfaction</w:t>
            </w:r>
          </w:p>
        </w:tc>
      </w:tr>
      <w:tr w:rsidR="00C77FE3" w:rsidRPr="00945C2E" w14:paraId="561F2057" w14:textId="77777777" w:rsidTr="00CC2398">
        <w:trPr>
          <w:trHeight w:val="1425"/>
        </w:trPr>
        <w:tc>
          <w:tcPr>
            <w:tcW w:w="610" w:type="pct"/>
            <w:shd w:val="clear" w:color="000000" w:fill="FFFFFF"/>
            <w:hideMark/>
          </w:tcPr>
          <w:p w14:paraId="6BBCD3FC" w14:textId="77777777" w:rsidR="00C77FE3" w:rsidRPr="00945C2E" w:rsidRDefault="00C77FE3" w:rsidP="00CC2398">
            <w:pPr>
              <w:widowControl w:val="0"/>
              <w:suppressAutoHyphens/>
              <w:rPr>
                <w:color w:val="000000"/>
              </w:rPr>
            </w:pPr>
            <w:r w:rsidRPr="00945C2E">
              <w:rPr>
                <w:color w:val="000000"/>
              </w:rPr>
              <w:t>Anderson (1996)</w:t>
            </w:r>
          </w:p>
        </w:tc>
        <w:tc>
          <w:tcPr>
            <w:tcW w:w="719" w:type="pct"/>
            <w:shd w:val="clear" w:color="000000" w:fill="FFFFFF"/>
            <w:hideMark/>
          </w:tcPr>
          <w:p w14:paraId="461D492E" w14:textId="77777777" w:rsidR="00C77FE3" w:rsidRPr="00945C2E" w:rsidRDefault="00C77FE3" w:rsidP="00CC2398">
            <w:pPr>
              <w:widowControl w:val="0"/>
              <w:suppressAutoHyphens/>
              <w:rPr>
                <w:color w:val="000000"/>
              </w:rPr>
            </w:pPr>
            <w:r w:rsidRPr="00945C2E">
              <w:rPr>
                <w:color w:val="000000"/>
              </w:rPr>
              <w:t xml:space="preserve">Price </w:t>
            </w:r>
            <w:r>
              <w:rPr>
                <w:color w:val="000000"/>
              </w:rPr>
              <w:t>t</w:t>
            </w:r>
            <w:r w:rsidRPr="00945C2E">
              <w:rPr>
                <w:color w:val="000000"/>
              </w:rPr>
              <w:t>olerance</w:t>
            </w:r>
            <w:r>
              <w:rPr>
                <w:color w:val="000000"/>
              </w:rPr>
              <w:t>–CSAT</w:t>
            </w:r>
            <w:r w:rsidRPr="00945C2E">
              <w:rPr>
                <w:color w:val="000000"/>
              </w:rPr>
              <w:t xml:space="preserve"> </w:t>
            </w:r>
            <w:r>
              <w:rPr>
                <w:color w:val="000000"/>
              </w:rPr>
              <w:t>l</w:t>
            </w:r>
            <w:r w:rsidRPr="00945C2E">
              <w:rPr>
                <w:color w:val="000000"/>
              </w:rPr>
              <w:t>ink</w:t>
            </w:r>
          </w:p>
        </w:tc>
        <w:tc>
          <w:tcPr>
            <w:tcW w:w="2060" w:type="pct"/>
            <w:shd w:val="clear" w:color="000000" w:fill="FFFFFF"/>
            <w:hideMark/>
          </w:tcPr>
          <w:p w14:paraId="6C8D536F" w14:textId="77777777" w:rsidR="00C77FE3" w:rsidRPr="00945C2E" w:rsidRDefault="00C77FE3" w:rsidP="00CC2398">
            <w:pPr>
              <w:widowControl w:val="0"/>
              <w:suppressAutoHyphens/>
              <w:rPr>
                <w:color w:val="000000"/>
              </w:rPr>
            </w:pPr>
            <w:r>
              <w:rPr>
                <w:color w:val="000000"/>
              </w:rPr>
              <w:t>CSAT</w:t>
            </w:r>
            <w:r w:rsidRPr="00945C2E">
              <w:rPr>
                <w:color w:val="000000"/>
              </w:rPr>
              <w:t xml:space="preserve"> levels are negatively associated with price tolerance, but year-to-year improvements in satisfaction increase willingness</w:t>
            </w:r>
            <w:r>
              <w:rPr>
                <w:color w:val="000000"/>
              </w:rPr>
              <w:t xml:space="preserve"> </w:t>
            </w:r>
            <w:r w:rsidRPr="00945C2E">
              <w:rPr>
                <w:color w:val="000000"/>
              </w:rPr>
              <w:t>to</w:t>
            </w:r>
            <w:r>
              <w:rPr>
                <w:color w:val="000000"/>
              </w:rPr>
              <w:t xml:space="preserve"> </w:t>
            </w:r>
            <w:r w:rsidRPr="00945C2E">
              <w:rPr>
                <w:color w:val="000000"/>
              </w:rPr>
              <w:t>pay and reduce price sensitivity.</w:t>
            </w:r>
          </w:p>
        </w:tc>
        <w:tc>
          <w:tcPr>
            <w:tcW w:w="495" w:type="pct"/>
            <w:shd w:val="clear" w:color="000000" w:fill="FFFFFF"/>
            <w:hideMark/>
          </w:tcPr>
          <w:p w14:paraId="04C6AE7B"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55206067" w14:textId="77777777" w:rsidR="00C77FE3" w:rsidRPr="00945C2E" w:rsidRDefault="00C77FE3" w:rsidP="00CC2398">
            <w:pPr>
              <w:widowControl w:val="0"/>
              <w:suppressAutoHyphens/>
              <w:rPr>
                <w:color w:val="000000"/>
              </w:rPr>
            </w:pPr>
            <w:r w:rsidRPr="00945C2E">
              <w:rPr>
                <w:color w:val="000000"/>
              </w:rPr>
              <w:t>Temporal changes in satisfaction</w:t>
            </w:r>
            <w:r>
              <w:rPr>
                <w:color w:val="000000"/>
              </w:rPr>
              <w:t xml:space="preserve"> </w:t>
            </w:r>
          </w:p>
        </w:tc>
      </w:tr>
      <w:tr w:rsidR="00C77FE3" w:rsidRPr="00945C2E" w14:paraId="757C399D" w14:textId="77777777" w:rsidTr="00CC2398">
        <w:trPr>
          <w:trHeight w:val="1880"/>
        </w:trPr>
        <w:tc>
          <w:tcPr>
            <w:tcW w:w="610" w:type="pct"/>
            <w:shd w:val="clear" w:color="000000" w:fill="FFFFFF"/>
            <w:hideMark/>
          </w:tcPr>
          <w:p w14:paraId="03288A0B" w14:textId="77777777" w:rsidR="00C77FE3" w:rsidRPr="00945C2E" w:rsidRDefault="00C77FE3" w:rsidP="00CC2398">
            <w:pPr>
              <w:widowControl w:val="0"/>
              <w:suppressAutoHyphens/>
              <w:rPr>
                <w:color w:val="000000"/>
              </w:rPr>
            </w:pPr>
            <w:r w:rsidRPr="00945C2E">
              <w:rPr>
                <w:color w:val="000000"/>
              </w:rPr>
              <w:lastRenderedPageBreak/>
              <w:t>Richins (1983)</w:t>
            </w:r>
          </w:p>
        </w:tc>
        <w:tc>
          <w:tcPr>
            <w:tcW w:w="719" w:type="pct"/>
            <w:shd w:val="clear" w:color="000000" w:fill="FFFFFF"/>
            <w:hideMark/>
          </w:tcPr>
          <w:p w14:paraId="454472B5" w14:textId="77777777" w:rsidR="00C77FE3" w:rsidRPr="00945C2E" w:rsidRDefault="00C77FE3" w:rsidP="00CC2398">
            <w:pPr>
              <w:widowControl w:val="0"/>
              <w:suppressAutoHyphens/>
              <w:rPr>
                <w:color w:val="000000"/>
              </w:rPr>
            </w:pPr>
            <w:r>
              <w:rPr>
                <w:color w:val="000000"/>
              </w:rPr>
              <w:t>CSAT–</w:t>
            </w:r>
            <w:r w:rsidRPr="00945C2E">
              <w:rPr>
                <w:color w:val="000000"/>
              </w:rPr>
              <w:t>W</w:t>
            </w:r>
            <w:r>
              <w:rPr>
                <w:color w:val="000000"/>
              </w:rPr>
              <w:t>OM</w:t>
            </w:r>
          </w:p>
        </w:tc>
        <w:tc>
          <w:tcPr>
            <w:tcW w:w="2060" w:type="pct"/>
            <w:shd w:val="clear" w:color="000000" w:fill="FFFFFF"/>
            <w:hideMark/>
          </w:tcPr>
          <w:p w14:paraId="6DF151C3" w14:textId="77777777" w:rsidR="00C77FE3" w:rsidRPr="00945C2E" w:rsidRDefault="00C77FE3" w:rsidP="00CC2398">
            <w:pPr>
              <w:widowControl w:val="0"/>
              <w:suppressAutoHyphens/>
              <w:rPr>
                <w:color w:val="000000"/>
              </w:rPr>
            </w:pPr>
            <w:r w:rsidRPr="00945C2E">
              <w:rPr>
                <w:color w:val="000000"/>
              </w:rPr>
              <w:t>Negative WOM is more likely when dissatisfaction is perceived as severe, the firm is blamed, and retailer responsiveness is perceived as low, distinguishing it from other complaint behaviors.</w:t>
            </w:r>
          </w:p>
        </w:tc>
        <w:tc>
          <w:tcPr>
            <w:tcW w:w="495" w:type="pct"/>
            <w:shd w:val="clear" w:color="000000" w:fill="FFFFFF"/>
            <w:hideMark/>
          </w:tcPr>
          <w:p w14:paraId="5DDA85AC"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2346FD9D" w14:textId="77777777" w:rsidR="00C77FE3" w:rsidRPr="00945C2E" w:rsidRDefault="00C77FE3" w:rsidP="00CC2398">
            <w:pPr>
              <w:widowControl w:val="0"/>
              <w:suppressAutoHyphens/>
              <w:rPr>
                <w:color w:val="000000"/>
              </w:rPr>
            </w:pPr>
            <w:r w:rsidRPr="00945C2E">
              <w:rPr>
                <w:color w:val="000000"/>
              </w:rPr>
              <w:t xml:space="preserve">Retailer </w:t>
            </w:r>
            <w:r>
              <w:rPr>
                <w:color w:val="000000"/>
              </w:rPr>
              <w:t>attribution and r</w:t>
            </w:r>
            <w:r w:rsidRPr="00945C2E">
              <w:rPr>
                <w:color w:val="000000"/>
              </w:rPr>
              <w:t>esponsiveness (</w:t>
            </w:r>
            <w:r>
              <w:rPr>
                <w:color w:val="000000"/>
              </w:rPr>
              <w:t xml:space="preserve">if </w:t>
            </w:r>
            <w:r w:rsidRPr="00945C2E">
              <w:rPr>
                <w:color w:val="000000"/>
              </w:rPr>
              <w:t xml:space="preserve">firm is </w:t>
            </w:r>
            <w:r>
              <w:rPr>
                <w:color w:val="000000"/>
              </w:rPr>
              <w:t>viewed</w:t>
            </w:r>
            <w:r w:rsidRPr="00945C2E">
              <w:rPr>
                <w:color w:val="000000"/>
              </w:rPr>
              <w:t xml:space="preserve"> as addressing the problem)</w:t>
            </w:r>
            <w:r>
              <w:rPr>
                <w:color w:val="000000"/>
              </w:rPr>
              <w:t xml:space="preserve">. </w:t>
            </w:r>
            <w:r w:rsidRPr="00945C2E">
              <w:rPr>
                <w:color w:val="000000"/>
              </w:rPr>
              <w:t>Nature/</w:t>
            </w:r>
            <w:r>
              <w:rPr>
                <w:color w:val="000000"/>
              </w:rPr>
              <w:t xml:space="preserve"> s</w:t>
            </w:r>
            <w:r w:rsidRPr="00945C2E">
              <w:rPr>
                <w:color w:val="000000"/>
              </w:rPr>
              <w:t xml:space="preserve">everity of </w:t>
            </w:r>
            <w:r>
              <w:rPr>
                <w:color w:val="000000"/>
              </w:rPr>
              <w:t>d</w:t>
            </w:r>
            <w:r w:rsidRPr="00945C2E">
              <w:rPr>
                <w:color w:val="000000"/>
              </w:rPr>
              <w:t xml:space="preserve">issatisfaction (extent and </w:t>
            </w:r>
            <w:r>
              <w:rPr>
                <w:color w:val="000000"/>
              </w:rPr>
              <w:t xml:space="preserve">issue </w:t>
            </w:r>
            <w:r w:rsidRPr="00945C2E">
              <w:rPr>
                <w:color w:val="000000"/>
              </w:rPr>
              <w:t>type)</w:t>
            </w:r>
          </w:p>
        </w:tc>
      </w:tr>
      <w:tr w:rsidR="00C77FE3" w:rsidRPr="00945C2E" w14:paraId="346634F9" w14:textId="77777777" w:rsidTr="00CC2398">
        <w:trPr>
          <w:trHeight w:val="1250"/>
        </w:trPr>
        <w:tc>
          <w:tcPr>
            <w:tcW w:w="610" w:type="pct"/>
            <w:shd w:val="clear" w:color="000000" w:fill="FFFFFF"/>
            <w:hideMark/>
          </w:tcPr>
          <w:p w14:paraId="39BB241C" w14:textId="77777777" w:rsidR="00C77FE3" w:rsidRPr="00945C2E" w:rsidRDefault="00C77FE3" w:rsidP="00CC2398">
            <w:pPr>
              <w:widowControl w:val="0"/>
              <w:suppressAutoHyphens/>
              <w:rPr>
                <w:color w:val="000000"/>
              </w:rPr>
            </w:pPr>
            <w:r w:rsidRPr="00945C2E">
              <w:rPr>
                <w:color w:val="000000"/>
              </w:rPr>
              <w:t>Anderson (1998)</w:t>
            </w:r>
          </w:p>
        </w:tc>
        <w:tc>
          <w:tcPr>
            <w:tcW w:w="719" w:type="pct"/>
            <w:shd w:val="clear" w:color="000000" w:fill="FFFFFF"/>
            <w:hideMark/>
          </w:tcPr>
          <w:p w14:paraId="5B652B8C" w14:textId="77777777" w:rsidR="00C77FE3" w:rsidRPr="00945C2E" w:rsidRDefault="00C77FE3" w:rsidP="00CC2398">
            <w:pPr>
              <w:widowControl w:val="0"/>
              <w:suppressAutoHyphens/>
              <w:rPr>
                <w:color w:val="000000"/>
              </w:rPr>
            </w:pPr>
            <w:r>
              <w:rPr>
                <w:color w:val="000000"/>
              </w:rPr>
              <w:t>CSAT–</w:t>
            </w:r>
            <w:r w:rsidRPr="00945C2E">
              <w:rPr>
                <w:color w:val="000000"/>
              </w:rPr>
              <w:t>W</w:t>
            </w:r>
            <w:r>
              <w:rPr>
                <w:color w:val="000000"/>
              </w:rPr>
              <w:t>OM</w:t>
            </w:r>
          </w:p>
        </w:tc>
        <w:tc>
          <w:tcPr>
            <w:tcW w:w="2060" w:type="pct"/>
            <w:shd w:val="clear" w:color="000000" w:fill="FFFFFF"/>
            <w:hideMark/>
          </w:tcPr>
          <w:p w14:paraId="534490D8" w14:textId="77777777" w:rsidR="00C77FE3" w:rsidRPr="00945C2E" w:rsidRDefault="00C77FE3" w:rsidP="00CC2398">
            <w:pPr>
              <w:widowControl w:val="0"/>
              <w:suppressAutoHyphens/>
              <w:rPr>
                <w:color w:val="000000"/>
              </w:rPr>
            </w:pPr>
            <w:r>
              <w:rPr>
                <w:color w:val="000000"/>
              </w:rPr>
              <w:t>CSAT</w:t>
            </w:r>
            <w:r w:rsidRPr="00945C2E">
              <w:rPr>
                <w:color w:val="000000"/>
              </w:rPr>
              <w:t xml:space="preserve"> strongly predicts positive WOM behavior, while dissatisfaction increases negative WOM; the relationship is nonlinear, with negative experiences having a stronger impact</w:t>
            </w:r>
            <w:r>
              <w:rPr>
                <w:color w:val="000000"/>
              </w:rPr>
              <w:t>.</w:t>
            </w:r>
          </w:p>
        </w:tc>
        <w:tc>
          <w:tcPr>
            <w:tcW w:w="495" w:type="pct"/>
            <w:shd w:val="clear" w:color="000000" w:fill="FFFFFF"/>
            <w:hideMark/>
          </w:tcPr>
          <w:p w14:paraId="08759965"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228A72E3" w14:textId="77777777" w:rsidR="00C77FE3" w:rsidRPr="00945C2E" w:rsidRDefault="00C77FE3" w:rsidP="00CC2398">
            <w:pPr>
              <w:widowControl w:val="0"/>
              <w:suppressAutoHyphens/>
              <w:rPr>
                <w:color w:val="000000"/>
              </w:rPr>
            </w:pPr>
            <w:r w:rsidRPr="00945C2E">
              <w:rPr>
                <w:color w:val="000000"/>
              </w:rPr>
              <w:t>Level of satisfaction/dissatisfaction</w:t>
            </w:r>
          </w:p>
        </w:tc>
      </w:tr>
      <w:tr w:rsidR="00C77FE3" w:rsidRPr="00945C2E" w14:paraId="122BD004" w14:textId="77777777" w:rsidTr="00CC2398">
        <w:trPr>
          <w:trHeight w:val="1250"/>
        </w:trPr>
        <w:tc>
          <w:tcPr>
            <w:tcW w:w="610" w:type="pct"/>
            <w:shd w:val="clear" w:color="000000" w:fill="FFFFFF"/>
            <w:hideMark/>
          </w:tcPr>
          <w:p w14:paraId="500B0B60" w14:textId="77777777" w:rsidR="00C77FE3" w:rsidRPr="00945C2E" w:rsidRDefault="00C77FE3" w:rsidP="00CC2398">
            <w:pPr>
              <w:widowControl w:val="0"/>
              <w:suppressAutoHyphens/>
              <w:rPr>
                <w:color w:val="000000"/>
              </w:rPr>
            </w:pPr>
            <w:r w:rsidRPr="00945C2E">
              <w:rPr>
                <w:color w:val="000000"/>
              </w:rPr>
              <w:t xml:space="preserve">Mittal </w:t>
            </w:r>
            <w:r>
              <w:rPr>
                <w:color w:val="000000"/>
              </w:rPr>
              <w:t>and</w:t>
            </w:r>
            <w:r w:rsidRPr="00945C2E">
              <w:rPr>
                <w:color w:val="000000"/>
              </w:rPr>
              <w:t xml:space="preserve"> Kamakura (2001)</w:t>
            </w:r>
          </w:p>
        </w:tc>
        <w:tc>
          <w:tcPr>
            <w:tcW w:w="719" w:type="pct"/>
            <w:shd w:val="clear" w:color="000000" w:fill="FFFFFF"/>
            <w:hideMark/>
          </w:tcPr>
          <w:p w14:paraId="52C03053" w14:textId="77777777" w:rsidR="00C77FE3" w:rsidRPr="00945C2E" w:rsidRDefault="00C77FE3" w:rsidP="00CC2398">
            <w:pPr>
              <w:widowControl w:val="0"/>
              <w:suppressAutoHyphens/>
              <w:rPr>
                <w:color w:val="000000"/>
              </w:rPr>
            </w:pPr>
            <w:r>
              <w:rPr>
                <w:color w:val="000000"/>
              </w:rPr>
              <w:t>CSAT</w:t>
            </w:r>
            <w:r w:rsidRPr="00945C2E">
              <w:rPr>
                <w:color w:val="000000"/>
              </w:rPr>
              <w:t>–behavior link, measurement bias</w:t>
            </w:r>
          </w:p>
        </w:tc>
        <w:tc>
          <w:tcPr>
            <w:tcW w:w="2060" w:type="pct"/>
            <w:shd w:val="clear" w:color="000000" w:fill="FFFFFF"/>
            <w:hideMark/>
          </w:tcPr>
          <w:p w14:paraId="320AC0D0" w14:textId="77777777" w:rsidR="00C77FE3" w:rsidRPr="00945C2E" w:rsidRDefault="00C77FE3" w:rsidP="00CC2398">
            <w:pPr>
              <w:widowControl w:val="0"/>
              <w:suppressAutoHyphens/>
              <w:rPr>
                <w:color w:val="000000"/>
              </w:rPr>
            </w:pPr>
            <w:r w:rsidRPr="00945C2E">
              <w:rPr>
                <w:color w:val="000000"/>
              </w:rPr>
              <w:t>Repurchase behavior is influenced by true satisfaction, but survey ratings are error-prone and biased by customer characteristics; thresholds and functional forms differ for intent vs. actual behavior.</w:t>
            </w:r>
          </w:p>
        </w:tc>
        <w:tc>
          <w:tcPr>
            <w:tcW w:w="495" w:type="pct"/>
            <w:shd w:val="clear" w:color="000000" w:fill="FFFFFF"/>
            <w:hideMark/>
          </w:tcPr>
          <w:p w14:paraId="6193AB2D"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791ABF5A" w14:textId="77777777" w:rsidR="00C77FE3" w:rsidRPr="00945C2E" w:rsidRDefault="00C77FE3" w:rsidP="00CC2398">
            <w:pPr>
              <w:widowControl w:val="0"/>
              <w:suppressAutoHyphens/>
              <w:rPr>
                <w:color w:val="000000"/>
              </w:rPr>
            </w:pPr>
            <w:r w:rsidRPr="00945C2E">
              <w:rPr>
                <w:color w:val="000000"/>
              </w:rPr>
              <w:t>Customer characteristics</w:t>
            </w:r>
          </w:p>
        </w:tc>
      </w:tr>
      <w:tr w:rsidR="00C77FE3" w:rsidRPr="00945C2E" w14:paraId="0DBBE7DF" w14:textId="77777777" w:rsidTr="00CC2398">
        <w:trPr>
          <w:trHeight w:val="989"/>
        </w:trPr>
        <w:tc>
          <w:tcPr>
            <w:tcW w:w="610" w:type="pct"/>
            <w:shd w:val="clear" w:color="000000" w:fill="FFFFFF"/>
            <w:hideMark/>
          </w:tcPr>
          <w:p w14:paraId="35D7E7B8" w14:textId="77777777" w:rsidR="00C77FE3" w:rsidRPr="00945C2E" w:rsidRDefault="00C77FE3" w:rsidP="00CC2398">
            <w:pPr>
              <w:widowControl w:val="0"/>
              <w:suppressAutoHyphens/>
              <w:rPr>
                <w:color w:val="000000"/>
              </w:rPr>
            </w:pPr>
            <w:r w:rsidRPr="00945C2E">
              <w:rPr>
                <w:color w:val="000000"/>
              </w:rPr>
              <w:t>Fornell</w:t>
            </w:r>
            <w:r>
              <w:rPr>
                <w:color w:val="000000"/>
              </w:rPr>
              <w:t xml:space="preserve"> et al. </w:t>
            </w:r>
            <w:r w:rsidRPr="00945C2E">
              <w:rPr>
                <w:color w:val="000000"/>
              </w:rPr>
              <w:t>(2010)</w:t>
            </w:r>
          </w:p>
        </w:tc>
        <w:tc>
          <w:tcPr>
            <w:tcW w:w="719" w:type="pct"/>
            <w:shd w:val="clear" w:color="000000" w:fill="FFFFFF"/>
            <w:hideMark/>
          </w:tcPr>
          <w:p w14:paraId="36E15583" w14:textId="77777777" w:rsidR="00C77FE3" w:rsidRPr="00945C2E" w:rsidRDefault="00C77FE3" w:rsidP="00CC2398">
            <w:pPr>
              <w:widowControl w:val="0"/>
              <w:suppressAutoHyphens/>
              <w:rPr>
                <w:color w:val="000000"/>
              </w:rPr>
            </w:pPr>
            <w:r>
              <w:rPr>
                <w:color w:val="000000"/>
              </w:rPr>
              <w:t>CSAT–</w:t>
            </w:r>
            <w:r w:rsidRPr="00945C2E">
              <w:rPr>
                <w:color w:val="000000"/>
              </w:rPr>
              <w:t>consumer spending growth</w:t>
            </w:r>
          </w:p>
        </w:tc>
        <w:tc>
          <w:tcPr>
            <w:tcW w:w="2060" w:type="pct"/>
            <w:shd w:val="clear" w:color="000000" w:fill="FFFFFF"/>
            <w:hideMark/>
          </w:tcPr>
          <w:p w14:paraId="7D9A49FE" w14:textId="77777777" w:rsidR="00C77FE3" w:rsidRPr="00945C2E" w:rsidRDefault="00C77FE3" w:rsidP="00CC2398">
            <w:pPr>
              <w:widowControl w:val="0"/>
              <w:suppressAutoHyphens/>
              <w:rPr>
                <w:color w:val="000000"/>
              </w:rPr>
            </w:pPr>
            <w:r>
              <w:rPr>
                <w:color w:val="000000"/>
              </w:rPr>
              <w:t>CSAT</w:t>
            </w:r>
            <w:r w:rsidRPr="00945C2E">
              <w:rPr>
                <w:color w:val="000000"/>
              </w:rPr>
              <w:t xml:space="preserve"> changes predict future consumer spending, explaining over 23% of variation in next-quarter growth, a notable improvement </w:t>
            </w:r>
            <w:r>
              <w:rPr>
                <w:color w:val="000000"/>
              </w:rPr>
              <w:t xml:space="preserve">on </w:t>
            </w:r>
            <w:r w:rsidRPr="00945C2E">
              <w:rPr>
                <w:color w:val="000000"/>
              </w:rPr>
              <w:t>prior models.</w:t>
            </w:r>
          </w:p>
        </w:tc>
        <w:tc>
          <w:tcPr>
            <w:tcW w:w="495" w:type="pct"/>
            <w:shd w:val="clear" w:color="000000" w:fill="FFFFFF"/>
            <w:hideMark/>
          </w:tcPr>
          <w:p w14:paraId="23159973" w14:textId="77777777" w:rsidR="00C77FE3" w:rsidRPr="00945C2E" w:rsidRDefault="00C77FE3" w:rsidP="00CC2398">
            <w:pPr>
              <w:widowControl w:val="0"/>
              <w:suppressAutoHyphens/>
              <w:rPr>
                <w:color w:val="000000"/>
              </w:rPr>
            </w:pPr>
            <w:r>
              <w:rPr>
                <w:color w:val="000000"/>
              </w:rPr>
              <w:t>Macro</w:t>
            </w:r>
          </w:p>
        </w:tc>
        <w:tc>
          <w:tcPr>
            <w:tcW w:w="1116" w:type="pct"/>
            <w:shd w:val="clear" w:color="000000" w:fill="FFFFFF"/>
            <w:hideMark/>
          </w:tcPr>
          <w:p w14:paraId="0EAC9424" w14:textId="77777777" w:rsidR="00C77FE3" w:rsidRPr="00945C2E" w:rsidRDefault="00C77FE3" w:rsidP="00CC2398">
            <w:pPr>
              <w:widowControl w:val="0"/>
              <w:suppressAutoHyphens/>
              <w:rPr>
                <w:color w:val="000000"/>
              </w:rPr>
            </w:pPr>
            <w:r w:rsidRPr="00945C2E">
              <w:rPr>
                <w:color w:val="000000"/>
              </w:rPr>
              <w:t>Debt</w:t>
            </w:r>
            <w:r>
              <w:rPr>
                <w:color w:val="000000"/>
              </w:rPr>
              <w:t>–s</w:t>
            </w:r>
            <w:r w:rsidRPr="00945C2E">
              <w:rPr>
                <w:color w:val="000000"/>
              </w:rPr>
              <w:t xml:space="preserve">ervice </w:t>
            </w:r>
            <w:r>
              <w:rPr>
                <w:color w:val="000000"/>
              </w:rPr>
              <w:t>r</w:t>
            </w:r>
            <w:r w:rsidRPr="00945C2E">
              <w:rPr>
                <w:color w:val="000000"/>
              </w:rPr>
              <w:t>atio</w:t>
            </w:r>
          </w:p>
        </w:tc>
      </w:tr>
      <w:tr w:rsidR="00C77FE3" w:rsidRPr="00945C2E" w14:paraId="7D624982" w14:textId="77777777" w:rsidTr="00CC2398">
        <w:trPr>
          <w:trHeight w:val="791"/>
        </w:trPr>
        <w:tc>
          <w:tcPr>
            <w:tcW w:w="610" w:type="pct"/>
            <w:shd w:val="clear" w:color="000000" w:fill="FFFFFF"/>
            <w:hideMark/>
          </w:tcPr>
          <w:p w14:paraId="7CBB11BA" w14:textId="77777777" w:rsidR="00C77FE3" w:rsidRPr="00945C2E" w:rsidRDefault="00C77FE3" w:rsidP="00CC2398">
            <w:pPr>
              <w:widowControl w:val="0"/>
              <w:suppressAutoHyphens/>
              <w:rPr>
                <w:color w:val="000000"/>
              </w:rPr>
            </w:pPr>
            <w:r w:rsidRPr="00945C2E">
              <w:rPr>
                <w:color w:val="000000"/>
              </w:rPr>
              <w:t xml:space="preserve">Huang </w:t>
            </w:r>
            <w:r>
              <w:rPr>
                <w:color w:val="000000"/>
              </w:rPr>
              <w:t>and</w:t>
            </w:r>
            <w:r w:rsidRPr="00945C2E">
              <w:rPr>
                <w:color w:val="000000"/>
              </w:rPr>
              <w:t xml:space="preserve"> Sudhir (2021)</w:t>
            </w:r>
          </w:p>
        </w:tc>
        <w:tc>
          <w:tcPr>
            <w:tcW w:w="719" w:type="pct"/>
            <w:shd w:val="clear" w:color="000000" w:fill="FFFFFF"/>
            <w:hideMark/>
          </w:tcPr>
          <w:p w14:paraId="2FA403DC" w14:textId="77777777" w:rsidR="00C77FE3" w:rsidRPr="00945C2E" w:rsidRDefault="00C77FE3" w:rsidP="00CC2398">
            <w:pPr>
              <w:widowControl w:val="0"/>
              <w:suppressAutoHyphens/>
              <w:rPr>
                <w:color w:val="000000"/>
              </w:rPr>
            </w:pPr>
            <w:r w:rsidRPr="00945C2E">
              <w:rPr>
                <w:color w:val="000000"/>
              </w:rPr>
              <w:t>Customer churn</w:t>
            </w:r>
          </w:p>
        </w:tc>
        <w:tc>
          <w:tcPr>
            <w:tcW w:w="2060" w:type="pct"/>
            <w:shd w:val="clear" w:color="000000" w:fill="FFFFFF"/>
            <w:hideMark/>
          </w:tcPr>
          <w:p w14:paraId="4234C8FE" w14:textId="77777777" w:rsidR="00C77FE3" w:rsidRPr="00945C2E" w:rsidRDefault="00C77FE3" w:rsidP="00CC2398">
            <w:pPr>
              <w:widowControl w:val="0"/>
              <w:suppressAutoHyphens/>
              <w:rPr>
                <w:color w:val="000000"/>
              </w:rPr>
            </w:pPr>
            <w:r w:rsidRPr="00945C2E">
              <w:rPr>
                <w:color w:val="000000"/>
              </w:rPr>
              <w:t>Established causal link between service satisfaction and loyalty and profitability using field experiments.</w:t>
            </w:r>
          </w:p>
        </w:tc>
        <w:tc>
          <w:tcPr>
            <w:tcW w:w="495" w:type="pct"/>
            <w:shd w:val="clear" w:color="000000" w:fill="FFFFFF"/>
            <w:hideMark/>
          </w:tcPr>
          <w:p w14:paraId="7E0F8958" w14:textId="77777777" w:rsidR="00C77FE3" w:rsidRPr="00945C2E" w:rsidRDefault="00C77FE3" w:rsidP="00CC2398">
            <w:pPr>
              <w:widowControl w:val="0"/>
              <w:suppressAutoHyphens/>
              <w:rPr>
                <w:color w:val="000000"/>
              </w:rPr>
            </w:pPr>
            <w:r>
              <w:rPr>
                <w:color w:val="000000"/>
              </w:rPr>
              <w:t xml:space="preserve">Micro, </w:t>
            </w:r>
            <w:proofErr w:type="spellStart"/>
            <w:r>
              <w:rPr>
                <w:color w:val="000000"/>
              </w:rPr>
              <w:t>meso</w:t>
            </w:r>
            <w:proofErr w:type="spellEnd"/>
          </w:p>
        </w:tc>
        <w:tc>
          <w:tcPr>
            <w:tcW w:w="1116" w:type="pct"/>
            <w:shd w:val="clear" w:color="000000" w:fill="FFFFFF"/>
            <w:hideMark/>
          </w:tcPr>
          <w:p w14:paraId="3514E357" w14:textId="77777777" w:rsidR="00C77FE3" w:rsidRPr="00945C2E" w:rsidRDefault="00C77FE3" w:rsidP="00CC2398">
            <w:pPr>
              <w:widowControl w:val="0"/>
              <w:suppressAutoHyphens/>
              <w:rPr>
                <w:color w:val="000000"/>
              </w:rPr>
            </w:pPr>
            <w:r w:rsidRPr="00945C2E">
              <w:rPr>
                <w:color w:val="000000"/>
              </w:rPr>
              <w:t>Service complexity</w:t>
            </w:r>
          </w:p>
        </w:tc>
      </w:tr>
      <w:tr w:rsidR="00C77FE3" w:rsidRPr="00945C2E" w14:paraId="3FB83F18" w14:textId="77777777" w:rsidTr="00CC2398">
        <w:trPr>
          <w:trHeight w:val="293"/>
        </w:trPr>
        <w:tc>
          <w:tcPr>
            <w:tcW w:w="5000" w:type="pct"/>
            <w:gridSpan w:val="5"/>
            <w:shd w:val="clear" w:color="000000" w:fill="D9D9D9"/>
            <w:hideMark/>
          </w:tcPr>
          <w:p w14:paraId="3EAAF650" w14:textId="77777777" w:rsidR="00C77FE3" w:rsidRPr="00945C2E" w:rsidRDefault="00C77FE3" w:rsidP="00CC2398">
            <w:pPr>
              <w:widowControl w:val="0"/>
              <w:suppressAutoHyphens/>
              <w:rPr>
                <w:b/>
                <w:bCs/>
                <w:color w:val="000000"/>
              </w:rPr>
            </w:pPr>
            <w:r w:rsidRPr="00945C2E">
              <w:rPr>
                <w:b/>
                <w:bCs/>
              </w:rPr>
              <w:t>2000</w:t>
            </w:r>
            <w:r>
              <w:rPr>
                <w:b/>
                <w:bCs/>
              </w:rPr>
              <w:t>–C</w:t>
            </w:r>
            <w:r w:rsidRPr="00945C2E">
              <w:rPr>
                <w:b/>
                <w:bCs/>
              </w:rPr>
              <w:t>urrent: Satisfaction</w:t>
            </w:r>
            <w:r>
              <w:rPr>
                <w:b/>
                <w:bCs/>
              </w:rPr>
              <w:t>–</w:t>
            </w:r>
            <w:r w:rsidRPr="00945C2E">
              <w:rPr>
                <w:b/>
                <w:bCs/>
              </w:rPr>
              <w:t>Performance Chain—An Integrated Approach to Strategic Management</w:t>
            </w:r>
          </w:p>
        </w:tc>
      </w:tr>
      <w:tr w:rsidR="00C77FE3" w:rsidRPr="00945C2E" w14:paraId="02D4F7D1" w14:textId="77777777" w:rsidTr="00CC2398">
        <w:trPr>
          <w:trHeight w:val="953"/>
        </w:trPr>
        <w:tc>
          <w:tcPr>
            <w:tcW w:w="610" w:type="pct"/>
            <w:shd w:val="clear" w:color="000000" w:fill="FFFFFF"/>
            <w:hideMark/>
          </w:tcPr>
          <w:p w14:paraId="1A594201" w14:textId="77777777" w:rsidR="00C77FE3" w:rsidRPr="00945C2E" w:rsidRDefault="00C77FE3" w:rsidP="00CC2398">
            <w:pPr>
              <w:widowControl w:val="0"/>
              <w:suppressAutoHyphens/>
              <w:rPr>
                <w:color w:val="000000"/>
              </w:rPr>
            </w:pPr>
            <w:r w:rsidRPr="00945C2E">
              <w:rPr>
                <w:color w:val="000000"/>
              </w:rPr>
              <w:t>Rucci</w:t>
            </w:r>
            <w:r>
              <w:rPr>
                <w:color w:val="000000"/>
              </w:rPr>
              <w:t xml:space="preserve"> et al.</w:t>
            </w:r>
            <w:r w:rsidRPr="00945C2E">
              <w:rPr>
                <w:color w:val="000000"/>
              </w:rPr>
              <w:t xml:space="preserve"> (1998)</w:t>
            </w:r>
          </w:p>
        </w:tc>
        <w:tc>
          <w:tcPr>
            <w:tcW w:w="719" w:type="pct"/>
            <w:shd w:val="clear" w:color="000000" w:fill="FFFFFF"/>
            <w:noWrap/>
            <w:hideMark/>
          </w:tcPr>
          <w:p w14:paraId="6D45E25F" w14:textId="77777777" w:rsidR="00C77FE3" w:rsidRPr="00945C2E" w:rsidRDefault="00C77FE3" w:rsidP="00CC2398">
            <w:pPr>
              <w:widowControl w:val="0"/>
              <w:suppressAutoHyphens/>
              <w:rPr>
                <w:color w:val="000000"/>
              </w:rPr>
            </w:pPr>
            <w:r w:rsidRPr="00945C2E">
              <w:rPr>
                <w:color w:val="000000"/>
              </w:rPr>
              <w:t>Employee</w:t>
            </w:r>
            <w:r>
              <w:rPr>
                <w:color w:val="000000"/>
              </w:rPr>
              <w:t>–</w:t>
            </w:r>
            <w:r w:rsidRPr="00945C2E">
              <w:rPr>
                <w:color w:val="000000"/>
              </w:rPr>
              <w:t>customer</w:t>
            </w:r>
            <w:r>
              <w:rPr>
                <w:color w:val="000000"/>
              </w:rPr>
              <w:t>-</w:t>
            </w:r>
            <w:r w:rsidRPr="00945C2E">
              <w:rPr>
                <w:color w:val="000000"/>
              </w:rPr>
              <w:t>profit chain</w:t>
            </w:r>
          </w:p>
        </w:tc>
        <w:tc>
          <w:tcPr>
            <w:tcW w:w="2060" w:type="pct"/>
            <w:shd w:val="clear" w:color="000000" w:fill="FFFFFF"/>
            <w:hideMark/>
          </w:tcPr>
          <w:p w14:paraId="2D0A57B1" w14:textId="77777777" w:rsidR="00C77FE3" w:rsidRPr="00945C2E" w:rsidRDefault="00C77FE3" w:rsidP="00CC2398">
            <w:pPr>
              <w:widowControl w:val="0"/>
              <w:suppressAutoHyphens/>
              <w:rPr>
                <w:color w:val="000000"/>
              </w:rPr>
            </w:pPr>
            <w:r w:rsidRPr="00945C2E">
              <w:rPr>
                <w:color w:val="000000"/>
              </w:rPr>
              <w:t xml:space="preserve">Improvements in employee attitudes lead to higher employee satisfaction, which drives better </w:t>
            </w:r>
            <w:r>
              <w:rPr>
                <w:color w:val="000000"/>
              </w:rPr>
              <w:t>CSAT</w:t>
            </w:r>
            <w:r w:rsidRPr="00945C2E">
              <w:rPr>
                <w:color w:val="000000"/>
              </w:rPr>
              <w:t xml:space="preserve"> and ultimately improves financial performance</w:t>
            </w:r>
            <w:r>
              <w:rPr>
                <w:color w:val="000000"/>
              </w:rPr>
              <w:t>.</w:t>
            </w:r>
          </w:p>
        </w:tc>
        <w:tc>
          <w:tcPr>
            <w:tcW w:w="495" w:type="pct"/>
            <w:shd w:val="clear" w:color="000000" w:fill="FFFFFF"/>
            <w:noWrap/>
            <w:hideMark/>
          </w:tcPr>
          <w:p w14:paraId="00D2DA7A"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34141E23" w14:textId="77777777" w:rsidR="00C77FE3" w:rsidRPr="00945C2E" w:rsidRDefault="00C77FE3" w:rsidP="00CC2398">
            <w:pPr>
              <w:widowControl w:val="0"/>
              <w:suppressAutoHyphens/>
              <w:rPr>
                <w:color w:val="000000"/>
              </w:rPr>
            </w:pPr>
            <w:r w:rsidRPr="00945C2E">
              <w:rPr>
                <w:color w:val="000000"/>
              </w:rPr>
              <w:t>Store-level execution, employee engagement, and service quality consistency</w:t>
            </w:r>
          </w:p>
        </w:tc>
      </w:tr>
      <w:tr w:rsidR="00C77FE3" w:rsidRPr="00945C2E" w14:paraId="401CDA80" w14:textId="77777777" w:rsidTr="00CC2398">
        <w:trPr>
          <w:trHeight w:val="1425"/>
        </w:trPr>
        <w:tc>
          <w:tcPr>
            <w:tcW w:w="610" w:type="pct"/>
            <w:shd w:val="clear" w:color="000000" w:fill="FFFFFF"/>
            <w:hideMark/>
          </w:tcPr>
          <w:p w14:paraId="3F33B666" w14:textId="77777777" w:rsidR="00C77FE3" w:rsidRPr="00945C2E" w:rsidRDefault="00C77FE3" w:rsidP="00CC2398">
            <w:pPr>
              <w:widowControl w:val="0"/>
              <w:suppressAutoHyphens/>
              <w:rPr>
                <w:color w:val="000000"/>
              </w:rPr>
            </w:pPr>
            <w:r w:rsidRPr="00945C2E">
              <w:rPr>
                <w:color w:val="000000"/>
              </w:rPr>
              <w:t xml:space="preserve">Bowman </w:t>
            </w:r>
            <w:r>
              <w:rPr>
                <w:color w:val="000000"/>
              </w:rPr>
              <w:t>and</w:t>
            </w:r>
            <w:r w:rsidRPr="00945C2E">
              <w:rPr>
                <w:color w:val="000000"/>
              </w:rPr>
              <w:t xml:space="preserve"> </w:t>
            </w:r>
            <w:proofErr w:type="spellStart"/>
            <w:r w:rsidRPr="00945C2E">
              <w:rPr>
                <w:color w:val="000000"/>
              </w:rPr>
              <w:t>Narayandas</w:t>
            </w:r>
            <w:proofErr w:type="spellEnd"/>
            <w:r w:rsidRPr="00945C2E">
              <w:rPr>
                <w:color w:val="000000"/>
              </w:rPr>
              <w:t xml:space="preserve"> (2004)</w:t>
            </w:r>
          </w:p>
        </w:tc>
        <w:tc>
          <w:tcPr>
            <w:tcW w:w="719" w:type="pct"/>
            <w:shd w:val="clear" w:color="000000" w:fill="FFFFFF"/>
            <w:hideMark/>
          </w:tcPr>
          <w:p w14:paraId="3DE9425C" w14:textId="77777777" w:rsidR="00C77FE3" w:rsidRPr="00945C2E" w:rsidRDefault="00C77FE3" w:rsidP="00CC2398">
            <w:pPr>
              <w:widowControl w:val="0"/>
              <w:suppressAutoHyphens/>
              <w:rPr>
                <w:color w:val="000000"/>
              </w:rPr>
            </w:pPr>
            <w:r w:rsidRPr="00945C2E">
              <w:rPr>
                <w:color w:val="000000"/>
              </w:rPr>
              <w:t>SPC adaptation</w:t>
            </w:r>
            <w:r>
              <w:rPr>
                <w:color w:val="000000"/>
              </w:rPr>
              <w:t>,</w:t>
            </w:r>
            <w:r w:rsidRPr="00945C2E">
              <w:rPr>
                <w:color w:val="000000"/>
              </w:rPr>
              <w:t xml:space="preserve"> customer profitability</w:t>
            </w:r>
            <w:r>
              <w:rPr>
                <w:color w:val="000000"/>
              </w:rPr>
              <w:t>,</w:t>
            </w:r>
            <w:r w:rsidRPr="00945C2E">
              <w:rPr>
                <w:color w:val="000000"/>
              </w:rPr>
              <w:t xml:space="preserve"> business markets</w:t>
            </w:r>
          </w:p>
        </w:tc>
        <w:tc>
          <w:tcPr>
            <w:tcW w:w="2060" w:type="pct"/>
            <w:shd w:val="clear" w:color="000000" w:fill="FFFFFF"/>
            <w:hideMark/>
          </w:tcPr>
          <w:p w14:paraId="38A3874F" w14:textId="77777777" w:rsidR="00C77FE3" w:rsidRPr="00945C2E" w:rsidRDefault="00C77FE3" w:rsidP="00CC2398">
            <w:pPr>
              <w:widowControl w:val="0"/>
              <w:suppressAutoHyphens/>
              <w:rPr>
                <w:color w:val="000000"/>
              </w:rPr>
            </w:pPr>
            <w:r w:rsidRPr="00945C2E">
              <w:rPr>
                <w:color w:val="000000"/>
              </w:rPr>
              <w:t xml:space="preserve">Adapting the </w:t>
            </w:r>
            <w:r>
              <w:rPr>
                <w:color w:val="000000"/>
              </w:rPr>
              <w:t>s</w:t>
            </w:r>
            <w:r w:rsidRPr="00945C2E">
              <w:rPr>
                <w:color w:val="000000"/>
              </w:rPr>
              <w:t>ervice</w:t>
            </w:r>
            <w:r>
              <w:rPr>
                <w:color w:val="000000"/>
              </w:rPr>
              <w:t>-p</w:t>
            </w:r>
            <w:r w:rsidRPr="00945C2E">
              <w:rPr>
                <w:color w:val="000000"/>
              </w:rPr>
              <w:t xml:space="preserve">rofit </w:t>
            </w:r>
            <w:r>
              <w:rPr>
                <w:color w:val="000000"/>
              </w:rPr>
              <w:t>c</w:t>
            </w:r>
            <w:r w:rsidRPr="00945C2E">
              <w:rPr>
                <w:color w:val="000000"/>
              </w:rPr>
              <w:t xml:space="preserve">hain to business markets shows that vendor effort improves </w:t>
            </w:r>
            <w:r>
              <w:rPr>
                <w:color w:val="000000"/>
              </w:rPr>
              <w:t>CSAT</w:t>
            </w:r>
            <w:r w:rsidRPr="00945C2E">
              <w:rPr>
                <w:color w:val="000000"/>
              </w:rPr>
              <w:t>, which mediates the link to account profitability; effects are nonlinear with diminishing returns</w:t>
            </w:r>
            <w:r>
              <w:rPr>
                <w:color w:val="000000"/>
              </w:rPr>
              <w:t>.</w:t>
            </w:r>
          </w:p>
        </w:tc>
        <w:tc>
          <w:tcPr>
            <w:tcW w:w="495" w:type="pct"/>
            <w:shd w:val="clear" w:color="000000" w:fill="FFFFFF"/>
            <w:noWrap/>
            <w:hideMark/>
          </w:tcPr>
          <w:p w14:paraId="748AAAE7"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06CB4B85" w14:textId="77777777" w:rsidR="00C77FE3" w:rsidRPr="00945C2E" w:rsidRDefault="00C77FE3" w:rsidP="00CC2398">
            <w:pPr>
              <w:widowControl w:val="0"/>
              <w:suppressAutoHyphens/>
              <w:rPr>
                <w:color w:val="000000"/>
              </w:rPr>
            </w:pPr>
            <w:r w:rsidRPr="00945C2E">
              <w:rPr>
                <w:color w:val="000000"/>
              </w:rPr>
              <w:t>Competitive context and customer-specific characteristics</w:t>
            </w:r>
          </w:p>
        </w:tc>
      </w:tr>
      <w:tr w:rsidR="00C77FE3" w:rsidRPr="00945C2E" w14:paraId="0FF1DF19" w14:textId="77777777" w:rsidTr="00CC2398">
        <w:trPr>
          <w:trHeight w:val="980"/>
        </w:trPr>
        <w:tc>
          <w:tcPr>
            <w:tcW w:w="610" w:type="pct"/>
            <w:shd w:val="clear" w:color="000000" w:fill="FFFFFF"/>
            <w:hideMark/>
          </w:tcPr>
          <w:p w14:paraId="2DF72848" w14:textId="77777777" w:rsidR="00C77FE3" w:rsidRPr="00945C2E" w:rsidRDefault="00C77FE3" w:rsidP="00CC2398">
            <w:pPr>
              <w:widowControl w:val="0"/>
              <w:suppressAutoHyphens/>
              <w:rPr>
                <w:color w:val="000000"/>
              </w:rPr>
            </w:pPr>
            <w:r w:rsidRPr="00945C2E">
              <w:rPr>
                <w:color w:val="000000"/>
              </w:rPr>
              <w:lastRenderedPageBreak/>
              <w:t>Kamakura et al. (2002)</w:t>
            </w:r>
          </w:p>
        </w:tc>
        <w:tc>
          <w:tcPr>
            <w:tcW w:w="719" w:type="pct"/>
            <w:shd w:val="clear" w:color="000000" w:fill="FFFFFF"/>
            <w:noWrap/>
            <w:hideMark/>
          </w:tcPr>
          <w:p w14:paraId="7DD12C71" w14:textId="77777777" w:rsidR="00C77FE3" w:rsidRPr="00945C2E" w:rsidRDefault="00C77FE3" w:rsidP="00CC2398">
            <w:pPr>
              <w:widowControl w:val="0"/>
              <w:suppressAutoHyphens/>
              <w:rPr>
                <w:color w:val="000000"/>
              </w:rPr>
            </w:pPr>
            <w:r w:rsidRPr="00945C2E">
              <w:rPr>
                <w:color w:val="000000"/>
              </w:rPr>
              <w:t>SPC assessment</w:t>
            </w:r>
          </w:p>
        </w:tc>
        <w:tc>
          <w:tcPr>
            <w:tcW w:w="2060" w:type="pct"/>
            <w:shd w:val="clear" w:color="000000" w:fill="FFFFFF"/>
            <w:hideMark/>
          </w:tcPr>
          <w:p w14:paraId="5CA2E688" w14:textId="77777777" w:rsidR="00C77FE3" w:rsidRPr="00945C2E" w:rsidRDefault="00C77FE3" w:rsidP="00CC2398">
            <w:pPr>
              <w:widowControl w:val="0"/>
              <w:suppressAutoHyphens/>
              <w:rPr>
                <w:color w:val="000000"/>
              </w:rPr>
            </w:pPr>
            <w:r w:rsidRPr="00945C2E">
              <w:rPr>
                <w:color w:val="000000"/>
              </w:rPr>
              <w:t xml:space="preserve">Comprehensive SPC modeling shows that </w:t>
            </w:r>
            <w:r>
              <w:rPr>
                <w:color w:val="000000"/>
              </w:rPr>
              <w:t>CSAT</w:t>
            </w:r>
            <w:r w:rsidRPr="00945C2E">
              <w:rPr>
                <w:color w:val="000000"/>
              </w:rPr>
              <w:t xml:space="preserve"> is critical but not sufficient </w:t>
            </w:r>
            <w:r>
              <w:rPr>
                <w:color w:val="000000"/>
              </w:rPr>
              <w:t xml:space="preserve">to </w:t>
            </w:r>
            <w:r w:rsidRPr="00945C2E">
              <w:rPr>
                <w:color w:val="000000"/>
              </w:rPr>
              <w:t xml:space="preserve">translate </w:t>
            </w:r>
            <w:r>
              <w:rPr>
                <w:color w:val="000000"/>
              </w:rPr>
              <w:t xml:space="preserve">branch-level efficiency </w:t>
            </w:r>
            <w:r w:rsidRPr="00945C2E">
              <w:rPr>
                <w:color w:val="000000"/>
              </w:rPr>
              <w:t>into profitable behaviors.</w:t>
            </w:r>
          </w:p>
        </w:tc>
        <w:tc>
          <w:tcPr>
            <w:tcW w:w="495" w:type="pct"/>
            <w:shd w:val="clear" w:color="000000" w:fill="FFFFFF"/>
            <w:noWrap/>
            <w:hideMark/>
          </w:tcPr>
          <w:p w14:paraId="7072D66E"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009930CD" w14:textId="77777777" w:rsidR="00C77FE3" w:rsidRPr="00945C2E" w:rsidRDefault="00C77FE3" w:rsidP="00CC2398">
            <w:pPr>
              <w:widowControl w:val="0"/>
              <w:suppressAutoHyphens/>
              <w:rPr>
                <w:color w:val="000000"/>
              </w:rPr>
            </w:pPr>
            <w:r w:rsidRPr="00945C2E">
              <w:rPr>
                <w:color w:val="000000"/>
              </w:rPr>
              <w:t>Branch efficiency, customer behavioral response, and operational inputs</w:t>
            </w:r>
          </w:p>
        </w:tc>
      </w:tr>
      <w:tr w:rsidR="00C77FE3" w:rsidRPr="00945C2E" w14:paraId="12E4C4B5" w14:textId="77777777" w:rsidTr="00CC2398">
        <w:trPr>
          <w:trHeight w:val="1340"/>
        </w:trPr>
        <w:tc>
          <w:tcPr>
            <w:tcW w:w="610" w:type="pct"/>
            <w:shd w:val="clear" w:color="000000" w:fill="FFFFFF"/>
            <w:hideMark/>
          </w:tcPr>
          <w:p w14:paraId="4D088585" w14:textId="77777777" w:rsidR="00C77FE3" w:rsidRPr="00945C2E" w:rsidRDefault="00C77FE3" w:rsidP="00CC2398">
            <w:pPr>
              <w:widowControl w:val="0"/>
              <w:suppressAutoHyphens/>
              <w:rPr>
                <w:color w:val="000000"/>
              </w:rPr>
            </w:pPr>
            <w:r w:rsidRPr="00945C2E">
              <w:rPr>
                <w:color w:val="000000"/>
              </w:rPr>
              <w:t>Homburg</w:t>
            </w:r>
            <w:r>
              <w:rPr>
                <w:color w:val="000000"/>
              </w:rPr>
              <w:t xml:space="preserve"> et al. </w:t>
            </w:r>
            <w:r w:rsidRPr="00945C2E">
              <w:rPr>
                <w:color w:val="000000"/>
              </w:rPr>
              <w:t>(2009)</w:t>
            </w:r>
          </w:p>
        </w:tc>
        <w:tc>
          <w:tcPr>
            <w:tcW w:w="719" w:type="pct"/>
            <w:shd w:val="clear" w:color="000000" w:fill="FFFFFF"/>
            <w:noWrap/>
            <w:hideMark/>
          </w:tcPr>
          <w:p w14:paraId="5AF71093" w14:textId="77777777" w:rsidR="00C77FE3" w:rsidRPr="00945C2E" w:rsidRDefault="00C77FE3" w:rsidP="00CC2398">
            <w:pPr>
              <w:widowControl w:val="0"/>
              <w:suppressAutoHyphens/>
              <w:rPr>
                <w:color w:val="000000"/>
              </w:rPr>
            </w:pPr>
            <w:r w:rsidRPr="00945C2E">
              <w:rPr>
                <w:color w:val="000000"/>
              </w:rPr>
              <w:t>Social identity &amp; SPC</w:t>
            </w:r>
          </w:p>
        </w:tc>
        <w:tc>
          <w:tcPr>
            <w:tcW w:w="2060" w:type="pct"/>
            <w:shd w:val="clear" w:color="000000" w:fill="FFFFFF"/>
            <w:hideMark/>
          </w:tcPr>
          <w:p w14:paraId="5343C40C" w14:textId="77777777" w:rsidR="00C77FE3" w:rsidRPr="00945C2E" w:rsidRDefault="00C77FE3" w:rsidP="00CC2398">
            <w:pPr>
              <w:widowControl w:val="0"/>
              <w:suppressAutoHyphens/>
              <w:rPr>
                <w:color w:val="000000"/>
              </w:rPr>
            </w:pPr>
            <w:r>
              <w:rPr>
                <w:color w:val="000000"/>
              </w:rPr>
              <w:t>I</w:t>
            </w:r>
            <w:r w:rsidRPr="00945C2E">
              <w:rPr>
                <w:color w:val="000000"/>
              </w:rPr>
              <w:t xml:space="preserve">ncluding customer and employee company identification </w:t>
            </w:r>
            <w:r>
              <w:rPr>
                <w:color w:val="000000"/>
              </w:rPr>
              <w:t xml:space="preserve">in SPC </w:t>
            </w:r>
            <w:r w:rsidRPr="00945C2E">
              <w:rPr>
                <w:color w:val="000000"/>
              </w:rPr>
              <w:t>strengthens the link between employee satisfaction, CSAT, loyalty, and financial performance beyond the conventional SPC path.</w:t>
            </w:r>
          </w:p>
        </w:tc>
        <w:tc>
          <w:tcPr>
            <w:tcW w:w="495" w:type="pct"/>
            <w:shd w:val="clear" w:color="000000" w:fill="FFFFFF"/>
            <w:noWrap/>
            <w:hideMark/>
          </w:tcPr>
          <w:p w14:paraId="69C4E8BB"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42214F1C" w14:textId="77777777" w:rsidR="00C77FE3" w:rsidRPr="00945C2E" w:rsidRDefault="00C77FE3" w:rsidP="00CC2398">
            <w:pPr>
              <w:widowControl w:val="0"/>
              <w:suppressAutoHyphens/>
              <w:rPr>
                <w:color w:val="000000"/>
              </w:rPr>
            </w:pPr>
            <w:r w:rsidRPr="00945C2E">
              <w:rPr>
                <w:color w:val="000000"/>
              </w:rPr>
              <w:t>Social identity strength</w:t>
            </w:r>
          </w:p>
        </w:tc>
      </w:tr>
      <w:tr w:rsidR="00C77FE3" w:rsidRPr="00945C2E" w14:paraId="0D607B7C" w14:textId="77777777" w:rsidTr="00CC2398">
        <w:trPr>
          <w:trHeight w:val="855"/>
        </w:trPr>
        <w:tc>
          <w:tcPr>
            <w:tcW w:w="610" w:type="pct"/>
            <w:shd w:val="clear" w:color="000000" w:fill="FFFFFF"/>
            <w:hideMark/>
          </w:tcPr>
          <w:p w14:paraId="6D5B1DEE" w14:textId="77777777" w:rsidR="00C77FE3" w:rsidRPr="00945C2E" w:rsidRDefault="00C77FE3" w:rsidP="00CC2398">
            <w:pPr>
              <w:widowControl w:val="0"/>
              <w:suppressAutoHyphens/>
              <w:rPr>
                <w:color w:val="000000"/>
              </w:rPr>
            </w:pPr>
            <w:proofErr w:type="spellStart"/>
            <w:r w:rsidRPr="00945C2E">
              <w:rPr>
                <w:color w:val="000000"/>
              </w:rPr>
              <w:t>Hogreve</w:t>
            </w:r>
            <w:proofErr w:type="spellEnd"/>
            <w:r w:rsidRPr="00945C2E">
              <w:rPr>
                <w:color w:val="000000"/>
              </w:rPr>
              <w:t xml:space="preserve"> et al. (2017)</w:t>
            </w:r>
          </w:p>
        </w:tc>
        <w:tc>
          <w:tcPr>
            <w:tcW w:w="719" w:type="pct"/>
            <w:shd w:val="clear" w:color="000000" w:fill="FFFFFF"/>
            <w:noWrap/>
            <w:hideMark/>
          </w:tcPr>
          <w:p w14:paraId="5B982CEB" w14:textId="77777777" w:rsidR="00C77FE3" w:rsidRPr="00945C2E" w:rsidRDefault="00C77FE3" w:rsidP="00CC2398">
            <w:pPr>
              <w:widowControl w:val="0"/>
              <w:suppressAutoHyphens/>
              <w:rPr>
                <w:color w:val="000000"/>
              </w:rPr>
            </w:pPr>
            <w:r w:rsidRPr="00945C2E">
              <w:rPr>
                <w:color w:val="000000"/>
              </w:rPr>
              <w:t>SPC meta-analysis</w:t>
            </w:r>
          </w:p>
        </w:tc>
        <w:tc>
          <w:tcPr>
            <w:tcW w:w="2060" w:type="pct"/>
            <w:shd w:val="clear" w:color="000000" w:fill="FFFFFF"/>
            <w:hideMark/>
          </w:tcPr>
          <w:p w14:paraId="78001E24" w14:textId="77777777" w:rsidR="00C77FE3" w:rsidRPr="00945C2E" w:rsidRDefault="00C77FE3" w:rsidP="00CC2398">
            <w:pPr>
              <w:widowControl w:val="0"/>
              <w:suppressAutoHyphens/>
              <w:rPr>
                <w:color w:val="000000"/>
              </w:rPr>
            </w:pPr>
            <w:r w:rsidRPr="00945C2E">
              <w:rPr>
                <w:color w:val="000000"/>
              </w:rPr>
              <w:t>Confirmed SPC as a robust framework.</w:t>
            </w:r>
          </w:p>
        </w:tc>
        <w:tc>
          <w:tcPr>
            <w:tcW w:w="495" w:type="pct"/>
            <w:shd w:val="clear" w:color="000000" w:fill="FFFFFF"/>
            <w:noWrap/>
            <w:hideMark/>
          </w:tcPr>
          <w:p w14:paraId="37914510"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5B134590" w14:textId="77777777" w:rsidR="00C77FE3" w:rsidRPr="00945C2E" w:rsidRDefault="00C77FE3" w:rsidP="00CC2398">
            <w:pPr>
              <w:widowControl w:val="0"/>
              <w:suppressAutoHyphens/>
              <w:rPr>
                <w:color w:val="000000"/>
              </w:rPr>
            </w:pPr>
            <w:r w:rsidRPr="00945C2E">
              <w:rPr>
                <w:color w:val="000000"/>
              </w:rPr>
              <w:t>Type of service, service encounter quality, and customer relationship characteristics</w:t>
            </w:r>
          </w:p>
        </w:tc>
      </w:tr>
      <w:tr w:rsidR="00C77FE3" w:rsidRPr="00945C2E" w14:paraId="75D95B7C" w14:textId="77777777" w:rsidTr="00CC2398">
        <w:trPr>
          <w:trHeight w:val="1304"/>
        </w:trPr>
        <w:tc>
          <w:tcPr>
            <w:tcW w:w="610" w:type="pct"/>
            <w:shd w:val="clear" w:color="000000" w:fill="FFFFFF"/>
            <w:hideMark/>
          </w:tcPr>
          <w:p w14:paraId="496DF32D" w14:textId="77777777" w:rsidR="00C77FE3" w:rsidRPr="00945C2E" w:rsidRDefault="00C77FE3" w:rsidP="00CC2398">
            <w:pPr>
              <w:widowControl w:val="0"/>
              <w:suppressAutoHyphens/>
              <w:rPr>
                <w:color w:val="000000"/>
              </w:rPr>
            </w:pPr>
            <w:r w:rsidRPr="00945C2E">
              <w:rPr>
                <w:color w:val="000000"/>
              </w:rPr>
              <w:t>Mittal et al. (2021)</w:t>
            </w:r>
          </w:p>
        </w:tc>
        <w:tc>
          <w:tcPr>
            <w:tcW w:w="719" w:type="pct"/>
            <w:shd w:val="clear" w:color="000000" w:fill="FFFFFF"/>
            <w:noWrap/>
            <w:hideMark/>
          </w:tcPr>
          <w:p w14:paraId="1A16E8DB" w14:textId="77777777" w:rsidR="00C77FE3" w:rsidRPr="00945C2E" w:rsidRDefault="00C77FE3" w:rsidP="00CC2398">
            <w:pPr>
              <w:widowControl w:val="0"/>
              <w:suppressAutoHyphens/>
              <w:rPr>
                <w:color w:val="000000"/>
              </w:rPr>
            </w:pPr>
            <w:r w:rsidRPr="00945C2E">
              <w:rPr>
                <w:color w:val="000000"/>
              </w:rPr>
              <w:t xml:space="preserve">B2B </w:t>
            </w:r>
            <w:r>
              <w:rPr>
                <w:color w:val="000000"/>
              </w:rPr>
              <w:t>s</w:t>
            </w:r>
            <w:r w:rsidRPr="00945C2E">
              <w:rPr>
                <w:color w:val="000000"/>
              </w:rPr>
              <w:t xml:space="preserve">atisfaction </w:t>
            </w:r>
            <w:r>
              <w:rPr>
                <w:color w:val="000000"/>
              </w:rPr>
              <w:t>p</w:t>
            </w:r>
            <w:r w:rsidRPr="00945C2E">
              <w:rPr>
                <w:color w:val="000000"/>
              </w:rPr>
              <w:t>rograms</w:t>
            </w:r>
          </w:p>
        </w:tc>
        <w:tc>
          <w:tcPr>
            <w:tcW w:w="2060" w:type="pct"/>
            <w:shd w:val="clear" w:color="000000" w:fill="FFFFFF"/>
            <w:hideMark/>
          </w:tcPr>
          <w:p w14:paraId="7BEFD56C" w14:textId="77777777" w:rsidR="00C77FE3" w:rsidRPr="00945C2E" w:rsidRDefault="00C77FE3" w:rsidP="00CC2398">
            <w:pPr>
              <w:widowControl w:val="0"/>
              <w:suppressAutoHyphens/>
              <w:rPr>
                <w:color w:val="000000"/>
              </w:rPr>
            </w:pPr>
            <w:r w:rsidRPr="00945C2E">
              <w:rPr>
                <w:color w:val="000000"/>
              </w:rPr>
              <w:t xml:space="preserve">Identifies key strategic attributes driving B2B CSAT and reveals asymmetric effects on performance; satisfaction </w:t>
            </w:r>
            <w:r>
              <w:rPr>
                <w:color w:val="000000"/>
              </w:rPr>
              <w:t>is associated with</w:t>
            </w:r>
            <w:r w:rsidRPr="00945C2E">
              <w:rPr>
                <w:color w:val="000000"/>
              </w:rPr>
              <w:t xml:space="preserve"> sales and purchase value but varies across industries and customer</w:t>
            </w:r>
            <w:r>
              <w:rPr>
                <w:color w:val="000000"/>
              </w:rPr>
              <w:t>s</w:t>
            </w:r>
            <w:r w:rsidRPr="00945C2E">
              <w:rPr>
                <w:color w:val="000000"/>
              </w:rPr>
              <w:t>.</w:t>
            </w:r>
          </w:p>
        </w:tc>
        <w:tc>
          <w:tcPr>
            <w:tcW w:w="495" w:type="pct"/>
            <w:shd w:val="clear" w:color="000000" w:fill="FFFFFF"/>
            <w:noWrap/>
            <w:hideMark/>
          </w:tcPr>
          <w:p w14:paraId="3ADB9575"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150181B3" w14:textId="77777777" w:rsidR="00C77FE3" w:rsidRPr="00945C2E" w:rsidRDefault="00C77FE3" w:rsidP="00CC2398">
            <w:pPr>
              <w:widowControl w:val="0"/>
              <w:suppressAutoHyphens/>
              <w:rPr>
                <w:color w:val="000000"/>
              </w:rPr>
            </w:pPr>
            <w:r w:rsidRPr="00945C2E">
              <w:rPr>
                <w:color w:val="000000"/>
              </w:rPr>
              <w:t xml:space="preserve">Industry and </w:t>
            </w:r>
            <w:r>
              <w:rPr>
                <w:color w:val="000000"/>
              </w:rPr>
              <w:t>c</w:t>
            </w:r>
            <w:r w:rsidRPr="00945C2E">
              <w:rPr>
                <w:color w:val="000000"/>
              </w:rPr>
              <w:t>ustomer heterogeneity</w:t>
            </w:r>
          </w:p>
        </w:tc>
      </w:tr>
      <w:tr w:rsidR="00C77FE3" w:rsidRPr="00945C2E" w14:paraId="06CAA7F0" w14:textId="77777777" w:rsidTr="00CC2398">
        <w:trPr>
          <w:trHeight w:val="368"/>
        </w:trPr>
        <w:tc>
          <w:tcPr>
            <w:tcW w:w="5000" w:type="pct"/>
            <w:gridSpan w:val="5"/>
            <w:shd w:val="clear" w:color="000000" w:fill="ADADAD"/>
            <w:hideMark/>
          </w:tcPr>
          <w:p w14:paraId="2E978B60" w14:textId="77777777" w:rsidR="00C77FE3" w:rsidRPr="00945C2E" w:rsidRDefault="00C77FE3" w:rsidP="00CC2398">
            <w:pPr>
              <w:widowControl w:val="0"/>
              <w:suppressAutoHyphens/>
              <w:rPr>
                <w:b/>
                <w:bCs/>
                <w:color w:val="000000"/>
              </w:rPr>
            </w:pPr>
            <w:r w:rsidRPr="00945C2E">
              <w:rPr>
                <w:b/>
                <w:bCs/>
              </w:rPr>
              <w:t>2000</w:t>
            </w:r>
            <w:r>
              <w:rPr>
                <w:b/>
                <w:bCs/>
              </w:rPr>
              <w:t>–C</w:t>
            </w:r>
            <w:r w:rsidRPr="00945C2E">
              <w:rPr>
                <w:b/>
                <w:bCs/>
              </w:rPr>
              <w:t>urrent: Satisfaction</w:t>
            </w:r>
            <w:r>
              <w:rPr>
                <w:b/>
                <w:bCs/>
              </w:rPr>
              <w:t>–</w:t>
            </w:r>
            <w:r w:rsidRPr="00945C2E">
              <w:rPr>
                <w:b/>
                <w:bCs/>
              </w:rPr>
              <w:t xml:space="preserve">Finance Interface </w:t>
            </w:r>
          </w:p>
        </w:tc>
      </w:tr>
      <w:tr w:rsidR="00C77FE3" w:rsidRPr="00945C2E" w14:paraId="7AD0E456" w14:textId="77777777" w:rsidTr="00CC2398">
        <w:trPr>
          <w:trHeight w:val="962"/>
        </w:trPr>
        <w:tc>
          <w:tcPr>
            <w:tcW w:w="610" w:type="pct"/>
            <w:shd w:val="clear" w:color="000000" w:fill="FFFFFF"/>
            <w:hideMark/>
          </w:tcPr>
          <w:p w14:paraId="27994F4C" w14:textId="77777777" w:rsidR="00C77FE3" w:rsidRPr="00945C2E" w:rsidRDefault="00C77FE3" w:rsidP="00CC2398">
            <w:pPr>
              <w:widowControl w:val="0"/>
              <w:suppressAutoHyphens/>
              <w:rPr>
                <w:color w:val="000000"/>
              </w:rPr>
            </w:pPr>
            <w:r w:rsidRPr="00945C2E">
              <w:rPr>
                <w:color w:val="000000"/>
              </w:rPr>
              <w:t>Anderson</w:t>
            </w:r>
            <w:r>
              <w:rPr>
                <w:color w:val="000000"/>
              </w:rPr>
              <w:t xml:space="preserve"> et al. </w:t>
            </w:r>
            <w:r w:rsidRPr="00945C2E">
              <w:rPr>
                <w:color w:val="000000"/>
              </w:rPr>
              <w:t>(2004)</w:t>
            </w:r>
          </w:p>
        </w:tc>
        <w:tc>
          <w:tcPr>
            <w:tcW w:w="719" w:type="pct"/>
            <w:shd w:val="clear" w:color="000000" w:fill="FFFFFF"/>
            <w:noWrap/>
            <w:hideMark/>
          </w:tcPr>
          <w:p w14:paraId="3F83D76C" w14:textId="77777777" w:rsidR="00C77FE3" w:rsidRPr="00945C2E" w:rsidRDefault="00C77FE3" w:rsidP="00CC2398">
            <w:pPr>
              <w:widowControl w:val="0"/>
              <w:suppressAutoHyphens/>
              <w:rPr>
                <w:color w:val="000000"/>
              </w:rPr>
            </w:pPr>
            <w:r w:rsidRPr="00945C2E">
              <w:rPr>
                <w:color w:val="000000"/>
              </w:rPr>
              <w:t>CSAT and shareholder value</w:t>
            </w:r>
          </w:p>
        </w:tc>
        <w:tc>
          <w:tcPr>
            <w:tcW w:w="2060" w:type="pct"/>
            <w:shd w:val="clear" w:color="000000" w:fill="FFFFFF"/>
            <w:hideMark/>
          </w:tcPr>
          <w:p w14:paraId="3FEC28A5" w14:textId="77777777" w:rsidR="00C77FE3" w:rsidRPr="00945C2E" w:rsidRDefault="00C77FE3" w:rsidP="00CC2398">
            <w:pPr>
              <w:widowControl w:val="0"/>
              <w:suppressAutoHyphens/>
              <w:rPr>
                <w:color w:val="000000"/>
              </w:rPr>
            </w:pPr>
            <w:r>
              <w:rPr>
                <w:color w:val="000000"/>
              </w:rPr>
              <w:t>CSAT</w:t>
            </w:r>
            <w:r w:rsidRPr="00945C2E">
              <w:rPr>
                <w:color w:val="000000"/>
              </w:rPr>
              <w:t xml:space="preserve"> positively </w:t>
            </w:r>
            <w:r>
              <w:rPr>
                <w:color w:val="000000"/>
              </w:rPr>
              <w:t>affects</w:t>
            </w:r>
            <w:r w:rsidRPr="00945C2E">
              <w:rPr>
                <w:color w:val="000000"/>
              </w:rPr>
              <w:t xml:space="preserve"> shareholder value by influencing future cash flow level, timing, and risk, with effects varying across firms and industries</w:t>
            </w:r>
            <w:r>
              <w:rPr>
                <w:color w:val="000000"/>
              </w:rPr>
              <w:t>.</w:t>
            </w:r>
          </w:p>
        </w:tc>
        <w:tc>
          <w:tcPr>
            <w:tcW w:w="495" w:type="pct"/>
            <w:shd w:val="clear" w:color="000000" w:fill="FFFFFF"/>
            <w:noWrap/>
            <w:hideMark/>
          </w:tcPr>
          <w:p w14:paraId="61E016AF"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6CD3221F" w14:textId="77777777" w:rsidR="00C77FE3" w:rsidRPr="00945C2E" w:rsidRDefault="00C77FE3" w:rsidP="00CC2398">
            <w:pPr>
              <w:widowControl w:val="0"/>
              <w:suppressAutoHyphens/>
              <w:rPr>
                <w:color w:val="000000"/>
              </w:rPr>
            </w:pPr>
            <w:r w:rsidRPr="00945C2E">
              <w:rPr>
                <w:color w:val="000000"/>
              </w:rPr>
              <w:t xml:space="preserve">Industry </w:t>
            </w:r>
            <w:r>
              <w:rPr>
                <w:color w:val="000000"/>
              </w:rPr>
              <w:t>t</w:t>
            </w:r>
            <w:r w:rsidRPr="00945C2E">
              <w:rPr>
                <w:color w:val="000000"/>
              </w:rPr>
              <w:t xml:space="preserve">ype and </w:t>
            </w:r>
            <w:r>
              <w:rPr>
                <w:color w:val="000000"/>
              </w:rPr>
              <w:t>f</w:t>
            </w:r>
            <w:r w:rsidRPr="00945C2E">
              <w:rPr>
                <w:color w:val="000000"/>
              </w:rPr>
              <w:t>irm characteristics</w:t>
            </w:r>
          </w:p>
        </w:tc>
      </w:tr>
      <w:tr w:rsidR="00C77FE3" w:rsidRPr="00945C2E" w14:paraId="4A51ED19" w14:textId="77777777" w:rsidTr="00CC2398">
        <w:trPr>
          <w:trHeight w:val="980"/>
        </w:trPr>
        <w:tc>
          <w:tcPr>
            <w:tcW w:w="610" w:type="pct"/>
            <w:shd w:val="clear" w:color="000000" w:fill="FFFFFF"/>
            <w:hideMark/>
          </w:tcPr>
          <w:p w14:paraId="3AD4B8CB" w14:textId="77777777" w:rsidR="00C77FE3" w:rsidRPr="00945C2E" w:rsidRDefault="00C77FE3" w:rsidP="00CC2398">
            <w:pPr>
              <w:widowControl w:val="0"/>
              <w:suppressAutoHyphens/>
              <w:rPr>
                <w:color w:val="000000"/>
              </w:rPr>
            </w:pPr>
            <w:r w:rsidRPr="00945C2E">
              <w:rPr>
                <w:color w:val="000000"/>
              </w:rPr>
              <w:t>Aksoy et al. (2008)</w:t>
            </w:r>
          </w:p>
        </w:tc>
        <w:tc>
          <w:tcPr>
            <w:tcW w:w="719" w:type="pct"/>
            <w:shd w:val="clear" w:color="000000" w:fill="FFFFFF"/>
            <w:noWrap/>
            <w:hideMark/>
          </w:tcPr>
          <w:p w14:paraId="0DC21FD6" w14:textId="77777777" w:rsidR="00C77FE3" w:rsidRPr="00945C2E" w:rsidRDefault="00C77FE3" w:rsidP="00CC2398">
            <w:pPr>
              <w:widowControl w:val="0"/>
              <w:suppressAutoHyphens/>
              <w:rPr>
                <w:color w:val="000000"/>
              </w:rPr>
            </w:pPr>
            <w:r w:rsidRPr="00945C2E">
              <w:rPr>
                <w:color w:val="000000"/>
              </w:rPr>
              <w:t>Stock market valuation</w:t>
            </w:r>
          </w:p>
        </w:tc>
        <w:tc>
          <w:tcPr>
            <w:tcW w:w="2060" w:type="pct"/>
            <w:shd w:val="clear" w:color="000000" w:fill="FFFFFF"/>
            <w:hideMark/>
          </w:tcPr>
          <w:p w14:paraId="6B4C1148" w14:textId="77777777" w:rsidR="00C77FE3" w:rsidRPr="00945C2E" w:rsidRDefault="00C77FE3" w:rsidP="00CC2398">
            <w:pPr>
              <w:widowControl w:val="0"/>
              <w:suppressAutoHyphens/>
              <w:rPr>
                <w:color w:val="000000"/>
              </w:rPr>
            </w:pPr>
            <w:r w:rsidRPr="00945C2E">
              <w:rPr>
                <w:color w:val="000000"/>
              </w:rPr>
              <w:t xml:space="preserve">Firms with high and improving </w:t>
            </w:r>
            <w:r>
              <w:rPr>
                <w:color w:val="000000"/>
              </w:rPr>
              <w:t>CSAT</w:t>
            </w:r>
            <w:r w:rsidRPr="00945C2E">
              <w:rPr>
                <w:color w:val="000000"/>
              </w:rPr>
              <w:t xml:space="preserve"> outperform the market and other portfolios, though the stock market initially undervalues satisfaction information.</w:t>
            </w:r>
          </w:p>
        </w:tc>
        <w:tc>
          <w:tcPr>
            <w:tcW w:w="495" w:type="pct"/>
            <w:shd w:val="clear" w:color="000000" w:fill="FFFFFF"/>
            <w:noWrap/>
            <w:hideMark/>
          </w:tcPr>
          <w:p w14:paraId="603FEE5E"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0FA865B1" w14:textId="77777777" w:rsidR="00C77FE3" w:rsidRPr="00945C2E" w:rsidRDefault="00C77FE3" w:rsidP="00CC2398">
            <w:pPr>
              <w:widowControl w:val="0"/>
              <w:suppressAutoHyphens/>
              <w:rPr>
                <w:color w:val="000000"/>
              </w:rPr>
            </w:pPr>
            <w:r w:rsidRPr="00945C2E">
              <w:rPr>
                <w:color w:val="000000"/>
              </w:rPr>
              <w:t>Level and change in satisfaction</w:t>
            </w:r>
          </w:p>
        </w:tc>
      </w:tr>
      <w:tr w:rsidR="00C77FE3" w:rsidRPr="00945C2E" w14:paraId="717AEA8A" w14:textId="77777777" w:rsidTr="00CC2398">
        <w:trPr>
          <w:trHeight w:val="980"/>
        </w:trPr>
        <w:tc>
          <w:tcPr>
            <w:tcW w:w="610" w:type="pct"/>
            <w:shd w:val="clear" w:color="000000" w:fill="FFFFFF"/>
            <w:hideMark/>
          </w:tcPr>
          <w:p w14:paraId="4401C1F5" w14:textId="77777777" w:rsidR="00C77FE3" w:rsidRPr="00945C2E" w:rsidRDefault="00C77FE3" w:rsidP="00CC2398">
            <w:pPr>
              <w:widowControl w:val="0"/>
              <w:suppressAutoHyphens/>
              <w:rPr>
                <w:color w:val="000000"/>
              </w:rPr>
            </w:pPr>
            <w:r w:rsidRPr="00945C2E">
              <w:rPr>
                <w:color w:val="000000"/>
              </w:rPr>
              <w:t xml:space="preserve">Jacobson </w:t>
            </w:r>
            <w:r>
              <w:rPr>
                <w:color w:val="000000"/>
              </w:rPr>
              <w:t>and</w:t>
            </w:r>
            <w:r w:rsidRPr="00945C2E">
              <w:rPr>
                <w:color w:val="000000"/>
              </w:rPr>
              <w:t xml:space="preserve"> Mizik (2009)</w:t>
            </w:r>
          </w:p>
        </w:tc>
        <w:tc>
          <w:tcPr>
            <w:tcW w:w="719" w:type="pct"/>
            <w:shd w:val="clear" w:color="000000" w:fill="FFFFFF"/>
            <w:noWrap/>
            <w:hideMark/>
          </w:tcPr>
          <w:p w14:paraId="127AA0BC" w14:textId="77777777" w:rsidR="00C77FE3" w:rsidRPr="00945C2E" w:rsidRDefault="00C77FE3" w:rsidP="00CC2398">
            <w:pPr>
              <w:widowControl w:val="0"/>
              <w:suppressAutoHyphens/>
              <w:rPr>
                <w:color w:val="000000"/>
              </w:rPr>
            </w:pPr>
            <w:r w:rsidRPr="00945C2E">
              <w:rPr>
                <w:color w:val="000000"/>
              </w:rPr>
              <w:t>Financial market mispricing</w:t>
            </w:r>
          </w:p>
        </w:tc>
        <w:tc>
          <w:tcPr>
            <w:tcW w:w="2060" w:type="pct"/>
            <w:hideMark/>
          </w:tcPr>
          <w:p w14:paraId="0574FFC7" w14:textId="77777777" w:rsidR="00C77FE3" w:rsidRPr="00945C2E" w:rsidRDefault="00C77FE3" w:rsidP="00CC2398">
            <w:pPr>
              <w:widowControl w:val="0"/>
              <w:suppressAutoHyphens/>
              <w:rPr>
                <w:color w:val="000000"/>
              </w:rPr>
            </w:pPr>
            <w:r w:rsidRPr="00945C2E">
              <w:rPr>
                <w:color w:val="000000"/>
              </w:rPr>
              <w:t xml:space="preserve">Financial market mispricing of </w:t>
            </w:r>
            <w:r>
              <w:rPr>
                <w:color w:val="000000"/>
              </w:rPr>
              <w:t>CSAT</w:t>
            </w:r>
            <w:r w:rsidRPr="00945C2E">
              <w:rPr>
                <w:color w:val="000000"/>
              </w:rPr>
              <w:t xml:space="preserve"> is not widespread; abnormal returns are concentrated among computer and </w:t>
            </w:r>
            <w:r>
              <w:rPr>
                <w:color w:val="000000"/>
              </w:rPr>
              <w:t>i</w:t>
            </w:r>
            <w:r w:rsidRPr="00945C2E">
              <w:rPr>
                <w:color w:val="000000"/>
              </w:rPr>
              <w:t>nternet firms.</w:t>
            </w:r>
          </w:p>
        </w:tc>
        <w:tc>
          <w:tcPr>
            <w:tcW w:w="495" w:type="pct"/>
            <w:shd w:val="clear" w:color="000000" w:fill="FFFFFF"/>
            <w:noWrap/>
            <w:hideMark/>
          </w:tcPr>
          <w:p w14:paraId="74852099"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32408D56" w14:textId="77777777" w:rsidR="00C77FE3" w:rsidRPr="00945C2E" w:rsidRDefault="00C77FE3" w:rsidP="00CC2398">
            <w:pPr>
              <w:widowControl w:val="0"/>
              <w:suppressAutoHyphens/>
              <w:rPr>
                <w:color w:val="000000"/>
              </w:rPr>
            </w:pPr>
            <w:r w:rsidRPr="00945C2E">
              <w:rPr>
                <w:color w:val="000000"/>
              </w:rPr>
              <w:t>Industry sector</w:t>
            </w:r>
          </w:p>
        </w:tc>
      </w:tr>
      <w:tr w:rsidR="00C77FE3" w:rsidRPr="00945C2E" w14:paraId="33366862" w14:textId="77777777" w:rsidTr="00CC2398">
        <w:trPr>
          <w:trHeight w:val="980"/>
        </w:trPr>
        <w:tc>
          <w:tcPr>
            <w:tcW w:w="610" w:type="pct"/>
            <w:shd w:val="clear" w:color="000000" w:fill="FFFFFF"/>
            <w:hideMark/>
          </w:tcPr>
          <w:p w14:paraId="1384A938" w14:textId="77777777" w:rsidR="00C77FE3" w:rsidRPr="00945C2E" w:rsidRDefault="00C77FE3" w:rsidP="00CC2398">
            <w:pPr>
              <w:widowControl w:val="0"/>
              <w:suppressAutoHyphens/>
              <w:rPr>
                <w:color w:val="000000"/>
              </w:rPr>
            </w:pPr>
            <w:r w:rsidRPr="00945C2E">
              <w:rPr>
                <w:color w:val="000000"/>
              </w:rPr>
              <w:t>Fornell</w:t>
            </w:r>
            <w:r>
              <w:rPr>
                <w:color w:val="000000"/>
              </w:rPr>
              <w:t xml:space="preserve"> et al.</w:t>
            </w:r>
            <w:r w:rsidRPr="00945C2E">
              <w:rPr>
                <w:color w:val="000000"/>
              </w:rPr>
              <w:t xml:space="preserve"> (2009)</w:t>
            </w:r>
          </w:p>
        </w:tc>
        <w:tc>
          <w:tcPr>
            <w:tcW w:w="719" w:type="pct"/>
            <w:shd w:val="clear" w:color="000000" w:fill="FFFFFF"/>
            <w:noWrap/>
            <w:hideMark/>
          </w:tcPr>
          <w:p w14:paraId="635C9133" w14:textId="77777777" w:rsidR="00C77FE3" w:rsidRPr="00945C2E" w:rsidRDefault="00C77FE3" w:rsidP="00CC2398">
            <w:pPr>
              <w:widowControl w:val="0"/>
              <w:suppressAutoHyphens/>
              <w:rPr>
                <w:color w:val="000000"/>
              </w:rPr>
            </w:pPr>
            <w:r w:rsidRPr="00945C2E">
              <w:rPr>
                <w:color w:val="000000"/>
              </w:rPr>
              <w:t>Stock returns commentary</w:t>
            </w:r>
          </w:p>
        </w:tc>
        <w:tc>
          <w:tcPr>
            <w:tcW w:w="2060" w:type="pct"/>
            <w:shd w:val="clear" w:color="000000" w:fill="FFFFFF"/>
            <w:hideMark/>
          </w:tcPr>
          <w:p w14:paraId="713B32C8" w14:textId="77777777" w:rsidR="00C77FE3" w:rsidRPr="00945C2E" w:rsidRDefault="00C77FE3" w:rsidP="00CC2398">
            <w:pPr>
              <w:widowControl w:val="0"/>
              <w:suppressAutoHyphens/>
              <w:rPr>
                <w:color w:val="000000"/>
              </w:rPr>
            </w:pPr>
            <w:r w:rsidRPr="00945C2E">
              <w:rPr>
                <w:color w:val="000000"/>
              </w:rPr>
              <w:t xml:space="preserve">Firms with strong </w:t>
            </w:r>
            <w:r>
              <w:rPr>
                <w:color w:val="000000"/>
              </w:rPr>
              <w:t>CSAT</w:t>
            </w:r>
            <w:r w:rsidRPr="00945C2E">
              <w:rPr>
                <w:color w:val="000000"/>
              </w:rPr>
              <w:t xml:space="preserve"> significantly outperform the market with annual risk-adjusted returns of 5.4%–8.4%, challenging claims of no long-</w:t>
            </w:r>
            <w:r>
              <w:rPr>
                <w:color w:val="000000"/>
              </w:rPr>
              <w:t>term</w:t>
            </w:r>
            <w:r w:rsidRPr="00945C2E">
              <w:rPr>
                <w:color w:val="000000"/>
              </w:rPr>
              <w:t xml:space="preserve"> advantage.</w:t>
            </w:r>
          </w:p>
        </w:tc>
        <w:tc>
          <w:tcPr>
            <w:tcW w:w="495" w:type="pct"/>
            <w:shd w:val="clear" w:color="000000" w:fill="FFFFFF"/>
            <w:noWrap/>
            <w:hideMark/>
          </w:tcPr>
          <w:p w14:paraId="07181A05"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42AAF2EE" w14:textId="77777777" w:rsidR="00C77FE3" w:rsidRPr="00945C2E" w:rsidRDefault="00C77FE3" w:rsidP="00CC2398">
            <w:pPr>
              <w:widowControl w:val="0"/>
              <w:suppressAutoHyphens/>
              <w:rPr>
                <w:color w:val="000000"/>
              </w:rPr>
            </w:pPr>
            <w:r w:rsidRPr="00945C2E">
              <w:rPr>
                <w:color w:val="000000"/>
              </w:rPr>
              <w:t>Measurement intervals</w:t>
            </w:r>
          </w:p>
        </w:tc>
      </w:tr>
      <w:tr w:rsidR="00C77FE3" w:rsidRPr="00945C2E" w14:paraId="02A27B75" w14:textId="77777777" w:rsidTr="00CC2398">
        <w:trPr>
          <w:trHeight w:val="980"/>
        </w:trPr>
        <w:tc>
          <w:tcPr>
            <w:tcW w:w="610" w:type="pct"/>
            <w:shd w:val="clear" w:color="000000" w:fill="FFFFFF"/>
            <w:hideMark/>
          </w:tcPr>
          <w:p w14:paraId="494F3BDC" w14:textId="77777777" w:rsidR="00C77FE3" w:rsidRPr="00945C2E" w:rsidRDefault="00C77FE3" w:rsidP="00CC2398">
            <w:pPr>
              <w:widowControl w:val="0"/>
              <w:suppressAutoHyphens/>
              <w:rPr>
                <w:color w:val="000000"/>
              </w:rPr>
            </w:pPr>
            <w:r w:rsidRPr="00945C2E">
              <w:rPr>
                <w:color w:val="000000"/>
              </w:rPr>
              <w:lastRenderedPageBreak/>
              <w:t>Mittal et al. (2005)</w:t>
            </w:r>
          </w:p>
        </w:tc>
        <w:tc>
          <w:tcPr>
            <w:tcW w:w="719" w:type="pct"/>
            <w:shd w:val="clear" w:color="000000" w:fill="FFFFFF"/>
            <w:noWrap/>
            <w:hideMark/>
          </w:tcPr>
          <w:p w14:paraId="7FB852F7" w14:textId="77777777" w:rsidR="00C77FE3" w:rsidRPr="00945C2E" w:rsidRDefault="00C77FE3" w:rsidP="00CC2398">
            <w:pPr>
              <w:widowControl w:val="0"/>
              <w:suppressAutoHyphens/>
              <w:rPr>
                <w:color w:val="000000"/>
              </w:rPr>
            </w:pPr>
            <w:r w:rsidRPr="00945C2E">
              <w:rPr>
                <w:color w:val="000000"/>
              </w:rPr>
              <w:t>CSAT and dual emphasis strategy</w:t>
            </w:r>
          </w:p>
        </w:tc>
        <w:tc>
          <w:tcPr>
            <w:tcW w:w="2060" w:type="pct"/>
            <w:shd w:val="clear" w:color="000000" w:fill="FFFFFF"/>
            <w:hideMark/>
          </w:tcPr>
          <w:p w14:paraId="5D53CB16" w14:textId="77777777" w:rsidR="00C77FE3" w:rsidRPr="00945C2E" w:rsidRDefault="00C77FE3" w:rsidP="00CC2398">
            <w:pPr>
              <w:widowControl w:val="0"/>
              <w:suppressAutoHyphens/>
              <w:rPr>
                <w:color w:val="000000"/>
              </w:rPr>
            </w:pPr>
            <w:r>
              <w:rPr>
                <w:color w:val="000000"/>
              </w:rPr>
              <w:t>CSAT</w:t>
            </w:r>
            <w:r w:rsidRPr="00945C2E">
              <w:rPr>
                <w:color w:val="000000"/>
              </w:rPr>
              <w:t xml:space="preserve"> has a stronger positive effect on long-term financial performance for firms that achieve a dual emphasis on revenue expansion and cost reduction.</w:t>
            </w:r>
          </w:p>
        </w:tc>
        <w:tc>
          <w:tcPr>
            <w:tcW w:w="495" w:type="pct"/>
            <w:shd w:val="clear" w:color="000000" w:fill="FFFFFF"/>
            <w:noWrap/>
            <w:hideMark/>
          </w:tcPr>
          <w:p w14:paraId="72A2E07C"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6D8AD88D" w14:textId="77777777" w:rsidR="00C77FE3" w:rsidRPr="00945C2E" w:rsidRDefault="00C77FE3" w:rsidP="00CC2398">
            <w:pPr>
              <w:widowControl w:val="0"/>
              <w:suppressAutoHyphens/>
              <w:rPr>
                <w:color w:val="000000"/>
              </w:rPr>
            </w:pPr>
            <w:r w:rsidRPr="00945C2E">
              <w:rPr>
                <w:color w:val="000000"/>
              </w:rPr>
              <w:t xml:space="preserve">Strategic emphasis type and </w:t>
            </w:r>
            <w:r>
              <w:rPr>
                <w:color w:val="000000"/>
              </w:rPr>
              <w:t>t</w:t>
            </w:r>
            <w:r w:rsidRPr="00945C2E">
              <w:rPr>
                <w:color w:val="000000"/>
              </w:rPr>
              <w:t>ime (</w:t>
            </w:r>
            <w:r>
              <w:rPr>
                <w:color w:val="000000"/>
              </w:rPr>
              <w:t>l</w:t>
            </w:r>
            <w:r w:rsidRPr="00945C2E">
              <w:rPr>
                <w:color w:val="000000"/>
              </w:rPr>
              <w:t>ong</w:t>
            </w:r>
            <w:r>
              <w:rPr>
                <w:color w:val="000000"/>
              </w:rPr>
              <w:t>-</w:t>
            </w:r>
            <w:r w:rsidRPr="00945C2E">
              <w:rPr>
                <w:color w:val="000000"/>
              </w:rPr>
              <w:t xml:space="preserve">term vs. </w:t>
            </w:r>
            <w:r>
              <w:rPr>
                <w:color w:val="000000"/>
              </w:rPr>
              <w:t>s</w:t>
            </w:r>
            <w:r w:rsidRPr="00945C2E">
              <w:rPr>
                <w:color w:val="000000"/>
              </w:rPr>
              <w:t>hort</w:t>
            </w:r>
            <w:r>
              <w:rPr>
                <w:color w:val="000000"/>
              </w:rPr>
              <w:t>-</w:t>
            </w:r>
            <w:r w:rsidRPr="00945C2E">
              <w:rPr>
                <w:color w:val="000000"/>
              </w:rPr>
              <w:t>term)</w:t>
            </w:r>
          </w:p>
        </w:tc>
      </w:tr>
      <w:tr w:rsidR="00C77FE3" w:rsidRPr="00945C2E" w14:paraId="087BC744" w14:textId="77777777" w:rsidTr="00CC2398">
        <w:trPr>
          <w:trHeight w:val="980"/>
        </w:trPr>
        <w:tc>
          <w:tcPr>
            <w:tcW w:w="610" w:type="pct"/>
            <w:shd w:val="clear" w:color="000000" w:fill="FFFFFF"/>
            <w:hideMark/>
          </w:tcPr>
          <w:p w14:paraId="2E66F013" w14:textId="77777777" w:rsidR="00C77FE3" w:rsidRPr="00945C2E" w:rsidRDefault="00C77FE3" w:rsidP="00CC2398">
            <w:pPr>
              <w:widowControl w:val="0"/>
              <w:suppressAutoHyphens/>
              <w:rPr>
                <w:color w:val="000000"/>
              </w:rPr>
            </w:pPr>
            <w:r w:rsidRPr="00945C2E">
              <w:rPr>
                <w:color w:val="000000"/>
              </w:rPr>
              <w:t xml:space="preserve">Tuli </w:t>
            </w:r>
            <w:r>
              <w:rPr>
                <w:color w:val="000000"/>
              </w:rPr>
              <w:t>and</w:t>
            </w:r>
            <w:r w:rsidRPr="00945C2E">
              <w:rPr>
                <w:color w:val="000000"/>
              </w:rPr>
              <w:t xml:space="preserve"> Bharadwaj (2009)</w:t>
            </w:r>
          </w:p>
        </w:tc>
        <w:tc>
          <w:tcPr>
            <w:tcW w:w="719" w:type="pct"/>
            <w:shd w:val="clear" w:color="000000" w:fill="FFFFFF"/>
            <w:noWrap/>
            <w:hideMark/>
          </w:tcPr>
          <w:p w14:paraId="3E14E810" w14:textId="77777777" w:rsidR="00C77FE3" w:rsidRPr="00945C2E" w:rsidRDefault="00C77FE3" w:rsidP="00CC2398">
            <w:pPr>
              <w:widowControl w:val="0"/>
              <w:suppressAutoHyphens/>
              <w:rPr>
                <w:color w:val="000000"/>
              </w:rPr>
            </w:pPr>
            <w:r w:rsidRPr="00945C2E">
              <w:rPr>
                <w:color w:val="000000"/>
              </w:rPr>
              <w:t>CSAT and stock risk</w:t>
            </w:r>
          </w:p>
        </w:tc>
        <w:tc>
          <w:tcPr>
            <w:tcW w:w="2060" w:type="pct"/>
            <w:shd w:val="clear" w:color="000000" w:fill="FFFFFF"/>
            <w:hideMark/>
          </w:tcPr>
          <w:p w14:paraId="43179284" w14:textId="77777777" w:rsidR="00C77FE3" w:rsidRPr="00945C2E" w:rsidRDefault="00C77FE3" w:rsidP="00CC2398">
            <w:pPr>
              <w:widowControl w:val="0"/>
              <w:suppressAutoHyphens/>
              <w:rPr>
                <w:color w:val="000000"/>
              </w:rPr>
            </w:pPr>
            <w:r w:rsidRPr="00945C2E">
              <w:rPr>
                <w:color w:val="000000"/>
              </w:rPr>
              <w:t xml:space="preserve">Improvements in </w:t>
            </w:r>
            <w:r>
              <w:rPr>
                <w:color w:val="000000"/>
              </w:rPr>
              <w:t>CSAT</w:t>
            </w:r>
            <w:r w:rsidRPr="00945C2E">
              <w:rPr>
                <w:color w:val="000000"/>
              </w:rPr>
              <w:t xml:space="preserve"> reduce overall and downside systematic and idiosyncratic stock return risk, providing insulation from market volatility.</w:t>
            </w:r>
          </w:p>
        </w:tc>
        <w:tc>
          <w:tcPr>
            <w:tcW w:w="495" w:type="pct"/>
            <w:shd w:val="clear" w:color="000000" w:fill="FFFFFF"/>
            <w:noWrap/>
            <w:hideMark/>
          </w:tcPr>
          <w:p w14:paraId="7A5CB096"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50EF5424" w14:textId="77777777" w:rsidR="00C77FE3" w:rsidRPr="00945C2E" w:rsidRDefault="00C77FE3" w:rsidP="00CC2398">
            <w:pPr>
              <w:widowControl w:val="0"/>
              <w:suppressAutoHyphens/>
              <w:rPr>
                <w:color w:val="000000"/>
              </w:rPr>
            </w:pPr>
            <w:r w:rsidRPr="00945C2E">
              <w:rPr>
                <w:color w:val="000000"/>
              </w:rPr>
              <w:t> </w:t>
            </w:r>
          </w:p>
        </w:tc>
      </w:tr>
      <w:tr w:rsidR="00C77FE3" w:rsidRPr="00945C2E" w14:paraId="79128A26" w14:textId="77777777" w:rsidTr="00CC2398">
        <w:trPr>
          <w:trHeight w:val="980"/>
        </w:trPr>
        <w:tc>
          <w:tcPr>
            <w:tcW w:w="610" w:type="pct"/>
            <w:shd w:val="clear" w:color="000000" w:fill="FFFFFF"/>
            <w:hideMark/>
          </w:tcPr>
          <w:p w14:paraId="0F983B8C" w14:textId="77777777" w:rsidR="00C77FE3" w:rsidRPr="00945C2E" w:rsidRDefault="00C77FE3" w:rsidP="00CC2398">
            <w:pPr>
              <w:widowControl w:val="0"/>
              <w:suppressAutoHyphens/>
              <w:rPr>
                <w:color w:val="000000"/>
              </w:rPr>
            </w:pPr>
            <w:r w:rsidRPr="00945C2E">
              <w:rPr>
                <w:color w:val="000000"/>
              </w:rPr>
              <w:t>Luo</w:t>
            </w:r>
            <w:r>
              <w:rPr>
                <w:color w:val="000000"/>
              </w:rPr>
              <w:t xml:space="preserve"> et al. </w:t>
            </w:r>
            <w:r w:rsidRPr="00945C2E">
              <w:rPr>
                <w:color w:val="000000"/>
              </w:rPr>
              <w:t>(2010)</w:t>
            </w:r>
          </w:p>
        </w:tc>
        <w:tc>
          <w:tcPr>
            <w:tcW w:w="719" w:type="pct"/>
            <w:shd w:val="clear" w:color="000000" w:fill="FFFFFF"/>
            <w:noWrap/>
            <w:hideMark/>
          </w:tcPr>
          <w:p w14:paraId="5E31140B" w14:textId="77777777" w:rsidR="00C77FE3" w:rsidRPr="00945C2E" w:rsidRDefault="00C77FE3" w:rsidP="00CC2398">
            <w:pPr>
              <w:widowControl w:val="0"/>
              <w:suppressAutoHyphens/>
              <w:rPr>
                <w:color w:val="000000"/>
              </w:rPr>
            </w:pPr>
            <w:r w:rsidRPr="00945C2E">
              <w:rPr>
                <w:color w:val="000000"/>
              </w:rPr>
              <w:t>Analyst recommendations</w:t>
            </w:r>
          </w:p>
        </w:tc>
        <w:tc>
          <w:tcPr>
            <w:tcW w:w="2060" w:type="pct"/>
            <w:shd w:val="clear" w:color="000000" w:fill="FFFFFF"/>
            <w:hideMark/>
          </w:tcPr>
          <w:p w14:paraId="1BDACDF4" w14:textId="77777777" w:rsidR="00C77FE3" w:rsidRPr="00945C2E" w:rsidRDefault="00C77FE3" w:rsidP="00CC2398">
            <w:pPr>
              <w:widowControl w:val="0"/>
              <w:suppressAutoHyphens/>
              <w:rPr>
                <w:color w:val="000000"/>
              </w:rPr>
            </w:pPr>
            <w:r w:rsidRPr="00945C2E">
              <w:rPr>
                <w:color w:val="000000"/>
              </w:rPr>
              <w:t xml:space="preserve">Positive changes in </w:t>
            </w:r>
            <w:r>
              <w:rPr>
                <w:color w:val="000000"/>
              </w:rPr>
              <w:t>CSAT</w:t>
            </w:r>
            <w:r w:rsidRPr="00945C2E">
              <w:rPr>
                <w:color w:val="000000"/>
              </w:rPr>
              <w:t xml:space="preserve"> improve analyst stock recommendations and reduce dispersion, mediating the effect on firm abnormal returns and risk</w:t>
            </w:r>
            <w:r>
              <w:rPr>
                <w:color w:val="000000"/>
              </w:rPr>
              <w:t>.</w:t>
            </w:r>
          </w:p>
        </w:tc>
        <w:tc>
          <w:tcPr>
            <w:tcW w:w="495" w:type="pct"/>
            <w:shd w:val="clear" w:color="000000" w:fill="FFFFFF"/>
            <w:noWrap/>
            <w:hideMark/>
          </w:tcPr>
          <w:p w14:paraId="341BC8F5"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28F92523" w14:textId="77777777" w:rsidR="00C77FE3" w:rsidRPr="00945C2E" w:rsidRDefault="00C77FE3" w:rsidP="00CC2398">
            <w:pPr>
              <w:widowControl w:val="0"/>
              <w:suppressAutoHyphens/>
              <w:rPr>
                <w:color w:val="000000"/>
              </w:rPr>
            </w:pPr>
            <w:r w:rsidRPr="00945C2E">
              <w:rPr>
                <w:color w:val="000000"/>
              </w:rPr>
              <w:t>Product market competition and financial market uncertainty</w:t>
            </w:r>
          </w:p>
        </w:tc>
      </w:tr>
      <w:tr w:rsidR="00C77FE3" w:rsidRPr="00945C2E" w14:paraId="05D1D85A" w14:textId="77777777" w:rsidTr="00CC2398">
        <w:trPr>
          <w:trHeight w:val="570"/>
        </w:trPr>
        <w:tc>
          <w:tcPr>
            <w:tcW w:w="610" w:type="pct"/>
            <w:shd w:val="clear" w:color="000000" w:fill="FFFFFF"/>
            <w:hideMark/>
          </w:tcPr>
          <w:p w14:paraId="574ADD39" w14:textId="77777777" w:rsidR="00C77FE3" w:rsidRPr="00945C2E" w:rsidRDefault="00C77FE3" w:rsidP="00CC2398">
            <w:pPr>
              <w:widowControl w:val="0"/>
              <w:suppressAutoHyphens/>
              <w:rPr>
                <w:color w:val="000000"/>
              </w:rPr>
            </w:pPr>
            <w:r w:rsidRPr="00945C2E">
              <w:rPr>
                <w:color w:val="000000"/>
              </w:rPr>
              <w:t>Lim</w:t>
            </w:r>
            <w:r>
              <w:rPr>
                <w:color w:val="000000"/>
              </w:rPr>
              <w:t xml:space="preserve"> et al. </w:t>
            </w:r>
            <w:r w:rsidRPr="00945C2E">
              <w:rPr>
                <w:color w:val="000000"/>
              </w:rPr>
              <w:t>(2020)</w:t>
            </w:r>
          </w:p>
        </w:tc>
        <w:tc>
          <w:tcPr>
            <w:tcW w:w="719" w:type="pct"/>
            <w:shd w:val="clear" w:color="000000" w:fill="FFFFFF"/>
            <w:noWrap/>
            <w:hideMark/>
          </w:tcPr>
          <w:p w14:paraId="6E15B27D" w14:textId="77777777" w:rsidR="00C77FE3" w:rsidRPr="00945C2E" w:rsidRDefault="00C77FE3" w:rsidP="00CC2398">
            <w:pPr>
              <w:widowControl w:val="0"/>
              <w:suppressAutoHyphens/>
              <w:rPr>
                <w:color w:val="000000"/>
              </w:rPr>
            </w:pPr>
            <w:r w:rsidRPr="00945C2E">
              <w:rPr>
                <w:color w:val="000000"/>
              </w:rPr>
              <w:t>Future selling costs</w:t>
            </w:r>
          </w:p>
        </w:tc>
        <w:tc>
          <w:tcPr>
            <w:tcW w:w="2060" w:type="pct"/>
            <w:shd w:val="clear" w:color="000000" w:fill="FFFFFF"/>
            <w:hideMark/>
          </w:tcPr>
          <w:p w14:paraId="516D5CFF" w14:textId="77777777" w:rsidR="00C77FE3" w:rsidRPr="00945C2E" w:rsidRDefault="00C77FE3" w:rsidP="00CC2398">
            <w:pPr>
              <w:widowControl w:val="0"/>
              <w:suppressAutoHyphens/>
              <w:rPr>
                <w:color w:val="000000"/>
              </w:rPr>
            </w:pPr>
            <w:r w:rsidRPr="00945C2E">
              <w:rPr>
                <w:color w:val="000000"/>
              </w:rPr>
              <w:t>Higher CSAT reduces future cost of selling.</w:t>
            </w:r>
          </w:p>
        </w:tc>
        <w:tc>
          <w:tcPr>
            <w:tcW w:w="495" w:type="pct"/>
            <w:shd w:val="clear" w:color="000000" w:fill="FFFFFF"/>
            <w:noWrap/>
            <w:hideMark/>
          </w:tcPr>
          <w:p w14:paraId="6B957894"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603FACB7" w14:textId="77777777" w:rsidR="00C77FE3" w:rsidRPr="00945C2E" w:rsidRDefault="00C77FE3" w:rsidP="00CC2398">
            <w:pPr>
              <w:widowControl w:val="0"/>
              <w:suppressAutoHyphens/>
              <w:rPr>
                <w:color w:val="000000"/>
              </w:rPr>
            </w:pPr>
            <w:r w:rsidRPr="00945C2E">
              <w:rPr>
                <w:color w:val="000000"/>
              </w:rPr>
              <w:t xml:space="preserve">Strategic </w:t>
            </w:r>
            <w:r>
              <w:rPr>
                <w:color w:val="000000"/>
              </w:rPr>
              <w:t>f</w:t>
            </w:r>
            <w:r w:rsidRPr="00945C2E">
              <w:rPr>
                <w:color w:val="000000"/>
              </w:rPr>
              <w:t xml:space="preserve">ocus, </w:t>
            </w:r>
            <w:r>
              <w:rPr>
                <w:color w:val="000000"/>
              </w:rPr>
              <w:t>s</w:t>
            </w:r>
            <w:r w:rsidRPr="00945C2E">
              <w:rPr>
                <w:color w:val="000000"/>
              </w:rPr>
              <w:t xml:space="preserve">trategic </w:t>
            </w:r>
            <w:r>
              <w:rPr>
                <w:color w:val="000000"/>
              </w:rPr>
              <w:t>f</w:t>
            </w:r>
            <w:r w:rsidRPr="00945C2E">
              <w:rPr>
                <w:color w:val="000000"/>
              </w:rPr>
              <w:t>lexibility</w:t>
            </w:r>
            <w:r>
              <w:rPr>
                <w:color w:val="000000"/>
              </w:rPr>
              <w:t>,</w:t>
            </w:r>
            <w:r w:rsidRPr="00945C2E">
              <w:rPr>
                <w:color w:val="000000"/>
              </w:rPr>
              <w:t xml:space="preserve"> and </w:t>
            </w:r>
            <w:r>
              <w:rPr>
                <w:color w:val="000000"/>
              </w:rPr>
              <w:t>o</w:t>
            </w:r>
            <w:r w:rsidRPr="00945C2E">
              <w:rPr>
                <w:color w:val="000000"/>
              </w:rPr>
              <w:t xml:space="preserve">perating </w:t>
            </w:r>
            <w:r>
              <w:rPr>
                <w:color w:val="000000"/>
              </w:rPr>
              <w:t>e</w:t>
            </w:r>
            <w:r w:rsidRPr="00945C2E">
              <w:rPr>
                <w:color w:val="000000"/>
              </w:rPr>
              <w:t>nvironment</w:t>
            </w:r>
          </w:p>
        </w:tc>
      </w:tr>
      <w:tr w:rsidR="00C77FE3" w:rsidRPr="00945C2E" w14:paraId="51A04FAA" w14:textId="77777777" w:rsidTr="00CC2398">
        <w:trPr>
          <w:trHeight w:val="971"/>
        </w:trPr>
        <w:tc>
          <w:tcPr>
            <w:tcW w:w="610" w:type="pct"/>
            <w:shd w:val="clear" w:color="000000" w:fill="FFFFFF"/>
            <w:hideMark/>
          </w:tcPr>
          <w:p w14:paraId="5E65AF70" w14:textId="77777777" w:rsidR="00C77FE3" w:rsidRPr="00945C2E" w:rsidRDefault="00C77FE3" w:rsidP="00CC2398">
            <w:pPr>
              <w:widowControl w:val="0"/>
              <w:suppressAutoHyphens/>
              <w:rPr>
                <w:color w:val="000000"/>
              </w:rPr>
            </w:pPr>
            <w:r w:rsidRPr="00945C2E">
              <w:rPr>
                <w:color w:val="000000"/>
              </w:rPr>
              <w:t>Malshe</w:t>
            </w:r>
            <w:r>
              <w:rPr>
                <w:color w:val="000000"/>
              </w:rPr>
              <w:t xml:space="preserve"> et al. </w:t>
            </w:r>
            <w:r w:rsidRPr="00945C2E">
              <w:rPr>
                <w:color w:val="000000"/>
              </w:rPr>
              <w:t>(2020)</w:t>
            </w:r>
          </w:p>
        </w:tc>
        <w:tc>
          <w:tcPr>
            <w:tcW w:w="719" w:type="pct"/>
            <w:shd w:val="clear" w:color="000000" w:fill="FFFFFF"/>
            <w:noWrap/>
            <w:hideMark/>
          </w:tcPr>
          <w:p w14:paraId="7E08451C" w14:textId="77777777" w:rsidR="00C77FE3" w:rsidRPr="00945C2E" w:rsidRDefault="00C77FE3" w:rsidP="00CC2398">
            <w:pPr>
              <w:widowControl w:val="0"/>
              <w:suppressAutoHyphens/>
              <w:rPr>
                <w:color w:val="000000"/>
              </w:rPr>
            </w:pPr>
            <w:r w:rsidRPr="00945C2E">
              <w:rPr>
                <w:color w:val="000000"/>
              </w:rPr>
              <w:t>Customer dissatisfaction and short sellers</w:t>
            </w:r>
          </w:p>
        </w:tc>
        <w:tc>
          <w:tcPr>
            <w:tcW w:w="2060" w:type="pct"/>
            <w:shd w:val="clear" w:color="000000" w:fill="FFFFFF"/>
            <w:hideMark/>
          </w:tcPr>
          <w:p w14:paraId="1E5032D1" w14:textId="77777777" w:rsidR="00C77FE3" w:rsidRPr="00945C2E" w:rsidRDefault="00C77FE3" w:rsidP="00CC2398">
            <w:pPr>
              <w:widowControl w:val="0"/>
              <w:suppressAutoHyphens/>
              <w:rPr>
                <w:color w:val="000000"/>
              </w:rPr>
            </w:pPr>
            <w:r>
              <w:rPr>
                <w:color w:val="000000"/>
              </w:rPr>
              <w:t>CSAT</w:t>
            </w:r>
            <w:r w:rsidRPr="00945C2E">
              <w:rPr>
                <w:color w:val="000000"/>
              </w:rPr>
              <w:t xml:space="preserve"> positively </w:t>
            </w:r>
            <w:r>
              <w:rPr>
                <w:color w:val="000000"/>
              </w:rPr>
              <w:t>affects</w:t>
            </w:r>
            <w:r w:rsidRPr="00945C2E">
              <w:rPr>
                <w:color w:val="000000"/>
              </w:rPr>
              <w:t xml:space="preserve"> abnormal stock returns, while dissatisfaction has a stronger negative effect; short seller activity mediates this relationship</w:t>
            </w:r>
          </w:p>
        </w:tc>
        <w:tc>
          <w:tcPr>
            <w:tcW w:w="495" w:type="pct"/>
            <w:shd w:val="clear" w:color="000000" w:fill="FFFFFF"/>
            <w:noWrap/>
            <w:hideMark/>
          </w:tcPr>
          <w:p w14:paraId="05BA4822"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566DE969" w14:textId="77777777" w:rsidR="00C77FE3" w:rsidRPr="00945C2E" w:rsidRDefault="00C77FE3" w:rsidP="00CC2398">
            <w:pPr>
              <w:widowControl w:val="0"/>
              <w:suppressAutoHyphens/>
              <w:rPr>
                <w:color w:val="000000"/>
              </w:rPr>
            </w:pPr>
            <w:r w:rsidRPr="00945C2E">
              <w:rPr>
                <w:color w:val="000000"/>
              </w:rPr>
              <w:t xml:space="preserve">Capital </w:t>
            </w:r>
            <w:r>
              <w:rPr>
                <w:color w:val="000000"/>
              </w:rPr>
              <w:t>i</w:t>
            </w:r>
            <w:r w:rsidRPr="00945C2E">
              <w:rPr>
                <w:color w:val="000000"/>
              </w:rPr>
              <w:t xml:space="preserve">ntensity and </w:t>
            </w:r>
            <w:r>
              <w:rPr>
                <w:color w:val="000000"/>
              </w:rPr>
              <w:t>c</w:t>
            </w:r>
            <w:r w:rsidRPr="00945C2E">
              <w:rPr>
                <w:color w:val="000000"/>
              </w:rPr>
              <w:t xml:space="preserve">ompetitive </w:t>
            </w:r>
            <w:r>
              <w:rPr>
                <w:color w:val="000000"/>
              </w:rPr>
              <w:t>i</w:t>
            </w:r>
            <w:r w:rsidRPr="00945C2E">
              <w:rPr>
                <w:color w:val="000000"/>
              </w:rPr>
              <w:t>ntensity</w:t>
            </w:r>
          </w:p>
        </w:tc>
      </w:tr>
      <w:tr w:rsidR="00C77FE3" w:rsidRPr="00945C2E" w14:paraId="0A1D128F" w14:textId="77777777" w:rsidTr="00CC2398">
        <w:trPr>
          <w:trHeight w:val="368"/>
        </w:trPr>
        <w:tc>
          <w:tcPr>
            <w:tcW w:w="5000" w:type="pct"/>
            <w:gridSpan w:val="5"/>
            <w:shd w:val="clear" w:color="000000" w:fill="ADADAD"/>
            <w:hideMark/>
          </w:tcPr>
          <w:p w14:paraId="0E1D0387" w14:textId="77777777" w:rsidR="00C77FE3" w:rsidRPr="00945C2E" w:rsidRDefault="00C77FE3" w:rsidP="00CC2398">
            <w:pPr>
              <w:widowControl w:val="0"/>
              <w:suppressAutoHyphens/>
              <w:rPr>
                <w:b/>
                <w:bCs/>
                <w:color w:val="000000"/>
              </w:rPr>
            </w:pPr>
            <w:r w:rsidRPr="00945C2E">
              <w:rPr>
                <w:b/>
                <w:bCs/>
                <w:color w:val="000000"/>
              </w:rPr>
              <w:t xml:space="preserve">Non-Marketing </w:t>
            </w:r>
            <w:r>
              <w:rPr>
                <w:b/>
                <w:bCs/>
                <w:color w:val="000000"/>
              </w:rPr>
              <w:t>Studies</w:t>
            </w:r>
          </w:p>
        </w:tc>
      </w:tr>
      <w:tr w:rsidR="00C77FE3" w:rsidRPr="00945C2E" w14:paraId="3F583D1C" w14:textId="77777777" w:rsidTr="00CC2398">
        <w:trPr>
          <w:trHeight w:val="1232"/>
        </w:trPr>
        <w:tc>
          <w:tcPr>
            <w:tcW w:w="610" w:type="pct"/>
            <w:shd w:val="clear" w:color="000000" w:fill="FFFFFF"/>
            <w:hideMark/>
          </w:tcPr>
          <w:p w14:paraId="185DBA7D" w14:textId="77777777" w:rsidR="00C77FE3" w:rsidRPr="00945C2E" w:rsidRDefault="00C77FE3" w:rsidP="00CC2398">
            <w:pPr>
              <w:widowControl w:val="0"/>
              <w:suppressAutoHyphens/>
              <w:rPr>
                <w:color w:val="000000"/>
              </w:rPr>
            </w:pPr>
            <w:r w:rsidRPr="00945C2E">
              <w:rPr>
                <w:color w:val="000000"/>
              </w:rPr>
              <w:t xml:space="preserve">Ittner </w:t>
            </w:r>
            <w:r>
              <w:rPr>
                <w:color w:val="000000"/>
              </w:rPr>
              <w:t>and</w:t>
            </w:r>
            <w:r w:rsidRPr="00945C2E">
              <w:rPr>
                <w:color w:val="000000"/>
              </w:rPr>
              <w:t xml:space="preserve"> Larcker (1998)</w:t>
            </w:r>
          </w:p>
        </w:tc>
        <w:tc>
          <w:tcPr>
            <w:tcW w:w="719" w:type="pct"/>
            <w:shd w:val="clear" w:color="000000" w:fill="FFFFFF"/>
            <w:hideMark/>
          </w:tcPr>
          <w:p w14:paraId="5EC80C46" w14:textId="77777777" w:rsidR="00C77FE3" w:rsidRPr="00945C2E" w:rsidRDefault="00C77FE3" w:rsidP="00CC2398">
            <w:pPr>
              <w:widowControl w:val="0"/>
              <w:suppressAutoHyphens/>
              <w:rPr>
                <w:color w:val="000000"/>
              </w:rPr>
            </w:pPr>
            <w:r w:rsidRPr="00945C2E">
              <w:rPr>
                <w:color w:val="000000"/>
              </w:rPr>
              <w:t>Non</w:t>
            </w:r>
            <w:r>
              <w:rPr>
                <w:color w:val="000000"/>
              </w:rPr>
              <w:t>-</w:t>
            </w:r>
            <w:r w:rsidRPr="00945C2E">
              <w:rPr>
                <w:color w:val="000000"/>
              </w:rPr>
              <w:t>financial indicators &amp; financial performance</w:t>
            </w:r>
          </w:p>
        </w:tc>
        <w:tc>
          <w:tcPr>
            <w:tcW w:w="2060" w:type="pct"/>
            <w:shd w:val="clear" w:color="000000" w:fill="FFFFFF"/>
            <w:hideMark/>
          </w:tcPr>
          <w:p w14:paraId="3B8BC27B" w14:textId="77777777" w:rsidR="00C77FE3" w:rsidRPr="00945C2E" w:rsidRDefault="00C77FE3" w:rsidP="00CC2398">
            <w:pPr>
              <w:widowControl w:val="0"/>
              <w:suppressAutoHyphens/>
              <w:rPr>
                <w:color w:val="000000"/>
              </w:rPr>
            </w:pPr>
            <w:r>
              <w:rPr>
                <w:color w:val="000000"/>
              </w:rPr>
              <w:t>CSAT</w:t>
            </w:r>
            <w:r w:rsidRPr="00945C2E">
              <w:rPr>
                <w:color w:val="000000"/>
              </w:rPr>
              <w:t xml:space="preserve"> measures act as leading indicators of customer behavior and accounting performance and provide incremental information to stock markets beyond book values.</w:t>
            </w:r>
          </w:p>
        </w:tc>
        <w:tc>
          <w:tcPr>
            <w:tcW w:w="495" w:type="pct"/>
            <w:shd w:val="clear" w:color="000000" w:fill="FFFFFF"/>
            <w:hideMark/>
          </w:tcPr>
          <w:p w14:paraId="7BB0B57B" w14:textId="77777777" w:rsidR="00C77FE3" w:rsidRPr="00945C2E" w:rsidRDefault="00C77FE3" w:rsidP="00CC2398">
            <w:pPr>
              <w:widowControl w:val="0"/>
              <w:suppressAutoHyphens/>
              <w:rPr>
                <w:color w:val="000000"/>
              </w:rPr>
            </w:pPr>
            <w:proofErr w:type="spellStart"/>
            <w:r>
              <w:rPr>
                <w:color w:val="000000"/>
              </w:rPr>
              <w:t>Meso</w:t>
            </w:r>
            <w:proofErr w:type="spellEnd"/>
          </w:p>
        </w:tc>
        <w:tc>
          <w:tcPr>
            <w:tcW w:w="1116" w:type="pct"/>
            <w:shd w:val="clear" w:color="000000" w:fill="FFFFFF"/>
            <w:hideMark/>
          </w:tcPr>
          <w:p w14:paraId="452F36DB" w14:textId="77777777" w:rsidR="00C77FE3" w:rsidRPr="00945C2E" w:rsidRDefault="00C77FE3" w:rsidP="00CC2398">
            <w:pPr>
              <w:widowControl w:val="0"/>
              <w:suppressAutoHyphens/>
              <w:rPr>
                <w:color w:val="000000"/>
              </w:rPr>
            </w:pPr>
            <w:r>
              <w:rPr>
                <w:color w:val="000000"/>
              </w:rPr>
              <w:t>D</w:t>
            </w:r>
            <w:r w:rsidRPr="00945C2E">
              <w:rPr>
                <w:color w:val="000000"/>
              </w:rPr>
              <w:t>iminishing returns at high satisfaction</w:t>
            </w:r>
          </w:p>
        </w:tc>
      </w:tr>
      <w:tr w:rsidR="00C77FE3" w:rsidRPr="00945C2E" w14:paraId="27C7F9E1" w14:textId="77777777" w:rsidTr="00CC2398">
        <w:trPr>
          <w:trHeight w:val="980"/>
        </w:trPr>
        <w:tc>
          <w:tcPr>
            <w:tcW w:w="610" w:type="pct"/>
            <w:shd w:val="clear" w:color="000000" w:fill="FFFFFF"/>
            <w:hideMark/>
          </w:tcPr>
          <w:p w14:paraId="372D34F0" w14:textId="77777777" w:rsidR="00C77FE3" w:rsidRPr="00945C2E" w:rsidRDefault="00C77FE3" w:rsidP="00CC2398">
            <w:pPr>
              <w:widowControl w:val="0"/>
              <w:suppressAutoHyphens/>
              <w:rPr>
                <w:color w:val="000000"/>
              </w:rPr>
            </w:pPr>
            <w:r w:rsidRPr="00945C2E">
              <w:rPr>
                <w:color w:val="000000"/>
              </w:rPr>
              <w:t>Krishnan et al. (1999)</w:t>
            </w:r>
          </w:p>
        </w:tc>
        <w:tc>
          <w:tcPr>
            <w:tcW w:w="719" w:type="pct"/>
            <w:shd w:val="clear" w:color="000000" w:fill="FFFFFF"/>
            <w:hideMark/>
          </w:tcPr>
          <w:p w14:paraId="5C54A5E4" w14:textId="77777777" w:rsidR="00C77FE3" w:rsidRPr="00945C2E" w:rsidRDefault="00C77FE3" w:rsidP="00CC2398">
            <w:pPr>
              <w:widowControl w:val="0"/>
              <w:suppressAutoHyphens/>
              <w:rPr>
                <w:color w:val="000000"/>
              </w:rPr>
            </w:pPr>
            <w:r w:rsidRPr="00945C2E">
              <w:rPr>
                <w:color w:val="000000"/>
              </w:rPr>
              <w:t>Financial services, drivers of CSAT</w:t>
            </w:r>
          </w:p>
        </w:tc>
        <w:tc>
          <w:tcPr>
            <w:tcW w:w="2060" w:type="pct"/>
            <w:shd w:val="clear" w:color="000000" w:fill="FFFFFF"/>
            <w:hideMark/>
          </w:tcPr>
          <w:p w14:paraId="366CF957" w14:textId="77777777" w:rsidR="00C77FE3" w:rsidRPr="00945C2E" w:rsidRDefault="00C77FE3" w:rsidP="00CC2398">
            <w:pPr>
              <w:widowControl w:val="0"/>
              <w:suppressAutoHyphens/>
              <w:rPr>
                <w:color w:val="000000"/>
              </w:rPr>
            </w:pPr>
            <w:r w:rsidRPr="00945C2E">
              <w:rPr>
                <w:color w:val="000000"/>
              </w:rPr>
              <w:t>Satisfaction with product offerings is the strongest driver of overall CSAT in financial services, followed by service quality factors.</w:t>
            </w:r>
          </w:p>
        </w:tc>
        <w:tc>
          <w:tcPr>
            <w:tcW w:w="495" w:type="pct"/>
            <w:shd w:val="clear" w:color="000000" w:fill="FFFFFF"/>
            <w:hideMark/>
          </w:tcPr>
          <w:p w14:paraId="0DA64C76" w14:textId="77777777" w:rsidR="00C77FE3" w:rsidRPr="00945C2E" w:rsidRDefault="00C77FE3" w:rsidP="00CC2398">
            <w:pPr>
              <w:widowControl w:val="0"/>
              <w:suppressAutoHyphens/>
              <w:rPr>
                <w:color w:val="000000"/>
              </w:rPr>
            </w:pPr>
            <w:r>
              <w:rPr>
                <w:color w:val="000000"/>
              </w:rPr>
              <w:t xml:space="preserve">Micro, </w:t>
            </w:r>
            <w:proofErr w:type="spellStart"/>
            <w:r>
              <w:rPr>
                <w:color w:val="000000"/>
              </w:rPr>
              <w:t>meso</w:t>
            </w:r>
            <w:proofErr w:type="spellEnd"/>
          </w:p>
        </w:tc>
        <w:tc>
          <w:tcPr>
            <w:tcW w:w="1116" w:type="pct"/>
            <w:shd w:val="clear" w:color="000000" w:fill="FFFFFF"/>
            <w:hideMark/>
          </w:tcPr>
          <w:p w14:paraId="3FCFF3C7" w14:textId="77777777" w:rsidR="00C77FE3" w:rsidRPr="00945C2E" w:rsidRDefault="00C77FE3" w:rsidP="00CC2398">
            <w:pPr>
              <w:widowControl w:val="0"/>
              <w:suppressAutoHyphens/>
              <w:rPr>
                <w:color w:val="000000"/>
              </w:rPr>
            </w:pPr>
            <w:r w:rsidRPr="00945C2E">
              <w:rPr>
                <w:color w:val="000000"/>
              </w:rPr>
              <w:t>Customer segments</w:t>
            </w:r>
          </w:p>
        </w:tc>
      </w:tr>
      <w:tr w:rsidR="00C77FE3" w:rsidRPr="00945C2E" w14:paraId="31DDD457" w14:textId="77777777" w:rsidTr="00CC2398">
        <w:trPr>
          <w:trHeight w:val="1148"/>
        </w:trPr>
        <w:tc>
          <w:tcPr>
            <w:tcW w:w="610" w:type="pct"/>
            <w:shd w:val="clear" w:color="000000" w:fill="FFFFFF"/>
            <w:hideMark/>
          </w:tcPr>
          <w:p w14:paraId="3DC9E562" w14:textId="77777777" w:rsidR="00C77FE3" w:rsidRPr="00945C2E" w:rsidRDefault="00C77FE3" w:rsidP="00CC2398">
            <w:pPr>
              <w:widowControl w:val="0"/>
              <w:suppressAutoHyphens/>
              <w:rPr>
                <w:color w:val="000000"/>
              </w:rPr>
            </w:pPr>
            <w:r w:rsidRPr="00945C2E">
              <w:rPr>
                <w:color w:val="000000"/>
              </w:rPr>
              <w:t>Hu</w:t>
            </w:r>
            <w:r>
              <w:rPr>
                <w:color w:val="000000"/>
              </w:rPr>
              <w:t xml:space="preserve"> et al. </w:t>
            </w:r>
            <w:r w:rsidRPr="00945C2E">
              <w:rPr>
                <w:color w:val="000000"/>
              </w:rPr>
              <w:t>(202</w:t>
            </w:r>
            <w:r>
              <w:rPr>
                <w:color w:val="000000"/>
              </w:rPr>
              <w:t>5</w:t>
            </w:r>
            <w:r w:rsidRPr="00945C2E">
              <w:rPr>
                <w:color w:val="000000"/>
              </w:rPr>
              <w:t>)</w:t>
            </w:r>
          </w:p>
        </w:tc>
        <w:tc>
          <w:tcPr>
            <w:tcW w:w="719" w:type="pct"/>
            <w:shd w:val="clear" w:color="000000" w:fill="FFFFFF"/>
            <w:hideMark/>
          </w:tcPr>
          <w:p w14:paraId="0571C6BC" w14:textId="77777777" w:rsidR="00C77FE3" w:rsidRPr="00945C2E" w:rsidRDefault="00C77FE3" w:rsidP="00CC2398">
            <w:pPr>
              <w:widowControl w:val="0"/>
              <w:suppressAutoHyphens/>
              <w:rPr>
                <w:color w:val="000000"/>
              </w:rPr>
            </w:pPr>
            <w:r w:rsidRPr="00945C2E">
              <w:rPr>
                <w:color w:val="000000"/>
              </w:rPr>
              <w:t>Expectation management, uncertainty communication</w:t>
            </w:r>
          </w:p>
        </w:tc>
        <w:tc>
          <w:tcPr>
            <w:tcW w:w="2060" w:type="pct"/>
            <w:shd w:val="clear" w:color="000000" w:fill="FFFFFF"/>
            <w:hideMark/>
          </w:tcPr>
          <w:p w14:paraId="78E1BD83" w14:textId="77777777" w:rsidR="00C77FE3" w:rsidRPr="00945C2E" w:rsidRDefault="00C77FE3" w:rsidP="00CC2398">
            <w:pPr>
              <w:widowControl w:val="0"/>
              <w:suppressAutoHyphens/>
              <w:rPr>
                <w:color w:val="000000"/>
              </w:rPr>
            </w:pPr>
            <w:r w:rsidRPr="00945C2E">
              <w:rPr>
                <w:color w:val="000000"/>
              </w:rPr>
              <w:t xml:space="preserve">Providing range estimates rather than point estimates in uncertain contexts improves </w:t>
            </w:r>
            <w:r>
              <w:rPr>
                <w:color w:val="000000"/>
              </w:rPr>
              <w:t>CSAT</w:t>
            </w:r>
            <w:r w:rsidRPr="00945C2E">
              <w:rPr>
                <w:color w:val="000000"/>
              </w:rPr>
              <w:t xml:space="preserve"> and app evaluations across multiple domains and designs.</w:t>
            </w:r>
          </w:p>
        </w:tc>
        <w:tc>
          <w:tcPr>
            <w:tcW w:w="495" w:type="pct"/>
            <w:shd w:val="clear" w:color="000000" w:fill="FFFFFF"/>
            <w:hideMark/>
          </w:tcPr>
          <w:p w14:paraId="073032AB" w14:textId="77777777" w:rsidR="00C77FE3" w:rsidRPr="00945C2E" w:rsidRDefault="00C77FE3" w:rsidP="00CC2398">
            <w:pPr>
              <w:widowControl w:val="0"/>
              <w:suppressAutoHyphens/>
              <w:rPr>
                <w:color w:val="000000"/>
              </w:rPr>
            </w:pPr>
            <w:r>
              <w:rPr>
                <w:color w:val="000000"/>
              </w:rPr>
              <w:t>Micro</w:t>
            </w:r>
          </w:p>
        </w:tc>
        <w:tc>
          <w:tcPr>
            <w:tcW w:w="1116" w:type="pct"/>
            <w:shd w:val="clear" w:color="000000" w:fill="FFFFFF"/>
            <w:hideMark/>
          </w:tcPr>
          <w:p w14:paraId="5F148922" w14:textId="77777777" w:rsidR="00C77FE3" w:rsidRPr="00945C2E" w:rsidRDefault="00C77FE3" w:rsidP="00CC2398">
            <w:pPr>
              <w:widowControl w:val="0"/>
              <w:suppressAutoHyphens/>
              <w:rPr>
                <w:color w:val="000000"/>
              </w:rPr>
            </w:pPr>
            <w:r w:rsidRPr="00945C2E">
              <w:rPr>
                <w:color w:val="000000"/>
              </w:rPr>
              <w:t>Domain type, time duration, and outcome distribution</w:t>
            </w:r>
          </w:p>
        </w:tc>
      </w:tr>
    </w:tbl>
    <w:p w14:paraId="2627D22B" w14:textId="77777777" w:rsidR="00C77FE3" w:rsidRPr="00BB4DB0" w:rsidRDefault="00C77FE3" w:rsidP="00C77FE3">
      <w:pPr>
        <w:spacing w:line="480" w:lineRule="auto"/>
        <w:rPr>
          <w:b/>
          <w:bCs/>
          <w:sz w:val="28"/>
          <w:szCs w:val="28"/>
        </w:rPr>
      </w:pPr>
      <w:r w:rsidRPr="00BB4DB0">
        <w:t>Note: SPC = service-profit chain; B2B = business-to-business.</w:t>
      </w:r>
    </w:p>
    <w:p w14:paraId="60B676D0" w14:textId="77777777" w:rsidR="00C77FE3" w:rsidRPr="00BB4DB0" w:rsidRDefault="00C77FE3" w:rsidP="00C77FE3">
      <w:pPr>
        <w:spacing w:line="480" w:lineRule="auto"/>
        <w:jc w:val="center"/>
        <w:rPr>
          <w:b/>
          <w:bCs/>
          <w:sz w:val="28"/>
          <w:szCs w:val="28"/>
        </w:rPr>
        <w:sectPr w:rsidR="00C77FE3" w:rsidRPr="00BB4DB0" w:rsidSect="00C77FE3">
          <w:pgSz w:w="15840" w:h="12240" w:orient="landscape"/>
          <w:pgMar w:top="1440" w:right="1440" w:bottom="1440" w:left="1440" w:header="720" w:footer="720" w:gutter="0"/>
          <w:cols w:space="720"/>
          <w:docGrid w:linePitch="360"/>
        </w:sectPr>
      </w:pPr>
    </w:p>
    <w:p w14:paraId="52F8F66F" w14:textId="77777777" w:rsidR="00C77FE3" w:rsidRPr="009C21E8" w:rsidRDefault="00C77FE3" w:rsidP="00C77FE3">
      <w:pPr>
        <w:rPr>
          <w:b/>
          <w:bCs/>
        </w:rPr>
      </w:pPr>
      <w:r w:rsidRPr="009C21E8">
        <w:rPr>
          <w:b/>
          <w:bCs/>
        </w:rPr>
        <w:lastRenderedPageBreak/>
        <w:t>References</w:t>
      </w:r>
    </w:p>
    <w:p w14:paraId="3412D73E" w14:textId="77777777" w:rsidR="00C77FE3" w:rsidRDefault="00C77FE3" w:rsidP="00C77FE3"/>
    <w:p w14:paraId="51D833F9" w14:textId="77777777" w:rsidR="00C77FE3" w:rsidRPr="00034630" w:rsidRDefault="00C77FE3" w:rsidP="00C77FE3">
      <w:pPr>
        <w:pStyle w:val="Bibliography"/>
        <w:rPr>
          <w:sz w:val="23"/>
          <w:szCs w:val="23"/>
        </w:rPr>
      </w:pPr>
      <w:r w:rsidRPr="00034630">
        <w:rPr>
          <w:sz w:val="23"/>
          <w:szCs w:val="23"/>
        </w:rPr>
        <w:t xml:space="preserve">Aksoy, L., Cooil, B., Groening, C., </w:t>
      </w:r>
      <w:proofErr w:type="spellStart"/>
      <w:r w:rsidRPr="00034630">
        <w:rPr>
          <w:sz w:val="23"/>
          <w:szCs w:val="23"/>
        </w:rPr>
        <w:t>Keiningham</w:t>
      </w:r>
      <w:proofErr w:type="spellEnd"/>
      <w:r w:rsidRPr="00034630">
        <w:rPr>
          <w:sz w:val="23"/>
          <w:szCs w:val="23"/>
        </w:rPr>
        <w:t xml:space="preserve">, T. L., &amp; Yalçın, A. (2008). The long-term stock market valuation of customer satisfaction. </w:t>
      </w:r>
      <w:r w:rsidRPr="00034630">
        <w:rPr>
          <w:i/>
          <w:iCs/>
          <w:sz w:val="23"/>
          <w:szCs w:val="23"/>
        </w:rPr>
        <w:t>Journal of Marketing</w:t>
      </w:r>
      <w:r w:rsidRPr="00034630">
        <w:rPr>
          <w:sz w:val="23"/>
          <w:szCs w:val="23"/>
        </w:rPr>
        <w:t xml:space="preserve">, </w:t>
      </w:r>
      <w:r w:rsidRPr="00034630">
        <w:rPr>
          <w:i/>
          <w:iCs/>
          <w:sz w:val="23"/>
          <w:szCs w:val="23"/>
        </w:rPr>
        <w:t>72</w:t>
      </w:r>
      <w:r w:rsidRPr="00034630">
        <w:rPr>
          <w:sz w:val="23"/>
          <w:szCs w:val="23"/>
        </w:rPr>
        <w:t>(4), 105–122. https://doi.org/10.1509/jmkg.72.4.105</w:t>
      </w:r>
    </w:p>
    <w:p w14:paraId="6E4EB81D" w14:textId="77777777" w:rsidR="00C77FE3" w:rsidRPr="00034630" w:rsidRDefault="00C77FE3" w:rsidP="00C77FE3">
      <w:pPr>
        <w:pStyle w:val="Bibliography"/>
        <w:rPr>
          <w:sz w:val="23"/>
          <w:szCs w:val="23"/>
        </w:rPr>
      </w:pPr>
      <w:r w:rsidRPr="00034630">
        <w:rPr>
          <w:sz w:val="23"/>
          <w:szCs w:val="23"/>
        </w:rPr>
        <w:t xml:space="preserve">Anderson, E. W. (1996). Customer satisfaction and price tolerance. </w:t>
      </w:r>
      <w:r w:rsidRPr="00034630">
        <w:rPr>
          <w:i/>
          <w:iCs/>
          <w:sz w:val="23"/>
          <w:szCs w:val="23"/>
        </w:rPr>
        <w:t>Marketing Letters</w:t>
      </w:r>
      <w:r w:rsidRPr="00034630">
        <w:rPr>
          <w:sz w:val="23"/>
          <w:szCs w:val="23"/>
        </w:rPr>
        <w:t xml:space="preserve">, </w:t>
      </w:r>
      <w:r w:rsidRPr="00034630">
        <w:rPr>
          <w:i/>
          <w:iCs/>
          <w:sz w:val="23"/>
          <w:szCs w:val="23"/>
        </w:rPr>
        <w:t>7</w:t>
      </w:r>
      <w:r w:rsidRPr="00034630">
        <w:rPr>
          <w:sz w:val="23"/>
          <w:szCs w:val="23"/>
        </w:rPr>
        <w:t>(3), 265–274.</w:t>
      </w:r>
    </w:p>
    <w:p w14:paraId="5CFA1683" w14:textId="77777777" w:rsidR="00C77FE3" w:rsidRPr="00034630" w:rsidRDefault="00C77FE3" w:rsidP="00C77FE3">
      <w:pPr>
        <w:pStyle w:val="Bibliography"/>
        <w:rPr>
          <w:sz w:val="23"/>
          <w:szCs w:val="23"/>
        </w:rPr>
      </w:pPr>
      <w:r w:rsidRPr="00034630">
        <w:rPr>
          <w:sz w:val="23"/>
          <w:szCs w:val="23"/>
        </w:rPr>
        <w:t xml:space="preserve">Anderson, E. W. (1998). Customer satisfaction and word of mouth. </w:t>
      </w:r>
      <w:r w:rsidRPr="00034630">
        <w:rPr>
          <w:i/>
          <w:iCs/>
          <w:sz w:val="23"/>
          <w:szCs w:val="23"/>
        </w:rPr>
        <w:t>Journal of Service Research</w:t>
      </w:r>
      <w:r w:rsidRPr="00034630">
        <w:rPr>
          <w:sz w:val="23"/>
          <w:szCs w:val="23"/>
        </w:rPr>
        <w:t xml:space="preserve">, </w:t>
      </w:r>
      <w:r w:rsidRPr="00034630">
        <w:rPr>
          <w:i/>
          <w:iCs/>
          <w:sz w:val="23"/>
          <w:szCs w:val="23"/>
        </w:rPr>
        <w:t>1</w:t>
      </w:r>
      <w:r w:rsidRPr="00034630">
        <w:rPr>
          <w:sz w:val="23"/>
          <w:szCs w:val="23"/>
        </w:rPr>
        <w:t>(1), 5–17. https://doi.org/10.1177/109467059800100102</w:t>
      </w:r>
    </w:p>
    <w:p w14:paraId="013E81AD" w14:textId="77777777" w:rsidR="00C77FE3" w:rsidRPr="00034630" w:rsidRDefault="00C77FE3" w:rsidP="00C77FE3">
      <w:pPr>
        <w:pStyle w:val="Bibliography"/>
        <w:rPr>
          <w:sz w:val="23"/>
          <w:szCs w:val="23"/>
        </w:rPr>
      </w:pPr>
      <w:r w:rsidRPr="00034630">
        <w:rPr>
          <w:sz w:val="23"/>
          <w:szCs w:val="23"/>
        </w:rPr>
        <w:t xml:space="preserve">Anderson, E. W., Fornell, C., &amp; </w:t>
      </w:r>
      <w:proofErr w:type="spellStart"/>
      <w:r w:rsidRPr="00034630">
        <w:rPr>
          <w:sz w:val="23"/>
          <w:szCs w:val="23"/>
        </w:rPr>
        <w:t>Mazvancheryl</w:t>
      </w:r>
      <w:proofErr w:type="spellEnd"/>
      <w:r w:rsidRPr="00034630">
        <w:rPr>
          <w:sz w:val="23"/>
          <w:szCs w:val="23"/>
        </w:rPr>
        <w:t xml:space="preserve">, S. K. (2004). Customer satisfaction and shareholder value. </w:t>
      </w:r>
      <w:r w:rsidRPr="00034630">
        <w:rPr>
          <w:i/>
          <w:iCs/>
          <w:sz w:val="23"/>
          <w:szCs w:val="23"/>
        </w:rPr>
        <w:t xml:space="preserve">Journal of </w:t>
      </w:r>
      <w:r>
        <w:rPr>
          <w:i/>
          <w:iCs/>
          <w:sz w:val="23"/>
          <w:szCs w:val="23"/>
        </w:rPr>
        <w:t>M</w:t>
      </w:r>
      <w:r w:rsidRPr="00034630">
        <w:rPr>
          <w:i/>
          <w:iCs/>
          <w:sz w:val="23"/>
          <w:szCs w:val="23"/>
        </w:rPr>
        <w:t>arketing</w:t>
      </w:r>
      <w:r w:rsidRPr="00034630">
        <w:rPr>
          <w:sz w:val="23"/>
          <w:szCs w:val="23"/>
        </w:rPr>
        <w:t xml:space="preserve">, </w:t>
      </w:r>
      <w:r w:rsidRPr="00034630">
        <w:rPr>
          <w:i/>
          <w:iCs/>
          <w:sz w:val="23"/>
          <w:szCs w:val="23"/>
        </w:rPr>
        <w:t>68</w:t>
      </w:r>
      <w:r w:rsidRPr="00034630">
        <w:rPr>
          <w:sz w:val="23"/>
          <w:szCs w:val="23"/>
        </w:rPr>
        <w:t>(4), 172–185.</w:t>
      </w:r>
    </w:p>
    <w:p w14:paraId="56017468" w14:textId="77777777" w:rsidR="00C77FE3" w:rsidRPr="00034630" w:rsidRDefault="00C77FE3" w:rsidP="00C77FE3">
      <w:pPr>
        <w:pStyle w:val="Bibliography"/>
        <w:rPr>
          <w:sz w:val="23"/>
          <w:szCs w:val="23"/>
        </w:rPr>
      </w:pPr>
      <w:r w:rsidRPr="00034630">
        <w:rPr>
          <w:sz w:val="23"/>
          <w:szCs w:val="23"/>
        </w:rPr>
        <w:t xml:space="preserve">Anderson, E. W., &amp; Sullivan, M. W. (1993). The antecedents and consequences of customer satisfaction for firms. </w:t>
      </w:r>
      <w:r w:rsidRPr="00034630">
        <w:rPr>
          <w:i/>
          <w:iCs/>
          <w:sz w:val="23"/>
          <w:szCs w:val="23"/>
        </w:rPr>
        <w:t>Marketing Science</w:t>
      </w:r>
      <w:r w:rsidRPr="00034630">
        <w:rPr>
          <w:sz w:val="23"/>
          <w:szCs w:val="23"/>
        </w:rPr>
        <w:t xml:space="preserve">, </w:t>
      </w:r>
      <w:r w:rsidRPr="00034630">
        <w:rPr>
          <w:i/>
          <w:iCs/>
          <w:sz w:val="23"/>
          <w:szCs w:val="23"/>
        </w:rPr>
        <w:t>12</w:t>
      </w:r>
      <w:r w:rsidRPr="00034630">
        <w:rPr>
          <w:sz w:val="23"/>
          <w:szCs w:val="23"/>
        </w:rPr>
        <w:t>(2), 125–143.</w:t>
      </w:r>
    </w:p>
    <w:p w14:paraId="10DB9A38" w14:textId="77777777" w:rsidR="00C77FE3" w:rsidRPr="00034630" w:rsidRDefault="00C77FE3" w:rsidP="00C77FE3">
      <w:pPr>
        <w:pStyle w:val="Bibliography"/>
        <w:rPr>
          <w:sz w:val="23"/>
          <w:szCs w:val="23"/>
        </w:rPr>
      </w:pPr>
      <w:r w:rsidRPr="00034630">
        <w:rPr>
          <w:sz w:val="23"/>
          <w:szCs w:val="23"/>
        </w:rPr>
        <w:t xml:space="preserve">Bell, G. D. (1967). The automobile buyer after the purchase. </w:t>
      </w:r>
      <w:r w:rsidRPr="00034630">
        <w:rPr>
          <w:i/>
          <w:iCs/>
          <w:sz w:val="23"/>
          <w:szCs w:val="23"/>
        </w:rPr>
        <w:t>Journal of Marketing</w:t>
      </w:r>
      <w:r w:rsidRPr="00034630">
        <w:rPr>
          <w:sz w:val="23"/>
          <w:szCs w:val="23"/>
        </w:rPr>
        <w:t xml:space="preserve">, </w:t>
      </w:r>
      <w:r w:rsidRPr="00034630">
        <w:rPr>
          <w:i/>
          <w:iCs/>
          <w:sz w:val="23"/>
          <w:szCs w:val="23"/>
        </w:rPr>
        <w:t>31</w:t>
      </w:r>
      <w:r w:rsidRPr="00034630">
        <w:rPr>
          <w:sz w:val="23"/>
          <w:szCs w:val="23"/>
        </w:rPr>
        <w:t>(3), 12–16. https://doi.org/10.1177/002224296703100304</w:t>
      </w:r>
    </w:p>
    <w:p w14:paraId="53B80C84" w14:textId="77777777" w:rsidR="00C77FE3" w:rsidRDefault="00C77FE3" w:rsidP="00C77FE3">
      <w:pPr>
        <w:pStyle w:val="Bibliography"/>
        <w:rPr>
          <w:sz w:val="23"/>
          <w:szCs w:val="23"/>
        </w:rPr>
      </w:pPr>
      <w:r w:rsidRPr="00034630">
        <w:rPr>
          <w:sz w:val="23"/>
          <w:szCs w:val="23"/>
        </w:rPr>
        <w:t xml:space="preserve">Bowman, D., &amp; </w:t>
      </w:r>
      <w:proofErr w:type="spellStart"/>
      <w:r w:rsidRPr="00034630">
        <w:rPr>
          <w:sz w:val="23"/>
          <w:szCs w:val="23"/>
        </w:rPr>
        <w:t>Narayandas</w:t>
      </w:r>
      <w:proofErr w:type="spellEnd"/>
      <w:r w:rsidRPr="00034630">
        <w:rPr>
          <w:sz w:val="23"/>
          <w:szCs w:val="23"/>
        </w:rPr>
        <w:t>, D. (200</w:t>
      </w:r>
      <w:r>
        <w:rPr>
          <w:sz w:val="23"/>
          <w:szCs w:val="23"/>
        </w:rPr>
        <w:t>4</w:t>
      </w:r>
      <w:r w:rsidRPr="00034630">
        <w:rPr>
          <w:sz w:val="23"/>
          <w:szCs w:val="23"/>
        </w:rPr>
        <w:t xml:space="preserve">). </w:t>
      </w:r>
      <w:r w:rsidRPr="00076649">
        <w:rPr>
          <w:sz w:val="23"/>
          <w:szCs w:val="23"/>
        </w:rPr>
        <w:t>Linking customer management effort to customer profitability in business markets</w:t>
      </w:r>
      <w:r>
        <w:rPr>
          <w:sz w:val="23"/>
          <w:szCs w:val="23"/>
        </w:rPr>
        <w:t>.</w:t>
      </w:r>
      <w:r w:rsidRPr="00034630">
        <w:rPr>
          <w:sz w:val="23"/>
          <w:szCs w:val="23"/>
        </w:rPr>
        <w:t xml:space="preserve"> </w:t>
      </w:r>
      <w:r w:rsidRPr="00034630">
        <w:rPr>
          <w:i/>
          <w:iCs/>
          <w:sz w:val="23"/>
          <w:szCs w:val="23"/>
        </w:rPr>
        <w:t xml:space="preserve">Journal of </w:t>
      </w:r>
      <w:r>
        <w:rPr>
          <w:i/>
          <w:iCs/>
          <w:sz w:val="23"/>
          <w:szCs w:val="23"/>
        </w:rPr>
        <w:t>M</w:t>
      </w:r>
      <w:r w:rsidRPr="00034630">
        <w:rPr>
          <w:i/>
          <w:iCs/>
          <w:sz w:val="23"/>
          <w:szCs w:val="23"/>
        </w:rPr>
        <w:t>arketing Research</w:t>
      </w:r>
      <w:r w:rsidRPr="00034630">
        <w:rPr>
          <w:sz w:val="23"/>
          <w:szCs w:val="23"/>
        </w:rPr>
        <w:t xml:space="preserve">, </w:t>
      </w:r>
      <w:r w:rsidRPr="00076649">
        <w:rPr>
          <w:i/>
          <w:iCs/>
          <w:sz w:val="23"/>
          <w:szCs w:val="23"/>
        </w:rPr>
        <w:t>41</w:t>
      </w:r>
      <w:r w:rsidRPr="00076649">
        <w:rPr>
          <w:sz w:val="23"/>
          <w:szCs w:val="23"/>
        </w:rPr>
        <w:t>(4), 433–447.</w:t>
      </w:r>
    </w:p>
    <w:p w14:paraId="56C50A4E" w14:textId="77777777" w:rsidR="00C77FE3" w:rsidRPr="00034630" w:rsidRDefault="00C77FE3" w:rsidP="00C77FE3">
      <w:pPr>
        <w:pStyle w:val="Bibliography"/>
        <w:rPr>
          <w:sz w:val="23"/>
          <w:szCs w:val="23"/>
        </w:rPr>
      </w:pPr>
      <w:r w:rsidRPr="00034630">
        <w:rPr>
          <w:sz w:val="23"/>
          <w:szCs w:val="23"/>
        </w:rPr>
        <w:t xml:space="preserve">Cadotte, E. R. (1979). The push-button questionnaire: </w:t>
      </w:r>
      <w:r>
        <w:rPr>
          <w:sz w:val="23"/>
          <w:szCs w:val="23"/>
        </w:rPr>
        <w:t>A</w:t>
      </w:r>
      <w:r w:rsidRPr="00034630">
        <w:rPr>
          <w:sz w:val="23"/>
          <w:szCs w:val="23"/>
        </w:rPr>
        <w:t xml:space="preserve"> new tool for measuring customer satisfaction. </w:t>
      </w:r>
      <w:r w:rsidRPr="00034630">
        <w:rPr>
          <w:i/>
          <w:iCs/>
          <w:sz w:val="23"/>
          <w:szCs w:val="23"/>
        </w:rPr>
        <w:t>Cornell Hotel and Restaurant Administration Quarterly</w:t>
      </w:r>
      <w:r w:rsidRPr="00034630">
        <w:rPr>
          <w:sz w:val="23"/>
          <w:szCs w:val="23"/>
        </w:rPr>
        <w:t xml:space="preserve">, </w:t>
      </w:r>
      <w:r w:rsidRPr="00034630">
        <w:rPr>
          <w:i/>
          <w:iCs/>
          <w:sz w:val="23"/>
          <w:szCs w:val="23"/>
        </w:rPr>
        <w:t>19</w:t>
      </w:r>
      <w:r w:rsidRPr="00034630">
        <w:rPr>
          <w:sz w:val="23"/>
          <w:szCs w:val="23"/>
        </w:rPr>
        <w:t>(4), 70–79. https://doi.org/10.1177/001088047901900414</w:t>
      </w:r>
    </w:p>
    <w:p w14:paraId="602930D2" w14:textId="77777777" w:rsidR="00C77FE3" w:rsidRPr="00034630" w:rsidRDefault="00C77FE3" w:rsidP="00C77FE3">
      <w:pPr>
        <w:pStyle w:val="Bibliography"/>
        <w:rPr>
          <w:sz w:val="23"/>
          <w:szCs w:val="23"/>
        </w:rPr>
      </w:pPr>
      <w:r w:rsidRPr="00034630">
        <w:rPr>
          <w:sz w:val="23"/>
          <w:szCs w:val="23"/>
        </w:rPr>
        <w:t xml:space="preserve">Cadotte, E. R., Woodruff, R. B., &amp; Jenkins, R. L. (1987). Expectations and norms in models of consumer satisfaction. </w:t>
      </w:r>
      <w:r w:rsidRPr="00034630">
        <w:rPr>
          <w:i/>
          <w:iCs/>
          <w:sz w:val="23"/>
          <w:szCs w:val="23"/>
        </w:rPr>
        <w:t>Journal of Marketing Research</w:t>
      </w:r>
      <w:r w:rsidRPr="00034630">
        <w:rPr>
          <w:sz w:val="23"/>
          <w:szCs w:val="23"/>
        </w:rPr>
        <w:t xml:space="preserve">, </w:t>
      </w:r>
      <w:r w:rsidRPr="00034630">
        <w:rPr>
          <w:i/>
          <w:iCs/>
          <w:sz w:val="23"/>
          <w:szCs w:val="23"/>
        </w:rPr>
        <w:t>24</w:t>
      </w:r>
      <w:r w:rsidRPr="00034630">
        <w:rPr>
          <w:sz w:val="23"/>
          <w:szCs w:val="23"/>
        </w:rPr>
        <w:t>(3), 305–314. https://doi.org/10.1177/002224378702400307</w:t>
      </w:r>
    </w:p>
    <w:p w14:paraId="2742C401" w14:textId="77777777" w:rsidR="00C77FE3" w:rsidRPr="00034630" w:rsidRDefault="00C77FE3" w:rsidP="00C77FE3">
      <w:pPr>
        <w:pStyle w:val="Bibliography"/>
        <w:rPr>
          <w:sz w:val="23"/>
          <w:szCs w:val="23"/>
        </w:rPr>
      </w:pPr>
      <w:r w:rsidRPr="00034630">
        <w:rPr>
          <w:sz w:val="23"/>
          <w:szCs w:val="23"/>
        </w:rPr>
        <w:t xml:space="preserve">Cardozo, R. N. (1965). An experimental study of customer effort, expectation, and satisfaction. </w:t>
      </w:r>
      <w:r w:rsidRPr="00034630">
        <w:rPr>
          <w:i/>
          <w:iCs/>
          <w:sz w:val="23"/>
          <w:szCs w:val="23"/>
        </w:rPr>
        <w:t>Journal of Marketing Research</w:t>
      </w:r>
      <w:r w:rsidRPr="00034630">
        <w:rPr>
          <w:sz w:val="23"/>
          <w:szCs w:val="23"/>
        </w:rPr>
        <w:t xml:space="preserve">, </w:t>
      </w:r>
      <w:r w:rsidRPr="00034630">
        <w:rPr>
          <w:i/>
          <w:iCs/>
          <w:sz w:val="23"/>
          <w:szCs w:val="23"/>
        </w:rPr>
        <w:t>2</w:t>
      </w:r>
      <w:r w:rsidRPr="00034630">
        <w:rPr>
          <w:sz w:val="23"/>
          <w:szCs w:val="23"/>
        </w:rPr>
        <w:t>(3), 244–249. https://doi.org/10.1177/002224376500200303</w:t>
      </w:r>
    </w:p>
    <w:p w14:paraId="47661A6D" w14:textId="77777777" w:rsidR="00C77FE3" w:rsidRPr="00034630" w:rsidRDefault="00C77FE3" w:rsidP="00C77FE3">
      <w:pPr>
        <w:pStyle w:val="Bibliography"/>
        <w:rPr>
          <w:sz w:val="23"/>
          <w:szCs w:val="23"/>
        </w:rPr>
      </w:pPr>
      <w:r w:rsidRPr="00034630">
        <w:rPr>
          <w:sz w:val="23"/>
          <w:szCs w:val="23"/>
        </w:rPr>
        <w:t xml:space="preserve">Churchill Jr, G. A., &amp; Surprenant, C. (1982). An investigation into the determinants of customer satisfaction. </w:t>
      </w:r>
      <w:r w:rsidRPr="00034630">
        <w:rPr>
          <w:i/>
          <w:iCs/>
          <w:sz w:val="23"/>
          <w:szCs w:val="23"/>
        </w:rPr>
        <w:t xml:space="preserve">Journal of </w:t>
      </w:r>
      <w:r>
        <w:rPr>
          <w:i/>
          <w:iCs/>
          <w:sz w:val="23"/>
          <w:szCs w:val="23"/>
        </w:rPr>
        <w:t>M</w:t>
      </w:r>
      <w:r w:rsidRPr="00034630">
        <w:rPr>
          <w:i/>
          <w:iCs/>
          <w:sz w:val="23"/>
          <w:szCs w:val="23"/>
        </w:rPr>
        <w:t xml:space="preserve">arketing </w:t>
      </w:r>
      <w:r>
        <w:rPr>
          <w:i/>
          <w:iCs/>
          <w:sz w:val="23"/>
          <w:szCs w:val="23"/>
        </w:rPr>
        <w:t>R</w:t>
      </w:r>
      <w:r w:rsidRPr="00034630">
        <w:rPr>
          <w:i/>
          <w:iCs/>
          <w:sz w:val="23"/>
          <w:szCs w:val="23"/>
        </w:rPr>
        <w:t>esearch</w:t>
      </w:r>
      <w:r w:rsidRPr="00034630">
        <w:rPr>
          <w:sz w:val="23"/>
          <w:szCs w:val="23"/>
        </w:rPr>
        <w:t xml:space="preserve">, </w:t>
      </w:r>
      <w:r w:rsidRPr="00034630">
        <w:rPr>
          <w:i/>
          <w:iCs/>
          <w:sz w:val="23"/>
          <w:szCs w:val="23"/>
        </w:rPr>
        <w:t>19</w:t>
      </w:r>
      <w:r w:rsidRPr="00034630">
        <w:rPr>
          <w:sz w:val="23"/>
          <w:szCs w:val="23"/>
        </w:rPr>
        <w:t>(4), 491–504.</w:t>
      </w:r>
    </w:p>
    <w:p w14:paraId="3310AD0D" w14:textId="77777777" w:rsidR="00C77FE3" w:rsidRPr="00034630" w:rsidRDefault="00C77FE3" w:rsidP="00C77FE3">
      <w:pPr>
        <w:pStyle w:val="Bibliography"/>
        <w:rPr>
          <w:sz w:val="23"/>
          <w:szCs w:val="23"/>
        </w:rPr>
      </w:pPr>
      <w:r w:rsidRPr="00034630">
        <w:rPr>
          <w:sz w:val="23"/>
          <w:szCs w:val="23"/>
        </w:rPr>
        <w:t>Czep</w:t>
      </w:r>
      <w:r>
        <w:rPr>
          <w:sz w:val="23"/>
          <w:szCs w:val="23"/>
        </w:rPr>
        <w:t>i</w:t>
      </w:r>
      <w:r w:rsidRPr="00034630">
        <w:rPr>
          <w:sz w:val="23"/>
          <w:szCs w:val="23"/>
        </w:rPr>
        <w:t xml:space="preserve">el, J. A., &amp; Rosenberg, L. J. (1977). Consumer </w:t>
      </w:r>
      <w:r>
        <w:rPr>
          <w:sz w:val="23"/>
          <w:szCs w:val="23"/>
        </w:rPr>
        <w:t>s</w:t>
      </w:r>
      <w:r w:rsidRPr="00034630">
        <w:rPr>
          <w:sz w:val="23"/>
          <w:szCs w:val="23"/>
        </w:rPr>
        <w:t xml:space="preserve">atisfaction: Concept and </w:t>
      </w:r>
      <w:r>
        <w:rPr>
          <w:sz w:val="23"/>
          <w:szCs w:val="23"/>
        </w:rPr>
        <w:t>m</w:t>
      </w:r>
      <w:r w:rsidRPr="00034630">
        <w:rPr>
          <w:sz w:val="23"/>
          <w:szCs w:val="23"/>
        </w:rPr>
        <w:t xml:space="preserve">easurement. </w:t>
      </w:r>
      <w:r w:rsidRPr="00034630">
        <w:rPr>
          <w:i/>
          <w:iCs/>
          <w:sz w:val="23"/>
          <w:szCs w:val="23"/>
        </w:rPr>
        <w:t>Journal of the Academy of Marketing Science</w:t>
      </w:r>
      <w:r w:rsidRPr="00034630">
        <w:rPr>
          <w:sz w:val="23"/>
          <w:szCs w:val="23"/>
        </w:rPr>
        <w:t xml:space="preserve">, </w:t>
      </w:r>
      <w:r w:rsidRPr="00034630">
        <w:rPr>
          <w:i/>
          <w:iCs/>
          <w:sz w:val="23"/>
          <w:szCs w:val="23"/>
        </w:rPr>
        <w:t>5</w:t>
      </w:r>
      <w:r w:rsidRPr="00034630">
        <w:rPr>
          <w:sz w:val="23"/>
          <w:szCs w:val="23"/>
        </w:rPr>
        <w:t>(3), 403–411. https://doi.org/10.1177/009207037700500311</w:t>
      </w:r>
    </w:p>
    <w:p w14:paraId="21CBA351" w14:textId="77777777" w:rsidR="00C77FE3" w:rsidRPr="00034630" w:rsidRDefault="00C77FE3" w:rsidP="00C77FE3">
      <w:pPr>
        <w:pStyle w:val="Bibliography"/>
        <w:rPr>
          <w:sz w:val="23"/>
          <w:szCs w:val="23"/>
        </w:rPr>
      </w:pPr>
      <w:r w:rsidRPr="00034630">
        <w:rPr>
          <w:sz w:val="23"/>
          <w:szCs w:val="23"/>
        </w:rPr>
        <w:t xml:space="preserve">Esbensen, T. (1973). Family-designed learning: </w:t>
      </w:r>
      <w:r>
        <w:rPr>
          <w:sz w:val="23"/>
          <w:szCs w:val="23"/>
        </w:rPr>
        <w:t>A</w:t>
      </w:r>
      <w:r w:rsidRPr="00034630">
        <w:rPr>
          <w:sz w:val="23"/>
          <w:szCs w:val="23"/>
        </w:rPr>
        <w:t xml:space="preserve">ccountability as customer satisfaction. </w:t>
      </w:r>
      <w:r w:rsidRPr="00034630">
        <w:rPr>
          <w:i/>
          <w:iCs/>
          <w:sz w:val="23"/>
          <w:szCs w:val="23"/>
        </w:rPr>
        <w:t xml:space="preserve">Phi Delta </w:t>
      </w:r>
      <w:proofErr w:type="spellStart"/>
      <w:r w:rsidRPr="00034630">
        <w:rPr>
          <w:i/>
          <w:iCs/>
          <w:sz w:val="23"/>
          <w:szCs w:val="23"/>
        </w:rPr>
        <w:t>Kappan</w:t>
      </w:r>
      <w:proofErr w:type="spellEnd"/>
      <w:r>
        <w:rPr>
          <w:i/>
          <w:iCs/>
          <w:sz w:val="23"/>
          <w:szCs w:val="23"/>
        </w:rPr>
        <w:t>,</w:t>
      </w:r>
      <w:r w:rsidRPr="00034630">
        <w:rPr>
          <w:sz w:val="23"/>
          <w:szCs w:val="23"/>
        </w:rPr>
        <w:t xml:space="preserve"> </w:t>
      </w:r>
      <w:r w:rsidRPr="009C21E8">
        <w:rPr>
          <w:i/>
          <w:iCs/>
          <w:sz w:val="23"/>
          <w:szCs w:val="23"/>
        </w:rPr>
        <w:t>54</w:t>
      </w:r>
      <w:r>
        <w:rPr>
          <w:sz w:val="23"/>
          <w:szCs w:val="23"/>
        </w:rPr>
        <w:t>(</w:t>
      </w:r>
      <w:r w:rsidRPr="00717695">
        <w:rPr>
          <w:sz w:val="23"/>
          <w:szCs w:val="23"/>
        </w:rPr>
        <w:t>7</w:t>
      </w:r>
      <w:r>
        <w:rPr>
          <w:sz w:val="23"/>
          <w:szCs w:val="23"/>
        </w:rPr>
        <w:t>)</w:t>
      </w:r>
      <w:r w:rsidRPr="00717695">
        <w:rPr>
          <w:sz w:val="23"/>
          <w:szCs w:val="23"/>
        </w:rPr>
        <w:t>, 465</w:t>
      </w:r>
      <w:r>
        <w:rPr>
          <w:sz w:val="23"/>
          <w:szCs w:val="23"/>
        </w:rPr>
        <w:t>–</w:t>
      </w:r>
      <w:r w:rsidRPr="00717695">
        <w:rPr>
          <w:sz w:val="23"/>
          <w:szCs w:val="23"/>
        </w:rPr>
        <w:t>468</w:t>
      </w:r>
      <w:r>
        <w:rPr>
          <w:sz w:val="23"/>
          <w:szCs w:val="23"/>
        </w:rPr>
        <w:t>.</w:t>
      </w:r>
    </w:p>
    <w:p w14:paraId="1C451ADE" w14:textId="77777777" w:rsidR="00C77FE3" w:rsidRPr="00034630" w:rsidRDefault="00C77FE3" w:rsidP="00C77FE3">
      <w:pPr>
        <w:pStyle w:val="Bibliography"/>
        <w:rPr>
          <w:sz w:val="23"/>
          <w:szCs w:val="23"/>
        </w:rPr>
      </w:pPr>
      <w:r w:rsidRPr="00034630">
        <w:rPr>
          <w:sz w:val="23"/>
          <w:szCs w:val="23"/>
        </w:rPr>
        <w:t xml:space="preserve">Folkes, V. S. (1988). Recent attribution research in consumer behavior: </w:t>
      </w:r>
      <w:r>
        <w:rPr>
          <w:sz w:val="23"/>
          <w:szCs w:val="23"/>
        </w:rPr>
        <w:t>A</w:t>
      </w:r>
      <w:r w:rsidRPr="00034630">
        <w:rPr>
          <w:sz w:val="23"/>
          <w:szCs w:val="23"/>
        </w:rPr>
        <w:t xml:space="preserve"> review and new directions. </w:t>
      </w:r>
      <w:r w:rsidRPr="00034630">
        <w:rPr>
          <w:i/>
          <w:iCs/>
          <w:sz w:val="23"/>
          <w:szCs w:val="23"/>
        </w:rPr>
        <w:t>Journal of Consumer Research</w:t>
      </w:r>
      <w:r w:rsidRPr="00034630">
        <w:rPr>
          <w:sz w:val="23"/>
          <w:szCs w:val="23"/>
        </w:rPr>
        <w:t xml:space="preserve">, </w:t>
      </w:r>
      <w:r w:rsidRPr="00034630">
        <w:rPr>
          <w:i/>
          <w:iCs/>
          <w:sz w:val="23"/>
          <w:szCs w:val="23"/>
        </w:rPr>
        <w:t>14</w:t>
      </w:r>
      <w:r w:rsidRPr="00034630">
        <w:rPr>
          <w:sz w:val="23"/>
          <w:szCs w:val="23"/>
        </w:rPr>
        <w:t>(4), 548–565.</w:t>
      </w:r>
    </w:p>
    <w:p w14:paraId="22247238" w14:textId="77777777" w:rsidR="00C77FE3" w:rsidRPr="00034630" w:rsidRDefault="00C77FE3" w:rsidP="00C77FE3">
      <w:pPr>
        <w:pStyle w:val="Bibliography"/>
        <w:rPr>
          <w:sz w:val="23"/>
          <w:szCs w:val="23"/>
        </w:rPr>
      </w:pPr>
      <w:r w:rsidRPr="00034630">
        <w:rPr>
          <w:sz w:val="23"/>
          <w:szCs w:val="23"/>
        </w:rPr>
        <w:t xml:space="preserve">Fornell, C., Johnson, M. D., Anderson, E. W., Cha, J., &amp; Bryant, B. E. (1996). The American Customer Satisfaction Index: Nature, purpose, and findings. </w:t>
      </w:r>
      <w:r w:rsidRPr="00034630">
        <w:rPr>
          <w:i/>
          <w:iCs/>
          <w:sz w:val="23"/>
          <w:szCs w:val="23"/>
        </w:rPr>
        <w:t>Journal of Marketing</w:t>
      </w:r>
      <w:r w:rsidRPr="00034630">
        <w:rPr>
          <w:sz w:val="23"/>
          <w:szCs w:val="23"/>
        </w:rPr>
        <w:t xml:space="preserve">, </w:t>
      </w:r>
      <w:r w:rsidRPr="00034630">
        <w:rPr>
          <w:i/>
          <w:iCs/>
          <w:sz w:val="23"/>
          <w:szCs w:val="23"/>
        </w:rPr>
        <w:t>60</w:t>
      </w:r>
      <w:r w:rsidRPr="00034630">
        <w:rPr>
          <w:sz w:val="23"/>
          <w:szCs w:val="23"/>
        </w:rPr>
        <w:t>(4), 7–18. https://doi.org/10.1177/002224299606000403</w:t>
      </w:r>
    </w:p>
    <w:p w14:paraId="6B3E9154" w14:textId="77777777" w:rsidR="00C77FE3" w:rsidRPr="00034630" w:rsidRDefault="00C77FE3" w:rsidP="00C77FE3">
      <w:pPr>
        <w:pStyle w:val="Bibliography"/>
        <w:rPr>
          <w:sz w:val="23"/>
          <w:szCs w:val="23"/>
        </w:rPr>
      </w:pPr>
      <w:r w:rsidRPr="00034630">
        <w:rPr>
          <w:sz w:val="23"/>
          <w:szCs w:val="23"/>
        </w:rPr>
        <w:t>Fornell, C., Mithas, S., &amp; Morgeson, F. V.</w:t>
      </w:r>
      <w:r>
        <w:rPr>
          <w:sz w:val="23"/>
          <w:szCs w:val="23"/>
        </w:rPr>
        <w:t>, III</w:t>
      </w:r>
      <w:r w:rsidRPr="00034630">
        <w:rPr>
          <w:sz w:val="23"/>
          <w:szCs w:val="23"/>
        </w:rPr>
        <w:t xml:space="preserve"> (2009). Commentary—The economic and statistical significance of stock returns on customer satisfaction. </w:t>
      </w:r>
      <w:r w:rsidRPr="00034630">
        <w:rPr>
          <w:i/>
          <w:iCs/>
          <w:sz w:val="23"/>
          <w:szCs w:val="23"/>
        </w:rPr>
        <w:t>Marketing Science</w:t>
      </w:r>
      <w:r w:rsidRPr="00034630">
        <w:rPr>
          <w:sz w:val="23"/>
          <w:szCs w:val="23"/>
        </w:rPr>
        <w:t xml:space="preserve">, </w:t>
      </w:r>
      <w:r w:rsidRPr="00034630">
        <w:rPr>
          <w:i/>
          <w:iCs/>
          <w:sz w:val="23"/>
          <w:szCs w:val="23"/>
        </w:rPr>
        <w:t>28</w:t>
      </w:r>
      <w:r w:rsidRPr="00034630">
        <w:rPr>
          <w:sz w:val="23"/>
          <w:szCs w:val="23"/>
        </w:rPr>
        <w:t>(5), 820–825.</w:t>
      </w:r>
    </w:p>
    <w:p w14:paraId="5A5A2C30" w14:textId="77777777" w:rsidR="00C77FE3" w:rsidRPr="00034630" w:rsidRDefault="00C77FE3" w:rsidP="00C77FE3">
      <w:pPr>
        <w:pStyle w:val="Bibliography"/>
        <w:rPr>
          <w:sz w:val="23"/>
          <w:szCs w:val="23"/>
        </w:rPr>
      </w:pPr>
      <w:r w:rsidRPr="00034630">
        <w:rPr>
          <w:sz w:val="23"/>
          <w:szCs w:val="23"/>
        </w:rPr>
        <w:t xml:space="preserve">Fornell, C., Rust, R. T., &amp; </w:t>
      </w:r>
      <w:proofErr w:type="spellStart"/>
      <w:r w:rsidRPr="00034630">
        <w:rPr>
          <w:sz w:val="23"/>
          <w:szCs w:val="23"/>
        </w:rPr>
        <w:t>Dekimpe</w:t>
      </w:r>
      <w:proofErr w:type="spellEnd"/>
      <w:r w:rsidRPr="00034630">
        <w:rPr>
          <w:sz w:val="23"/>
          <w:szCs w:val="23"/>
        </w:rPr>
        <w:t xml:space="preserve">, M. G. (2010). The effect of customer satisfaction on consumer spending growth. </w:t>
      </w:r>
      <w:r w:rsidRPr="00034630">
        <w:rPr>
          <w:i/>
          <w:iCs/>
          <w:sz w:val="23"/>
          <w:szCs w:val="23"/>
        </w:rPr>
        <w:t xml:space="preserve">Journal of </w:t>
      </w:r>
      <w:r>
        <w:rPr>
          <w:i/>
          <w:iCs/>
          <w:sz w:val="23"/>
          <w:szCs w:val="23"/>
        </w:rPr>
        <w:t>M</w:t>
      </w:r>
      <w:r w:rsidRPr="00034630">
        <w:rPr>
          <w:i/>
          <w:iCs/>
          <w:sz w:val="23"/>
          <w:szCs w:val="23"/>
        </w:rPr>
        <w:t xml:space="preserve">arketing </w:t>
      </w:r>
      <w:r>
        <w:rPr>
          <w:i/>
          <w:iCs/>
          <w:sz w:val="23"/>
          <w:szCs w:val="23"/>
        </w:rPr>
        <w:t>R</w:t>
      </w:r>
      <w:r w:rsidRPr="00034630">
        <w:rPr>
          <w:i/>
          <w:iCs/>
          <w:sz w:val="23"/>
          <w:szCs w:val="23"/>
        </w:rPr>
        <w:t>esearch</w:t>
      </w:r>
      <w:r w:rsidRPr="00034630">
        <w:rPr>
          <w:sz w:val="23"/>
          <w:szCs w:val="23"/>
        </w:rPr>
        <w:t xml:space="preserve">, </w:t>
      </w:r>
      <w:r w:rsidRPr="00034630">
        <w:rPr>
          <w:i/>
          <w:iCs/>
          <w:sz w:val="23"/>
          <w:szCs w:val="23"/>
        </w:rPr>
        <w:t>47</w:t>
      </w:r>
      <w:r w:rsidRPr="00034630">
        <w:rPr>
          <w:sz w:val="23"/>
          <w:szCs w:val="23"/>
        </w:rPr>
        <w:t>(1), 28–35.</w:t>
      </w:r>
    </w:p>
    <w:p w14:paraId="505E2433" w14:textId="77777777" w:rsidR="00C77FE3" w:rsidRPr="00034630" w:rsidRDefault="00C77FE3" w:rsidP="00C77FE3">
      <w:pPr>
        <w:pStyle w:val="Bibliography"/>
        <w:rPr>
          <w:sz w:val="23"/>
          <w:szCs w:val="23"/>
        </w:rPr>
      </w:pPr>
      <w:proofErr w:type="spellStart"/>
      <w:r w:rsidRPr="00034630">
        <w:rPr>
          <w:sz w:val="23"/>
          <w:szCs w:val="23"/>
        </w:rPr>
        <w:t>Hogreve</w:t>
      </w:r>
      <w:proofErr w:type="spellEnd"/>
      <w:r w:rsidRPr="00034630">
        <w:rPr>
          <w:sz w:val="23"/>
          <w:szCs w:val="23"/>
        </w:rPr>
        <w:t xml:space="preserve">, J., </w:t>
      </w:r>
      <w:proofErr w:type="spellStart"/>
      <w:r w:rsidRPr="00034630">
        <w:rPr>
          <w:sz w:val="23"/>
          <w:szCs w:val="23"/>
        </w:rPr>
        <w:t>Iseke</w:t>
      </w:r>
      <w:proofErr w:type="spellEnd"/>
      <w:r w:rsidRPr="00034630">
        <w:rPr>
          <w:sz w:val="23"/>
          <w:szCs w:val="23"/>
        </w:rPr>
        <w:t xml:space="preserve">, A., Derfuss, K., &amp; Eller, T. (2017). The service–profit chain: </w:t>
      </w:r>
      <w:r>
        <w:rPr>
          <w:sz w:val="23"/>
          <w:szCs w:val="23"/>
        </w:rPr>
        <w:t>A</w:t>
      </w:r>
      <w:r w:rsidRPr="00034630">
        <w:rPr>
          <w:sz w:val="23"/>
          <w:szCs w:val="23"/>
        </w:rPr>
        <w:t xml:space="preserve"> meta-analytic test of a comprehensive theoretical framework. </w:t>
      </w:r>
      <w:r w:rsidRPr="00034630">
        <w:rPr>
          <w:i/>
          <w:iCs/>
          <w:sz w:val="23"/>
          <w:szCs w:val="23"/>
        </w:rPr>
        <w:t>Journal of Marketing</w:t>
      </w:r>
      <w:r w:rsidRPr="00034630">
        <w:rPr>
          <w:sz w:val="23"/>
          <w:szCs w:val="23"/>
        </w:rPr>
        <w:t xml:space="preserve">, </w:t>
      </w:r>
      <w:r w:rsidRPr="00034630">
        <w:rPr>
          <w:i/>
          <w:iCs/>
          <w:sz w:val="23"/>
          <w:szCs w:val="23"/>
        </w:rPr>
        <w:t>81</w:t>
      </w:r>
      <w:r w:rsidRPr="00034630">
        <w:rPr>
          <w:sz w:val="23"/>
          <w:szCs w:val="23"/>
        </w:rPr>
        <w:t>(3), 41–61. https://doi.org/10.1509/jm.15.0395</w:t>
      </w:r>
    </w:p>
    <w:p w14:paraId="469F8E8C" w14:textId="77777777" w:rsidR="00C77FE3" w:rsidRPr="00034630" w:rsidRDefault="00C77FE3" w:rsidP="00C77FE3">
      <w:pPr>
        <w:pStyle w:val="Bibliography"/>
        <w:rPr>
          <w:sz w:val="23"/>
          <w:szCs w:val="23"/>
        </w:rPr>
      </w:pPr>
      <w:r w:rsidRPr="00034630">
        <w:rPr>
          <w:sz w:val="23"/>
          <w:szCs w:val="23"/>
        </w:rPr>
        <w:t xml:space="preserve">Homburg, C., </w:t>
      </w:r>
      <w:proofErr w:type="spellStart"/>
      <w:r w:rsidRPr="00034630">
        <w:rPr>
          <w:sz w:val="23"/>
          <w:szCs w:val="23"/>
        </w:rPr>
        <w:t>Wieseke</w:t>
      </w:r>
      <w:proofErr w:type="spellEnd"/>
      <w:r w:rsidRPr="00034630">
        <w:rPr>
          <w:sz w:val="23"/>
          <w:szCs w:val="23"/>
        </w:rPr>
        <w:t xml:space="preserve">, J., &amp; Hoyer, W. D. (2009). Social identity and the service-profit chain. </w:t>
      </w:r>
      <w:r w:rsidRPr="00034630">
        <w:rPr>
          <w:i/>
          <w:iCs/>
          <w:sz w:val="23"/>
          <w:szCs w:val="23"/>
        </w:rPr>
        <w:t>Journal of Marketing</w:t>
      </w:r>
      <w:r w:rsidRPr="00034630">
        <w:rPr>
          <w:sz w:val="23"/>
          <w:szCs w:val="23"/>
        </w:rPr>
        <w:t xml:space="preserve">, </w:t>
      </w:r>
      <w:r w:rsidRPr="00034630">
        <w:rPr>
          <w:i/>
          <w:iCs/>
          <w:sz w:val="23"/>
          <w:szCs w:val="23"/>
        </w:rPr>
        <w:t>73</w:t>
      </w:r>
      <w:r w:rsidRPr="00034630">
        <w:rPr>
          <w:sz w:val="23"/>
          <w:szCs w:val="23"/>
        </w:rPr>
        <w:t>(2), 38–54.</w:t>
      </w:r>
    </w:p>
    <w:p w14:paraId="722C586A" w14:textId="77777777" w:rsidR="00C77FE3" w:rsidRPr="00034630" w:rsidRDefault="00C77FE3" w:rsidP="00C77FE3">
      <w:pPr>
        <w:pStyle w:val="Bibliography"/>
        <w:rPr>
          <w:sz w:val="23"/>
          <w:szCs w:val="23"/>
        </w:rPr>
      </w:pPr>
      <w:r w:rsidRPr="00034630">
        <w:rPr>
          <w:sz w:val="23"/>
          <w:szCs w:val="23"/>
        </w:rPr>
        <w:t xml:space="preserve">Hu, B., Gaertig, C., &amp; </w:t>
      </w:r>
      <w:proofErr w:type="spellStart"/>
      <w:r w:rsidRPr="00034630">
        <w:rPr>
          <w:sz w:val="23"/>
          <w:szCs w:val="23"/>
        </w:rPr>
        <w:t>Dietvorst</w:t>
      </w:r>
      <w:proofErr w:type="spellEnd"/>
      <w:r w:rsidRPr="00034630">
        <w:rPr>
          <w:sz w:val="23"/>
          <w:szCs w:val="23"/>
        </w:rPr>
        <w:t xml:space="preserve">, B. J. (2025). How should time estimates be structured to increase customer satisfaction? </w:t>
      </w:r>
      <w:r w:rsidRPr="00034630">
        <w:rPr>
          <w:i/>
          <w:iCs/>
          <w:sz w:val="23"/>
          <w:szCs w:val="23"/>
        </w:rPr>
        <w:t>Management Science</w:t>
      </w:r>
      <w:r w:rsidRPr="00034630">
        <w:rPr>
          <w:sz w:val="23"/>
          <w:szCs w:val="23"/>
        </w:rPr>
        <w:t xml:space="preserve">, </w:t>
      </w:r>
      <w:r w:rsidRPr="00034630">
        <w:rPr>
          <w:i/>
          <w:iCs/>
          <w:sz w:val="23"/>
          <w:szCs w:val="23"/>
        </w:rPr>
        <w:t>71</w:t>
      </w:r>
      <w:r w:rsidRPr="00034630">
        <w:rPr>
          <w:sz w:val="23"/>
          <w:szCs w:val="23"/>
        </w:rPr>
        <w:t>(9), 7497–7515.</w:t>
      </w:r>
    </w:p>
    <w:p w14:paraId="2A48C642" w14:textId="77777777" w:rsidR="00C77FE3" w:rsidRPr="00034630" w:rsidRDefault="00C77FE3" w:rsidP="00C77FE3">
      <w:pPr>
        <w:pStyle w:val="Bibliography"/>
        <w:rPr>
          <w:sz w:val="23"/>
          <w:szCs w:val="23"/>
          <w:lang w:val="fr-CA"/>
        </w:rPr>
      </w:pPr>
      <w:r w:rsidRPr="00034630">
        <w:rPr>
          <w:sz w:val="23"/>
          <w:szCs w:val="23"/>
        </w:rPr>
        <w:lastRenderedPageBreak/>
        <w:t xml:space="preserve">Huang, G., &amp; Sudhir, K. (2021). The causal effect of service satisfaction on customer loyalty. </w:t>
      </w:r>
      <w:r w:rsidRPr="00034630">
        <w:rPr>
          <w:i/>
          <w:iCs/>
          <w:sz w:val="23"/>
          <w:szCs w:val="23"/>
          <w:lang w:val="fr-CA"/>
        </w:rPr>
        <w:t>Management Science</w:t>
      </w:r>
      <w:r w:rsidRPr="00034630">
        <w:rPr>
          <w:sz w:val="23"/>
          <w:szCs w:val="23"/>
          <w:lang w:val="fr-CA"/>
        </w:rPr>
        <w:t xml:space="preserve">, </w:t>
      </w:r>
      <w:r w:rsidRPr="00034630">
        <w:rPr>
          <w:i/>
          <w:iCs/>
          <w:sz w:val="23"/>
          <w:szCs w:val="23"/>
          <w:lang w:val="fr-CA"/>
        </w:rPr>
        <w:t>67</w:t>
      </w:r>
      <w:r w:rsidRPr="00034630">
        <w:rPr>
          <w:sz w:val="23"/>
          <w:szCs w:val="23"/>
          <w:lang w:val="fr-CA"/>
        </w:rPr>
        <w:t>(1), 317–341. https://doi.org/10.1287/mnsc.2019.3549</w:t>
      </w:r>
    </w:p>
    <w:p w14:paraId="44EA8D18" w14:textId="77777777" w:rsidR="00C77FE3" w:rsidRPr="00034630" w:rsidRDefault="00C77FE3" w:rsidP="00C77FE3">
      <w:pPr>
        <w:pStyle w:val="Bibliography"/>
        <w:rPr>
          <w:sz w:val="23"/>
          <w:szCs w:val="23"/>
        </w:rPr>
      </w:pPr>
      <w:r w:rsidRPr="00B705A1">
        <w:rPr>
          <w:sz w:val="23"/>
          <w:szCs w:val="23"/>
        </w:rPr>
        <w:t xml:space="preserve">Ittner, C. D., &amp; Larcker, D. F. (1998). </w:t>
      </w:r>
      <w:r w:rsidRPr="00034630">
        <w:rPr>
          <w:sz w:val="23"/>
          <w:szCs w:val="23"/>
        </w:rPr>
        <w:t xml:space="preserve">Are nonfinancial measures leading indicators of financial performance? An analysis of customer satisfaction. </w:t>
      </w:r>
      <w:r w:rsidRPr="00034630">
        <w:rPr>
          <w:i/>
          <w:iCs/>
          <w:sz w:val="23"/>
          <w:szCs w:val="23"/>
        </w:rPr>
        <w:t xml:space="preserve">Journal of </w:t>
      </w:r>
      <w:r>
        <w:rPr>
          <w:i/>
          <w:iCs/>
          <w:sz w:val="23"/>
          <w:szCs w:val="23"/>
        </w:rPr>
        <w:t>A</w:t>
      </w:r>
      <w:r w:rsidRPr="00034630">
        <w:rPr>
          <w:i/>
          <w:iCs/>
          <w:sz w:val="23"/>
          <w:szCs w:val="23"/>
        </w:rPr>
        <w:t xml:space="preserve">ccounting </w:t>
      </w:r>
      <w:r>
        <w:rPr>
          <w:i/>
          <w:iCs/>
          <w:sz w:val="23"/>
          <w:szCs w:val="23"/>
        </w:rPr>
        <w:t>R</w:t>
      </w:r>
      <w:r w:rsidRPr="00034630">
        <w:rPr>
          <w:i/>
          <w:iCs/>
          <w:sz w:val="23"/>
          <w:szCs w:val="23"/>
        </w:rPr>
        <w:t>esearch</w:t>
      </w:r>
      <w:r w:rsidRPr="00034630">
        <w:rPr>
          <w:sz w:val="23"/>
          <w:szCs w:val="23"/>
        </w:rPr>
        <w:t xml:space="preserve">, </w:t>
      </w:r>
      <w:r w:rsidRPr="00034630">
        <w:rPr>
          <w:i/>
          <w:iCs/>
          <w:sz w:val="23"/>
          <w:szCs w:val="23"/>
        </w:rPr>
        <w:t>36</w:t>
      </w:r>
      <w:r w:rsidRPr="00034630">
        <w:rPr>
          <w:sz w:val="23"/>
          <w:szCs w:val="23"/>
        </w:rPr>
        <w:t>, 1–35.</w:t>
      </w:r>
    </w:p>
    <w:p w14:paraId="7533B79E" w14:textId="77777777" w:rsidR="00C77FE3" w:rsidRPr="00034630" w:rsidRDefault="00C77FE3" w:rsidP="00C77FE3">
      <w:pPr>
        <w:pStyle w:val="Bibliography"/>
        <w:rPr>
          <w:sz w:val="23"/>
          <w:szCs w:val="23"/>
        </w:rPr>
      </w:pPr>
      <w:r w:rsidRPr="00034630">
        <w:rPr>
          <w:sz w:val="23"/>
          <w:szCs w:val="23"/>
        </w:rPr>
        <w:t xml:space="preserve">Jacobson, R., &amp; Mizik, N. (2009). The financial markets and customer satisfaction: Reexamining possible financial market mispricing of customer satisfaction. </w:t>
      </w:r>
      <w:r w:rsidRPr="00034630">
        <w:rPr>
          <w:i/>
          <w:iCs/>
          <w:sz w:val="23"/>
          <w:szCs w:val="23"/>
        </w:rPr>
        <w:t>Marketing Science</w:t>
      </w:r>
      <w:r w:rsidRPr="00034630">
        <w:rPr>
          <w:sz w:val="23"/>
          <w:szCs w:val="23"/>
        </w:rPr>
        <w:t xml:space="preserve">, </w:t>
      </w:r>
      <w:r w:rsidRPr="00034630">
        <w:rPr>
          <w:i/>
          <w:iCs/>
          <w:sz w:val="23"/>
          <w:szCs w:val="23"/>
        </w:rPr>
        <w:t>28</w:t>
      </w:r>
      <w:r w:rsidRPr="00034630">
        <w:rPr>
          <w:sz w:val="23"/>
          <w:szCs w:val="23"/>
        </w:rPr>
        <w:t>(5), 810–819.</w:t>
      </w:r>
    </w:p>
    <w:p w14:paraId="5C1829CC" w14:textId="77777777" w:rsidR="00C77FE3" w:rsidRPr="00034630" w:rsidRDefault="00C77FE3" w:rsidP="00C77FE3">
      <w:pPr>
        <w:pStyle w:val="Bibliography"/>
        <w:rPr>
          <w:sz w:val="23"/>
          <w:szCs w:val="23"/>
        </w:rPr>
      </w:pPr>
      <w:r w:rsidRPr="00034630">
        <w:rPr>
          <w:sz w:val="23"/>
          <w:szCs w:val="23"/>
        </w:rPr>
        <w:t xml:space="preserve">Kamakura, W. A., Mittal, V., De Rosa, F., &amp; Mazzon, J. A. (2002). Assessing the service-profit chain. </w:t>
      </w:r>
      <w:r w:rsidRPr="00034630">
        <w:rPr>
          <w:i/>
          <w:iCs/>
          <w:sz w:val="23"/>
          <w:szCs w:val="23"/>
        </w:rPr>
        <w:t xml:space="preserve">Marketing </w:t>
      </w:r>
      <w:r>
        <w:rPr>
          <w:i/>
          <w:iCs/>
          <w:sz w:val="23"/>
          <w:szCs w:val="23"/>
        </w:rPr>
        <w:t>S</w:t>
      </w:r>
      <w:r w:rsidRPr="00034630">
        <w:rPr>
          <w:i/>
          <w:iCs/>
          <w:sz w:val="23"/>
          <w:szCs w:val="23"/>
        </w:rPr>
        <w:t>cience</w:t>
      </w:r>
      <w:r w:rsidRPr="00034630">
        <w:rPr>
          <w:sz w:val="23"/>
          <w:szCs w:val="23"/>
        </w:rPr>
        <w:t xml:space="preserve">, </w:t>
      </w:r>
      <w:r w:rsidRPr="00034630">
        <w:rPr>
          <w:i/>
          <w:iCs/>
          <w:sz w:val="23"/>
          <w:szCs w:val="23"/>
        </w:rPr>
        <w:t>21</w:t>
      </w:r>
      <w:r w:rsidRPr="00034630">
        <w:rPr>
          <w:sz w:val="23"/>
          <w:szCs w:val="23"/>
        </w:rPr>
        <w:t>(3), 294–317.</w:t>
      </w:r>
    </w:p>
    <w:p w14:paraId="26086BA0" w14:textId="77777777" w:rsidR="00C77FE3" w:rsidRPr="00034630" w:rsidRDefault="00C77FE3" w:rsidP="00C77FE3">
      <w:pPr>
        <w:pStyle w:val="Bibliography"/>
        <w:rPr>
          <w:sz w:val="23"/>
          <w:szCs w:val="23"/>
        </w:rPr>
      </w:pPr>
      <w:r w:rsidRPr="00034630">
        <w:rPr>
          <w:sz w:val="23"/>
          <w:szCs w:val="23"/>
          <w:lang w:val="fr-CA"/>
        </w:rPr>
        <w:t xml:space="preserve">Kotler, P., &amp; Levy, S. J. (1969). </w:t>
      </w:r>
      <w:r w:rsidRPr="00034630">
        <w:rPr>
          <w:sz w:val="23"/>
          <w:szCs w:val="23"/>
        </w:rPr>
        <w:t xml:space="preserve">Broadening the concept of marketing. </w:t>
      </w:r>
      <w:r w:rsidRPr="00034630">
        <w:rPr>
          <w:i/>
          <w:iCs/>
          <w:sz w:val="23"/>
          <w:szCs w:val="23"/>
        </w:rPr>
        <w:t>Journal of Marketing</w:t>
      </w:r>
      <w:r w:rsidRPr="00034630">
        <w:rPr>
          <w:sz w:val="23"/>
          <w:szCs w:val="23"/>
        </w:rPr>
        <w:t xml:space="preserve">, </w:t>
      </w:r>
      <w:r w:rsidRPr="00034630">
        <w:rPr>
          <w:i/>
          <w:iCs/>
          <w:sz w:val="23"/>
          <w:szCs w:val="23"/>
        </w:rPr>
        <w:t>33</w:t>
      </w:r>
      <w:r w:rsidRPr="00034630">
        <w:rPr>
          <w:sz w:val="23"/>
          <w:szCs w:val="23"/>
        </w:rPr>
        <w:t>(1), 10–15. https://doi.org/10.2307/1248740</w:t>
      </w:r>
    </w:p>
    <w:p w14:paraId="2C159DE9" w14:textId="77777777" w:rsidR="00C77FE3" w:rsidRPr="00034630" w:rsidRDefault="00C77FE3" w:rsidP="00C77FE3">
      <w:pPr>
        <w:pStyle w:val="Bibliography"/>
        <w:rPr>
          <w:sz w:val="23"/>
          <w:szCs w:val="23"/>
        </w:rPr>
      </w:pPr>
      <w:r w:rsidRPr="00034630">
        <w:rPr>
          <w:sz w:val="23"/>
          <w:szCs w:val="23"/>
        </w:rPr>
        <w:t xml:space="preserve">Krishnan, M. S., Ramaswamy, V., Meyer, M. C., &amp; Damien, P. (1999). Customer satisfaction for financial services: </w:t>
      </w:r>
      <w:r>
        <w:rPr>
          <w:sz w:val="23"/>
          <w:szCs w:val="23"/>
        </w:rPr>
        <w:t>T</w:t>
      </w:r>
      <w:r w:rsidRPr="00034630">
        <w:rPr>
          <w:sz w:val="23"/>
          <w:szCs w:val="23"/>
        </w:rPr>
        <w:t xml:space="preserve">he role of products, services, and information technology. </w:t>
      </w:r>
      <w:r w:rsidRPr="00034630">
        <w:rPr>
          <w:i/>
          <w:iCs/>
          <w:sz w:val="23"/>
          <w:szCs w:val="23"/>
        </w:rPr>
        <w:t xml:space="preserve">Management </w:t>
      </w:r>
      <w:r>
        <w:rPr>
          <w:i/>
          <w:iCs/>
          <w:sz w:val="23"/>
          <w:szCs w:val="23"/>
        </w:rPr>
        <w:t>S</w:t>
      </w:r>
      <w:r w:rsidRPr="00034630">
        <w:rPr>
          <w:i/>
          <w:iCs/>
          <w:sz w:val="23"/>
          <w:szCs w:val="23"/>
        </w:rPr>
        <w:t>cience</w:t>
      </w:r>
      <w:r w:rsidRPr="00034630">
        <w:rPr>
          <w:sz w:val="23"/>
          <w:szCs w:val="23"/>
        </w:rPr>
        <w:t xml:space="preserve">, </w:t>
      </w:r>
      <w:r w:rsidRPr="00034630">
        <w:rPr>
          <w:i/>
          <w:iCs/>
          <w:sz w:val="23"/>
          <w:szCs w:val="23"/>
        </w:rPr>
        <w:t>45</w:t>
      </w:r>
      <w:r w:rsidRPr="00034630">
        <w:rPr>
          <w:sz w:val="23"/>
          <w:szCs w:val="23"/>
        </w:rPr>
        <w:t>(9), 1194–1209.</w:t>
      </w:r>
    </w:p>
    <w:p w14:paraId="5457C3BE" w14:textId="77777777" w:rsidR="00C77FE3" w:rsidRPr="00034630" w:rsidRDefault="00C77FE3" w:rsidP="00C77FE3">
      <w:pPr>
        <w:pStyle w:val="Bibliography"/>
        <w:rPr>
          <w:sz w:val="23"/>
          <w:szCs w:val="23"/>
        </w:rPr>
      </w:pPr>
      <w:r w:rsidRPr="00034630">
        <w:rPr>
          <w:sz w:val="23"/>
          <w:szCs w:val="23"/>
        </w:rPr>
        <w:t xml:space="preserve">Lim, L. G., Tuli, K. R., &amp; Grewal, R. (2020). Customer satisfaction and its impact on the future costs of selling. </w:t>
      </w:r>
      <w:r w:rsidRPr="00034630">
        <w:rPr>
          <w:i/>
          <w:iCs/>
          <w:sz w:val="23"/>
          <w:szCs w:val="23"/>
        </w:rPr>
        <w:t>Journal of Marketing</w:t>
      </w:r>
      <w:r w:rsidRPr="00034630">
        <w:rPr>
          <w:sz w:val="23"/>
          <w:szCs w:val="23"/>
        </w:rPr>
        <w:t xml:space="preserve">, </w:t>
      </w:r>
      <w:r w:rsidRPr="00034630">
        <w:rPr>
          <w:i/>
          <w:iCs/>
          <w:sz w:val="23"/>
          <w:szCs w:val="23"/>
        </w:rPr>
        <w:t>84</w:t>
      </w:r>
      <w:r w:rsidRPr="00034630">
        <w:rPr>
          <w:sz w:val="23"/>
          <w:szCs w:val="23"/>
        </w:rPr>
        <w:t>(4), 23–44. https://doi.org/10.1177/0022242920923307</w:t>
      </w:r>
    </w:p>
    <w:p w14:paraId="45FD3088" w14:textId="77777777" w:rsidR="00C77FE3" w:rsidRPr="00034630" w:rsidRDefault="00C77FE3" w:rsidP="00C77FE3">
      <w:pPr>
        <w:pStyle w:val="Bibliography"/>
        <w:rPr>
          <w:sz w:val="23"/>
          <w:szCs w:val="23"/>
        </w:rPr>
      </w:pPr>
      <w:r w:rsidRPr="00034630">
        <w:rPr>
          <w:sz w:val="23"/>
          <w:szCs w:val="23"/>
        </w:rPr>
        <w:t xml:space="preserve">Luo, X., Homburg, C., &amp; </w:t>
      </w:r>
      <w:proofErr w:type="spellStart"/>
      <w:r w:rsidRPr="00034630">
        <w:rPr>
          <w:sz w:val="23"/>
          <w:szCs w:val="23"/>
        </w:rPr>
        <w:t>Wieseke</w:t>
      </w:r>
      <w:proofErr w:type="spellEnd"/>
      <w:r w:rsidRPr="00034630">
        <w:rPr>
          <w:sz w:val="23"/>
          <w:szCs w:val="23"/>
        </w:rPr>
        <w:t xml:space="preserve">, J. (2010). Customer satisfaction, analyst stock recommendations, and firm value. </w:t>
      </w:r>
      <w:r w:rsidRPr="00034630">
        <w:rPr>
          <w:i/>
          <w:iCs/>
          <w:sz w:val="23"/>
          <w:szCs w:val="23"/>
        </w:rPr>
        <w:t>Journal of Marketing Research</w:t>
      </w:r>
      <w:r w:rsidRPr="00034630">
        <w:rPr>
          <w:sz w:val="23"/>
          <w:szCs w:val="23"/>
        </w:rPr>
        <w:t xml:space="preserve">, </w:t>
      </w:r>
      <w:r w:rsidRPr="00034630">
        <w:rPr>
          <w:i/>
          <w:iCs/>
          <w:sz w:val="23"/>
          <w:szCs w:val="23"/>
        </w:rPr>
        <w:t>47</w:t>
      </w:r>
      <w:r w:rsidRPr="00034630">
        <w:rPr>
          <w:sz w:val="23"/>
          <w:szCs w:val="23"/>
        </w:rPr>
        <w:t>(6), 1041–1058.</w:t>
      </w:r>
    </w:p>
    <w:p w14:paraId="1D3BA973" w14:textId="77777777" w:rsidR="00C77FE3" w:rsidRPr="00034630" w:rsidRDefault="00C77FE3" w:rsidP="00C77FE3">
      <w:pPr>
        <w:pStyle w:val="Bibliography"/>
        <w:rPr>
          <w:sz w:val="23"/>
          <w:szCs w:val="23"/>
        </w:rPr>
      </w:pPr>
      <w:r w:rsidRPr="00034630">
        <w:rPr>
          <w:sz w:val="23"/>
          <w:szCs w:val="23"/>
        </w:rPr>
        <w:t xml:space="preserve">Malshe, A., </w:t>
      </w:r>
      <w:proofErr w:type="spellStart"/>
      <w:r w:rsidRPr="00034630">
        <w:rPr>
          <w:sz w:val="23"/>
          <w:szCs w:val="23"/>
        </w:rPr>
        <w:t>Colicev</w:t>
      </w:r>
      <w:proofErr w:type="spellEnd"/>
      <w:r w:rsidRPr="00034630">
        <w:rPr>
          <w:sz w:val="23"/>
          <w:szCs w:val="23"/>
        </w:rPr>
        <w:t xml:space="preserve">, A., &amp; Mittal, V. (2020). How main street drives wall street: Customer (dis)satisfaction, short sellers, and abnormal returns. </w:t>
      </w:r>
      <w:r w:rsidRPr="00034630">
        <w:rPr>
          <w:i/>
          <w:iCs/>
          <w:sz w:val="23"/>
          <w:szCs w:val="23"/>
        </w:rPr>
        <w:t>Journal of Marketing Research</w:t>
      </w:r>
      <w:r w:rsidRPr="00034630">
        <w:rPr>
          <w:sz w:val="23"/>
          <w:szCs w:val="23"/>
        </w:rPr>
        <w:t xml:space="preserve">, </w:t>
      </w:r>
      <w:r w:rsidRPr="00034630">
        <w:rPr>
          <w:i/>
          <w:iCs/>
          <w:sz w:val="23"/>
          <w:szCs w:val="23"/>
        </w:rPr>
        <w:t>57</w:t>
      </w:r>
      <w:r w:rsidRPr="00034630">
        <w:rPr>
          <w:sz w:val="23"/>
          <w:szCs w:val="23"/>
        </w:rPr>
        <w:t>(6), 1055–1075.</w:t>
      </w:r>
    </w:p>
    <w:p w14:paraId="14E064AA" w14:textId="77777777" w:rsidR="00C77FE3" w:rsidRPr="00034630" w:rsidRDefault="00C77FE3" w:rsidP="00C77FE3">
      <w:pPr>
        <w:pStyle w:val="Bibliography"/>
        <w:rPr>
          <w:sz w:val="23"/>
          <w:szCs w:val="23"/>
        </w:rPr>
      </w:pPr>
      <w:r w:rsidRPr="00034630">
        <w:rPr>
          <w:sz w:val="23"/>
          <w:szCs w:val="23"/>
        </w:rPr>
        <w:t xml:space="preserve">Mano, H., &amp; Oliver, R. L. (1993). Assessing the dimensionality and structure of the consumption experience: </w:t>
      </w:r>
      <w:r>
        <w:rPr>
          <w:sz w:val="23"/>
          <w:szCs w:val="23"/>
        </w:rPr>
        <w:t>E</w:t>
      </w:r>
      <w:r w:rsidRPr="00034630">
        <w:rPr>
          <w:sz w:val="23"/>
          <w:szCs w:val="23"/>
        </w:rPr>
        <w:t xml:space="preserve">valuation, feeling, and satisfaction. </w:t>
      </w:r>
      <w:r w:rsidRPr="00034630">
        <w:rPr>
          <w:i/>
          <w:iCs/>
          <w:sz w:val="23"/>
          <w:szCs w:val="23"/>
        </w:rPr>
        <w:t>Journal of Consumer Research</w:t>
      </w:r>
      <w:r w:rsidRPr="00034630">
        <w:rPr>
          <w:sz w:val="23"/>
          <w:szCs w:val="23"/>
        </w:rPr>
        <w:t xml:space="preserve">, </w:t>
      </w:r>
      <w:r w:rsidRPr="00034630">
        <w:rPr>
          <w:i/>
          <w:iCs/>
          <w:sz w:val="23"/>
          <w:szCs w:val="23"/>
        </w:rPr>
        <w:t>20</w:t>
      </w:r>
      <w:r w:rsidRPr="00034630">
        <w:rPr>
          <w:sz w:val="23"/>
          <w:szCs w:val="23"/>
        </w:rPr>
        <w:t>(3), 451–466.</w:t>
      </w:r>
    </w:p>
    <w:p w14:paraId="7F8296F6" w14:textId="77777777" w:rsidR="00C77FE3" w:rsidRPr="00034630" w:rsidRDefault="00C77FE3" w:rsidP="00C77FE3">
      <w:pPr>
        <w:pStyle w:val="Bibliography"/>
        <w:rPr>
          <w:sz w:val="23"/>
          <w:szCs w:val="23"/>
        </w:rPr>
      </w:pPr>
      <w:r w:rsidRPr="00034630">
        <w:rPr>
          <w:sz w:val="23"/>
          <w:szCs w:val="23"/>
        </w:rPr>
        <w:t xml:space="preserve">Mittal, V., Anderson, E. W., </w:t>
      </w:r>
      <w:proofErr w:type="spellStart"/>
      <w:r w:rsidRPr="00034630">
        <w:rPr>
          <w:sz w:val="23"/>
          <w:szCs w:val="23"/>
        </w:rPr>
        <w:t>Sayrak</w:t>
      </w:r>
      <w:proofErr w:type="spellEnd"/>
      <w:r w:rsidRPr="00034630">
        <w:rPr>
          <w:sz w:val="23"/>
          <w:szCs w:val="23"/>
        </w:rPr>
        <w:t xml:space="preserve">, A., &amp; </w:t>
      </w:r>
      <w:proofErr w:type="spellStart"/>
      <w:r w:rsidRPr="00034630">
        <w:rPr>
          <w:sz w:val="23"/>
          <w:szCs w:val="23"/>
        </w:rPr>
        <w:t>Tadikamalla</w:t>
      </w:r>
      <w:proofErr w:type="spellEnd"/>
      <w:r w:rsidRPr="00034630">
        <w:rPr>
          <w:sz w:val="23"/>
          <w:szCs w:val="23"/>
        </w:rPr>
        <w:t xml:space="preserve">, P. (2005). Dual emphasis and the long-term financial impact of customer satisfaction. </w:t>
      </w:r>
      <w:r w:rsidRPr="00034630">
        <w:rPr>
          <w:i/>
          <w:iCs/>
          <w:sz w:val="23"/>
          <w:szCs w:val="23"/>
        </w:rPr>
        <w:t>Marketing Science</w:t>
      </w:r>
      <w:r w:rsidRPr="00034630">
        <w:rPr>
          <w:sz w:val="23"/>
          <w:szCs w:val="23"/>
        </w:rPr>
        <w:t xml:space="preserve">, </w:t>
      </w:r>
      <w:r w:rsidRPr="00034630">
        <w:rPr>
          <w:i/>
          <w:iCs/>
          <w:sz w:val="23"/>
          <w:szCs w:val="23"/>
        </w:rPr>
        <w:t>24</w:t>
      </w:r>
      <w:r w:rsidRPr="00034630">
        <w:rPr>
          <w:sz w:val="23"/>
          <w:szCs w:val="23"/>
        </w:rPr>
        <w:t>(4), 544–555. https://doi.org/10.1287/mksc.1050.0142</w:t>
      </w:r>
    </w:p>
    <w:p w14:paraId="4FE646F7" w14:textId="77777777" w:rsidR="00C77FE3" w:rsidRPr="00034630" w:rsidRDefault="00C77FE3" w:rsidP="00C77FE3">
      <w:pPr>
        <w:pStyle w:val="Bibliography"/>
        <w:rPr>
          <w:sz w:val="23"/>
          <w:szCs w:val="23"/>
        </w:rPr>
      </w:pPr>
      <w:r w:rsidRPr="00034630">
        <w:rPr>
          <w:sz w:val="23"/>
          <w:szCs w:val="23"/>
        </w:rPr>
        <w:t xml:space="preserve">Mittal, V., Han, K., Lee, J.-Y., &amp; Sridhar, S. (2021). Improving business-to-business customer satisfaction programs: </w:t>
      </w:r>
      <w:r>
        <w:rPr>
          <w:sz w:val="23"/>
          <w:szCs w:val="23"/>
        </w:rPr>
        <w:t>A</w:t>
      </w:r>
      <w:r w:rsidRPr="00034630">
        <w:rPr>
          <w:sz w:val="23"/>
          <w:szCs w:val="23"/>
        </w:rPr>
        <w:t xml:space="preserve">ssessment of asymmetry, heterogeneity, and financial impact. </w:t>
      </w:r>
      <w:r w:rsidRPr="00034630">
        <w:rPr>
          <w:i/>
          <w:iCs/>
          <w:sz w:val="23"/>
          <w:szCs w:val="23"/>
        </w:rPr>
        <w:t>Journal of Marketing Research</w:t>
      </w:r>
      <w:r w:rsidRPr="00034630">
        <w:rPr>
          <w:sz w:val="23"/>
          <w:szCs w:val="23"/>
        </w:rPr>
        <w:t xml:space="preserve">, </w:t>
      </w:r>
      <w:r w:rsidRPr="00034630">
        <w:rPr>
          <w:i/>
          <w:iCs/>
          <w:sz w:val="23"/>
          <w:szCs w:val="23"/>
        </w:rPr>
        <w:t>58</w:t>
      </w:r>
      <w:r w:rsidRPr="00034630">
        <w:rPr>
          <w:sz w:val="23"/>
          <w:szCs w:val="23"/>
        </w:rPr>
        <w:t>(4), 615–643. https://doi.org/10.1177/00222437211013781</w:t>
      </w:r>
    </w:p>
    <w:p w14:paraId="503D4546" w14:textId="77777777" w:rsidR="00C77FE3" w:rsidRPr="00034630" w:rsidRDefault="00C77FE3" w:rsidP="00C77FE3">
      <w:pPr>
        <w:pStyle w:val="Bibliography"/>
        <w:rPr>
          <w:sz w:val="23"/>
          <w:szCs w:val="23"/>
        </w:rPr>
      </w:pPr>
      <w:r w:rsidRPr="00034630">
        <w:rPr>
          <w:sz w:val="23"/>
          <w:szCs w:val="23"/>
        </w:rPr>
        <w:t xml:space="preserve">Mittal, V., &amp; Kamakura, W. A. (2001). Satisfaction, repurchase intent, and repurchase behavior: </w:t>
      </w:r>
      <w:r>
        <w:rPr>
          <w:sz w:val="23"/>
          <w:szCs w:val="23"/>
        </w:rPr>
        <w:t>I</w:t>
      </w:r>
      <w:r w:rsidRPr="00034630">
        <w:rPr>
          <w:sz w:val="23"/>
          <w:szCs w:val="23"/>
        </w:rPr>
        <w:t xml:space="preserve">nvestigating the moderating effect of customer characteristics. </w:t>
      </w:r>
      <w:r w:rsidRPr="00034630">
        <w:rPr>
          <w:i/>
          <w:iCs/>
          <w:sz w:val="23"/>
          <w:szCs w:val="23"/>
        </w:rPr>
        <w:t>Journal of Marketing Research</w:t>
      </w:r>
      <w:r w:rsidRPr="00034630">
        <w:rPr>
          <w:sz w:val="23"/>
          <w:szCs w:val="23"/>
        </w:rPr>
        <w:t xml:space="preserve">, </w:t>
      </w:r>
      <w:r w:rsidRPr="00034630">
        <w:rPr>
          <w:i/>
          <w:iCs/>
          <w:sz w:val="23"/>
          <w:szCs w:val="23"/>
        </w:rPr>
        <w:t>38</w:t>
      </w:r>
      <w:r w:rsidRPr="00034630">
        <w:rPr>
          <w:sz w:val="23"/>
          <w:szCs w:val="23"/>
        </w:rPr>
        <w:t>(1), 131–142. https://doi.org/10.1509/jmkr.38.1.131.18832</w:t>
      </w:r>
    </w:p>
    <w:p w14:paraId="59977C93" w14:textId="77777777" w:rsidR="00C77FE3" w:rsidRDefault="00C77FE3" w:rsidP="00C77FE3">
      <w:pPr>
        <w:pStyle w:val="Bibliography"/>
        <w:rPr>
          <w:sz w:val="23"/>
          <w:szCs w:val="23"/>
        </w:rPr>
      </w:pPr>
      <w:r w:rsidRPr="00034630">
        <w:rPr>
          <w:sz w:val="23"/>
          <w:szCs w:val="23"/>
        </w:rPr>
        <w:t xml:space="preserve">Mittal, V., Kumar, P., &amp; </w:t>
      </w:r>
      <w:proofErr w:type="spellStart"/>
      <w:r w:rsidRPr="00034630">
        <w:rPr>
          <w:sz w:val="23"/>
          <w:szCs w:val="23"/>
        </w:rPr>
        <w:t>Tsiros</w:t>
      </w:r>
      <w:proofErr w:type="spellEnd"/>
      <w:r w:rsidRPr="00034630">
        <w:rPr>
          <w:sz w:val="23"/>
          <w:szCs w:val="23"/>
        </w:rPr>
        <w:t xml:space="preserve">, M. (1999). Attribute-level performance, satisfaction, and behavioral intentions over time: </w:t>
      </w:r>
      <w:r>
        <w:rPr>
          <w:sz w:val="23"/>
          <w:szCs w:val="23"/>
        </w:rPr>
        <w:t>A</w:t>
      </w:r>
      <w:r w:rsidRPr="00034630">
        <w:rPr>
          <w:sz w:val="23"/>
          <w:szCs w:val="23"/>
        </w:rPr>
        <w:t xml:space="preserve"> consumption-system approach. </w:t>
      </w:r>
      <w:r w:rsidRPr="00034630">
        <w:rPr>
          <w:i/>
          <w:iCs/>
          <w:sz w:val="23"/>
          <w:szCs w:val="23"/>
        </w:rPr>
        <w:t xml:space="preserve">Journal of </w:t>
      </w:r>
      <w:r>
        <w:rPr>
          <w:i/>
          <w:iCs/>
          <w:sz w:val="23"/>
          <w:szCs w:val="23"/>
        </w:rPr>
        <w:t>M</w:t>
      </w:r>
      <w:r w:rsidRPr="00034630">
        <w:rPr>
          <w:i/>
          <w:iCs/>
          <w:sz w:val="23"/>
          <w:szCs w:val="23"/>
        </w:rPr>
        <w:t>arketing</w:t>
      </w:r>
      <w:r w:rsidRPr="00034630">
        <w:rPr>
          <w:sz w:val="23"/>
          <w:szCs w:val="23"/>
        </w:rPr>
        <w:t xml:space="preserve">, </w:t>
      </w:r>
      <w:r w:rsidRPr="00034630">
        <w:rPr>
          <w:i/>
          <w:iCs/>
          <w:sz w:val="23"/>
          <w:szCs w:val="23"/>
        </w:rPr>
        <w:t>63</w:t>
      </w:r>
      <w:r w:rsidRPr="00034630">
        <w:rPr>
          <w:sz w:val="23"/>
          <w:szCs w:val="23"/>
        </w:rPr>
        <w:t>(2), 88–101.</w:t>
      </w:r>
    </w:p>
    <w:p w14:paraId="2392EDB1" w14:textId="77777777" w:rsidR="00C77FE3" w:rsidRDefault="00C77FE3" w:rsidP="00C77FE3">
      <w:pPr>
        <w:pStyle w:val="Bibliography"/>
        <w:rPr>
          <w:sz w:val="23"/>
          <w:szCs w:val="23"/>
        </w:rPr>
      </w:pPr>
      <w:r w:rsidRPr="00BA0363">
        <w:rPr>
          <w:sz w:val="23"/>
          <w:szCs w:val="23"/>
        </w:rPr>
        <w:t>Oliver, R. L. (1980). A cognitive model of the antecedents and consequences of satisfaction decisions.</w:t>
      </w:r>
      <w:r>
        <w:rPr>
          <w:sz w:val="23"/>
          <w:szCs w:val="23"/>
        </w:rPr>
        <w:t xml:space="preserve"> </w:t>
      </w:r>
      <w:r w:rsidRPr="00BA0363">
        <w:rPr>
          <w:i/>
          <w:iCs/>
          <w:sz w:val="23"/>
          <w:szCs w:val="23"/>
        </w:rPr>
        <w:t>Journal of Marketing Research</w:t>
      </w:r>
      <w:r w:rsidRPr="00BA0363">
        <w:rPr>
          <w:sz w:val="23"/>
          <w:szCs w:val="23"/>
        </w:rPr>
        <w:t xml:space="preserve">, </w:t>
      </w:r>
      <w:r w:rsidRPr="00BA0363">
        <w:rPr>
          <w:i/>
          <w:iCs/>
          <w:sz w:val="23"/>
          <w:szCs w:val="23"/>
        </w:rPr>
        <w:t>17</w:t>
      </w:r>
      <w:r w:rsidRPr="00BA0363">
        <w:rPr>
          <w:sz w:val="23"/>
          <w:szCs w:val="23"/>
        </w:rPr>
        <w:t xml:space="preserve">(4), 460–469. </w:t>
      </w:r>
      <w:hyperlink r:id="rId7" w:history="1">
        <w:r w:rsidRPr="00FD6C79">
          <w:rPr>
            <w:rStyle w:val="Hyperlink"/>
            <w:sz w:val="23"/>
            <w:szCs w:val="23"/>
          </w:rPr>
          <w:t>https://doi.org/10.1177/002224378001700405</w:t>
        </w:r>
      </w:hyperlink>
    </w:p>
    <w:p w14:paraId="56B5746B" w14:textId="77777777" w:rsidR="00C77FE3" w:rsidRPr="00BA0363" w:rsidRDefault="00C77FE3" w:rsidP="00C77FE3">
      <w:pPr>
        <w:ind w:left="720" w:hanging="720"/>
        <w:rPr>
          <w:sz w:val="23"/>
          <w:szCs w:val="23"/>
        </w:rPr>
      </w:pPr>
      <w:r w:rsidRPr="00BA0363">
        <w:rPr>
          <w:sz w:val="23"/>
          <w:szCs w:val="23"/>
        </w:rPr>
        <w:t>Oliver, R. L. (2006). Customer satisfaction research. In </w:t>
      </w:r>
      <w:r w:rsidRPr="007C0C83">
        <w:rPr>
          <w:sz w:val="23"/>
          <w:szCs w:val="23"/>
        </w:rPr>
        <w:t>R. Grover &amp; M. Vriens (Eds.),</w:t>
      </w:r>
      <w:r w:rsidRPr="007C0C83">
        <w:rPr>
          <w:i/>
          <w:iCs/>
          <w:sz w:val="23"/>
          <w:szCs w:val="23"/>
        </w:rPr>
        <w:t xml:space="preserve"> </w:t>
      </w:r>
      <w:r w:rsidRPr="00BA0363">
        <w:rPr>
          <w:i/>
          <w:iCs/>
          <w:sz w:val="23"/>
          <w:szCs w:val="23"/>
        </w:rPr>
        <w:t>The handbook of marketing research: Uses, misuses, and future advances</w:t>
      </w:r>
      <w:r w:rsidRPr="00BA0363">
        <w:rPr>
          <w:sz w:val="23"/>
          <w:szCs w:val="23"/>
        </w:rPr>
        <w:t> (pp. 569-587). S</w:t>
      </w:r>
      <w:r>
        <w:rPr>
          <w:sz w:val="23"/>
          <w:szCs w:val="23"/>
        </w:rPr>
        <w:t>age</w:t>
      </w:r>
      <w:r w:rsidRPr="00BA0363">
        <w:rPr>
          <w:sz w:val="23"/>
          <w:szCs w:val="23"/>
        </w:rPr>
        <w:t>.</w:t>
      </w:r>
    </w:p>
    <w:p w14:paraId="0A4013E7" w14:textId="77777777" w:rsidR="00C77FE3" w:rsidRPr="00034630" w:rsidRDefault="00C77FE3" w:rsidP="00C77FE3">
      <w:pPr>
        <w:pStyle w:val="Bibliography"/>
        <w:rPr>
          <w:sz w:val="23"/>
          <w:szCs w:val="23"/>
        </w:rPr>
      </w:pPr>
      <w:r w:rsidRPr="00034630">
        <w:rPr>
          <w:sz w:val="23"/>
          <w:szCs w:val="23"/>
        </w:rPr>
        <w:t xml:space="preserve">Oliver, R. L., &amp; Swan, J. E. (1989). Consumer perceptions of interpersonal equity and satisfaction in transactions: </w:t>
      </w:r>
      <w:r>
        <w:rPr>
          <w:sz w:val="23"/>
          <w:szCs w:val="23"/>
        </w:rPr>
        <w:t>A</w:t>
      </w:r>
      <w:r w:rsidRPr="00034630">
        <w:rPr>
          <w:sz w:val="23"/>
          <w:szCs w:val="23"/>
        </w:rPr>
        <w:t xml:space="preserve"> field survey approach. </w:t>
      </w:r>
      <w:r w:rsidRPr="00034630">
        <w:rPr>
          <w:i/>
          <w:iCs/>
          <w:sz w:val="23"/>
          <w:szCs w:val="23"/>
        </w:rPr>
        <w:t>Journal of Marketing</w:t>
      </w:r>
      <w:r w:rsidRPr="00034630">
        <w:rPr>
          <w:sz w:val="23"/>
          <w:szCs w:val="23"/>
        </w:rPr>
        <w:t xml:space="preserve">, </w:t>
      </w:r>
      <w:r w:rsidRPr="00034630">
        <w:rPr>
          <w:i/>
          <w:iCs/>
          <w:sz w:val="23"/>
          <w:szCs w:val="23"/>
        </w:rPr>
        <w:t>53</w:t>
      </w:r>
      <w:r w:rsidRPr="00034630">
        <w:rPr>
          <w:sz w:val="23"/>
          <w:szCs w:val="23"/>
        </w:rPr>
        <w:t>(2), 21–35. https://doi.org/10.1177/002224298905300202</w:t>
      </w:r>
    </w:p>
    <w:p w14:paraId="57482F07" w14:textId="77777777" w:rsidR="00C77FE3" w:rsidRPr="00034630" w:rsidRDefault="00C77FE3" w:rsidP="00C77FE3">
      <w:pPr>
        <w:pStyle w:val="Bibliography"/>
        <w:rPr>
          <w:sz w:val="23"/>
          <w:szCs w:val="23"/>
        </w:rPr>
      </w:pPr>
      <w:r w:rsidRPr="00034630">
        <w:rPr>
          <w:sz w:val="23"/>
          <w:szCs w:val="23"/>
        </w:rPr>
        <w:t xml:space="preserve">Pickle, H. B., &amp; </w:t>
      </w:r>
      <w:proofErr w:type="spellStart"/>
      <w:r w:rsidRPr="00034630">
        <w:rPr>
          <w:sz w:val="23"/>
          <w:szCs w:val="23"/>
        </w:rPr>
        <w:t>Rungeling</w:t>
      </w:r>
      <w:proofErr w:type="spellEnd"/>
      <w:r w:rsidRPr="00034630">
        <w:rPr>
          <w:sz w:val="23"/>
          <w:szCs w:val="23"/>
        </w:rPr>
        <w:t xml:space="preserve">, B. S. (1973). Empirical investigation of entrepreneurial goals and customer satisfaction. </w:t>
      </w:r>
      <w:r w:rsidRPr="00034630">
        <w:rPr>
          <w:i/>
          <w:iCs/>
          <w:sz w:val="23"/>
          <w:szCs w:val="23"/>
        </w:rPr>
        <w:t>Journal of Business</w:t>
      </w:r>
      <w:r w:rsidRPr="00034630">
        <w:rPr>
          <w:sz w:val="23"/>
          <w:szCs w:val="23"/>
        </w:rPr>
        <w:t xml:space="preserve">, </w:t>
      </w:r>
      <w:r w:rsidRPr="00034630">
        <w:rPr>
          <w:i/>
          <w:iCs/>
          <w:sz w:val="23"/>
          <w:szCs w:val="23"/>
        </w:rPr>
        <w:t>46</w:t>
      </w:r>
      <w:r w:rsidRPr="00034630">
        <w:rPr>
          <w:sz w:val="23"/>
          <w:szCs w:val="23"/>
        </w:rPr>
        <w:t>(2), 268–273.</w:t>
      </w:r>
    </w:p>
    <w:p w14:paraId="0740FC88" w14:textId="77777777" w:rsidR="00C77FE3" w:rsidRPr="00034630" w:rsidRDefault="00C77FE3" w:rsidP="00C77FE3">
      <w:pPr>
        <w:pStyle w:val="Bibliography"/>
        <w:rPr>
          <w:sz w:val="23"/>
          <w:szCs w:val="23"/>
        </w:rPr>
      </w:pPr>
      <w:r w:rsidRPr="00034630">
        <w:rPr>
          <w:sz w:val="23"/>
          <w:szCs w:val="23"/>
        </w:rPr>
        <w:t xml:space="preserve">Richins, M. L. (1983). Negative word-of-mouth by dissatisfied consumers: A pilot study. </w:t>
      </w:r>
      <w:r w:rsidRPr="00034630">
        <w:rPr>
          <w:i/>
          <w:iCs/>
          <w:sz w:val="23"/>
          <w:szCs w:val="23"/>
        </w:rPr>
        <w:t xml:space="preserve">Journal of </w:t>
      </w:r>
      <w:r>
        <w:rPr>
          <w:i/>
          <w:iCs/>
          <w:sz w:val="23"/>
          <w:szCs w:val="23"/>
        </w:rPr>
        <w:t>M</w:t>
      </w:r>
      <w:r w:rsidRPr="00034630">
        <w:rPr>
          <w:i/>
          <w:iCs/>
          <w:sz w:val="23"/>
          <w:szCs w:val="23"/>
        </w:rPr>
        <w:t>arketing</w:t>
      </w:r>
      <w:r w:rsidRPr="00034630">
        <w:rPr>
          <w:sz w:val="23"/>
          <w:szCs w:val="23"/>
        </w:rPr>
        <w:t xml:space="preserve">, </w:t>
      </w:r>
      <w:r w:rsidRPr="00034630">
        <w:rPr>
          <w:i/>
          <w:iCs/>
          <w:sz w:val="23"/>
          <w:szCs w:val="23"/>
        </w:rPr>
        <w:t>47</w:t>
      </w:r>
      <w:r w:rsidRPr="00034630">
        <w:rPr>
          <w:sz w:val="23"/>
          <w:szCs w:val="23"/>
        </w:rPr>
        <w:t>(1), 68–78.</w:t>
      </w:r>
    </w:p>
    <w:p w14:paraId="6324B0D7" w14:textId="77777777" w:rsidR="00C77FE3" w:rsidRPr="00034630" w:rsidRDefault="00C77FE3" w:rsidP="00C77FE3">
      <w:pPr>
        <w:pStyle w:val="Bibliography"/>
        <w:rPr>
          <w:sz w:val="23"/>
          <w:szCs w:val="23"/>
        </w:rPr>
      </w:pPr>
      <w:r w:rsidRPr="00B705A1">
        <w:rPr>
          <w:sz w:val="23"/>
          <w:szCs w:val="23"/>
        </w:rPr>
        <w:t xml:space="preserve">Rucci, A. J., Kirn, S. P., &amp; Quinn, R. T. (1998). </w:t>
      </w:r>
      <w:r w:rsidRPr="00034630">
        <w:rPr>
          <w:sz w:val="23"/>
          <w:szCs w:val="23"/>
        </w:rPr>
        <w:t xml:space="preserve">The employee-customer-profit chain at Sears. </w:t>
      </w:r>
      <w:r w:rsidRPr="00034630">
        <w:rPr>
          <w:i/>
          <w:iCs/>
          <w:sz w:val="23"/>
          <w:szCs w:val="23"/>
        </w:rPr>
        <w:t xml:space="preserve">Harvard </w:t>
      </w:r>
      <w:r>
        <w:rPr>
          <w:i/>
          <w:iCs/>
          <w:sz w:val="23"/>
          <w:szCs w:val="23"/>
        </w:rPr>
        <w:t>B</w:t>
      </w:r>
      <w:r w:rsidRPr="00034630">
        <w:rPr>
          <w:i/>
          <w:iCs/>
          <w:sz w:val="23"/>
          <w:szCs w:val="23"/>
        </w:rPr>
        <w:t xml:space="preserve">usiness </w:t>
      </w:r>
      <w:r>
        <w:rPr>
          <w:i/>
          <w:iCs/>
          <w:sz w:val="23"/>
          <w:szCs w:val="23"/>
        </w:rPr>
        <w:t>R</w:t>
      </w:r>
      <w:r w:rsidRPr="00034630">
        <w:rPr>
          <w:i/>
          <w:iCs/>
          <w:sz w:val="23"/>
          <w:szCs w:val="23"/>
        </w:rPr>
        <w:t>eview</w:t>
      </w:r>
      <w:r w:rsidRPr="00034630">
        <w:rPr>
          <w:sz w:val="23"/>
          <w:szCs w:val="23"/>
        </w:rPr>
        <w:t xml:space="preserve">, </w:t>
      </w:r>
      <w:r w:rsidRPr="00034630">
        <w:rPr>
          <w:i/>
          <w:iCs/>
          <w:sz w:val="23"/>
          <w:szCs w:val="23"/>
        </w:rPr>
        <w:t>76</w:t>
      </w:r>
      <w:r w:rsidRPr="00034630">
        <w:rPr>
          <w:sz w:val="23"/>
          <w:szCs w:val="23"/>
        </w:rPr>
        <w:t>(1998), 1.</w:t>
      </w:r>
    </w:p>
    <w:p w14:paraId="11A1143B" w14:textId="77777777" w:rsidR="00C77FE3" w:rsidRPr="00034630" w:rsidRDefault="00C77FE3" w:rsidP="00C77FE3">
      <w:pPr>
        <w:pStyle w:val="Bibliography"/>
        <w:rPr>
          <w:sz w:val="23"/>
          <w:szCs w:val="23"/>
        </w:rPr>
      </w:pPr>
      <w:r w:rsidRPr="00034630">
        <w:rPr>
          <w:sz w:val="23"/>
          <w:szCs w:val="23"/>
        </w:rPr>
        <w:t>Skinner, W. (1969). Manufacturing-missing link in corporate strategy.</w:t>
      </w:r>
      <w:r w:rsidRPr="00717695">
        <w:rPr>
          <w:i/>
          <w:iCs/>
          <w:sz w:val="23"/>
          <w:szCs w:val="23"/>
        </w:rPr>
        <w:t xml:space="preserve"> </w:t>
      </w:r>
      <w:r w:rsidRPr="00F14F35">
        <w:rPr>
          <w:i/>
          <w:iCs/>
          <w:sz w:val="23"/>
          <w:szCs w:val="23"/>
        </w:rPr>
        <w:t>Harvard Business Review</w:t>
      </w:r>
      <w:r>
        <w:rPr>
          <w:i/>
          <w:iCs/>
          <w:sz w:val="23"/>
          <w:szCs w:val="23"/>
        </w:rPr>
        <w:t>,</w:t>
      </w:r>
      <w:r w:rsidRPr="007C0C83">
        <w:rPr>
          <w:sz w:val="23"/>
          <w:szCs w:val="23"/>
        </w:rPr>
        <w:t xml:space="preserve"> </w:t>
      </w:r>
      <w:r w:rsidRPr="00F14F35">
        <w:rPr>
          <w:i/>
          <w:iCs/>
          <w:sz w:val="23"/>
          <w:szCs w:val="23"/>
        </w:rPr>
        <w:t>47</w:t>
      </w:r>
      <w:r w:rsidRPr="002F6843">
        <w:rPr>
          <w:sz w:val="23"/>
          <w:szCs w:val="23"/>
        </w:rPr>
        <w:t>(3), 136–145</w:t>
      </w:r>
      <w:r>
        <w:rPr>
          <w:sz w:val="23"/>
          <w:szCs w:val="23"/>
        </w:rPr>
        <w:t>.</w:t>
      </w:r>
    </w:p>
    <w:p w14:paraId="6B91D307" w14:textId="77777777" w:rsidR="00C77FE3" w:rsidRPr="00034630" w:rsidRDefault="00C77FE3" w:rsidP="00C77FE3">
      <w:pPr>
        <w:pStyle w:val="Bibliography"/>
        <w:rPr>
          <w:sz w:val="23"/>
          <w:szCs w:val="23"/>
        </w:rPr>
      </w:pPr>
      <w:proofErr w:type="spellStart"/>
      <w:r w:rsidRPr="00034630">
        <w:rPr>
          <w:sz w:val="23"/>
          <w:szCs w:val="23"/>
        </w:rPr>
        <w:lastRenderedPageBreak/>
        <w:t>Tsiros</w:t>
      </w:r>
      <w:proofErr w:type="spellEnd"/>
      <w:r w:rsidRPr="00034630">
        <w:rPr>
          <w:sz w:val="23"/>
          <w:szCs w:val="23"/>
        </w:rPr>
        <w:t xml:space="preserve">, M., &amp; Mittal, V. (2000). Regret: A model of its antecedents and consequences in consumer decision making. </w:t>
      </w:r>
      <w:r w:rsidRPr="00034630">
        <w:rPr>
          <w:i/>
          <w:iCs/>
          <w:sz w:val="23"/>
          <w:szCs w:val="23"/>
        </w:rPr>
        <w:t xml:space="preserve">Journal of </w:t>
      </w:r>
      <w:r>
        <w:rPr>
          <w:i/>
          <w:iCs/>
          <w:sz w:val="23"/>
          <w:szCs w:val="23"/>
        </w:rPr>
        <w:t>C</w:t>
      </w:r>
      <w:r w:rsidRPr="00034630">
        <w:rPr>
          <w:i/>
          <w:iCs/>
          <w:sz w:val="23"/>
          <w:szCs w:val="23"/>
        </w:rPr>
        <w:t>onsumer Research</w:t>
      </w:r>
      <w:r w:rsidRPr="00034630">
        <w:rPr>
          <w:sz w:val="23"/>
          <w:szCs w:val="23"/>
        </w:rPr>
        <w:t xml:space="preserve">, </w:t>
      </w:r>
      <w:r w:rsidRPr="00034630">
        <w:rPr>
          <w:i/>
          <w:iCs/>
          <w:sz w:val="23"/>
          <w:szCs w:val="23"/>
        </w:rPr>
        <w:t>26</w:t>
      </w:r>
      <w:r w:rsidRPr="00034630">
        <w:rPr>
          <w:sz w:val="23"/>
          <w:szCs w:val="23"/>
        </w:rPr>
        <w:t>(4), 401–417.</w:t>
      </w:r>
    </w:p>
    <w:p w14:paraId="5459AB34" w14:textId="77777777" w:rsidR="00C77FE3" w:rsidRPr="00034630" w:rsidRDefault="00C77FE3" w:rsidP="00C77FE3">
      <w:pPr>
        <w:pStyle w:val="Bibliography"/>
        <w:rPr>
          <w:sz w:val="23"/>
          <w:szCs w:val="23"/>
        </w:rPr>
      </w:pPr>
      <w:r w:rsidRPr="00034630">
        <w:rPr>
          <w:sz w:val="23"/>
          <w:szCs w:val="23"/>
        </w:rPr>
        <w:t xml:space="preserve">Tuli, K. R., &amp; Bharadwaj, S. G. (2009). Customer satisfaction and stock returns risk. </w:t>
      </w:r>
      <w:r w:rsidRPr="00034630">
        <w:rPr>
          <w:i/>
          <w:iCs/>
          <w:sz w:val="23"/>
          <w:szCs w:val="23"/>
        </w:rPr>
        <w:t xml:space="preserve">Journal of </w:t>
      </w:r>
      <w:r>
        <w:rPr>
          <w:i/>
          <w:iCs/>
          <w:sz w:val="23"/>
          <w:szCs w:val="23"/>
        </w:rPr>
        <w:t>M</w:t>
      </w:r>
      <w:r w:rsidRPr="00034630">
        <w:rPr>
          <w:i/>
          <w:iCs/>
          <w:sz w:val="23"/>
          <w:szCs w:val="23"/>
        </w:rPr>
        <w:t>arketing</w:t>
      </w:r>
      <w:r w:rsidRPr="00034630">
        <w:rPr>
          <w:sz w:val="23"/>
          <w:szCs w:val="23"/>
        </w:rPr>
        <w:t xml:space="preserve">, </w:t>
      </w:r>
      <w:r w:rsidRPr="00034630">
        <w:rPr>
          <w:i/>
          <w:iCs/>
          <w:sz w:val="23"/>
          <w:szCs w:val="23"/>
        </w:rPr>
        <w:t>73</w:t>
      </w:r>
      <w:r w:rsidRPr="00034630">
        <w:rPr>
          <w:sz w:val="23"/>
          <w:szCs w:val="23"/>
        </w:rPr>
        <w:t>(6), 184–197.</w:t>
      </w:r>
    </w:p>
    <w:p w14:paraId="0F09C6E1" w14:textId="77777777" w:rsidR="00C77FE3" w:rsidRDefault="00C77FE3" w:rsidP="00C77FE3">
      <w:pPr>
        <w:pStyle w:val="Bibliography"/>
      </w:pPr>
    </w:p>
    <w:p w14:paraId="051F692D" w14:textId="77777777" w:rsidR="00C77FE3" w:rsidRDefault="00C77FE3" w:rsidP="00C77FE3">
      <w:pPr>
        <w:ind w:left="360" w:hanging="360"/>
        <w:jc w:val="center"/>
        <w:rPr>
          <w:b/>
          <w:bCs/>
        </w:rPr>
      </w:pPr>
    </w:p>
    <w:p w14:paraId="2112A91C" w14:textId="77777777" w:rsidR="00C77FE3" w:rsidRDefault="00C77FE3" w:rsidP="00C77FE3">
      <w:pPr>
        <w:ind w:left="360" w:hanging="360"/>
        <w:jc w:val="center"/>
        <w:rPr>
          <w:b/>
          <w:bCs/>
        </w:rPr>
      </w:pPr>
    </w:p>
    <w:p w14:paraId="63EE4EC4" w14:textId="77777777" w:rsidR="00C77FE3" w:rsidRDefault="00C77FE3" w:rsidP="00C77FE3">
      <w:pPr>
        <w:ind w:left="360" w:hanging="360"/>
        <w:jc w:val="center"/>
        <w:rPr>
          <w:b/>
          <w:bCs/>
        </w:rPr>
      </w:pPr>
    </w:p>
    <w:p w14:paraId="4850ACDD" w14:textId="77777777" w:rsidR="00C77FE3" w:rsidRDefault="00C77FE3" w:rsidP="00C77FE3">
      <w:pPr>
        <w:ind w:left="360" w:hanging="360"/>
        <w:jc w:val="center"/>
        <w:rPr>
          <w:b/>
          <w:bCs/>
        </w:rPr>
      </w:pPr>
    </w:p>
    <w:p w14:paraId="5A047732" w14:textId="77777777" w:rsidR="00C77FE3" w:rsidRDefault="00C77FE3" w:rsidP="00C77FE3">
      <w:pPr>
        <w:spacing w:line="480" w:lineRule="auto"/>
        <w:jc w:val="center"/>
        <w:rPr>
          <w:b/>
          <w:bCs/>
          <w:sz w:val="23"/>
          <w:szCs w:val="23"/>
        </w:rPr>
      </w:pPr>
    </w:p>
    <w:p w14:paraId="785D9BFE" w14:textId="77777777" w:rsidR="00C77FE3" w:rsidRDefault="00C77FE3" w:rsidP="00C77FE3">
      <w:pPr>
        <w:spacing w:line="480" w:lineRule="auto"/>
        <w:jc w:val="center"/>
        <w:rPr>
          <w:b/>
          <w:bCs/>
          <w:sz w:val="23"/>
          <w:szCs w:val="23"/>
        </w:rPr>
      </w:pPr>
    </w:p>
    <w:p w14:paraId="3A364F84" w14:textId="77777777" w:rsidR="00C77FE3" w:rsidRDefault="00C77FE3" w:rsidP="00C77FE3">
      <w:pPr>
        <w:spacing w:line="480" w:lineRule="auto"/>
        <w:jc w:val="center"/>
        <w:rPr>
          <w:b/>
          <w:bCs/>
          <w:sz w:val="23"/>
          <w:szCs w:val="23"/>
        </w:rPr>
      </w:pPr>
    </w:p>
    <w:p w14:paraId="5095588A" w14:textId="77777777" w:rsidR="00C77FE3" w:rsidRDefault="00C77FE3" w:rsidP="00C77FE3">
      <w:pPr>
        <w:spacing w:line="480" w:lineRule="auto"/>
        <w:jc w:val="center"/>
        <w:rPr>
          <w:b/>
          <w:bCs/>
          <w:sz w:val="23"/>
          <w:szCs w:val="23"/>
        </w:rPr>
      </w:pPr>
    </w:p>
    <w:p w14:paraId="0C727AF5" w14:textId="77777777" w:rsidR="00C77FE3" w:rsidRDefault="00C77FE3" w:rsidP="00C77FE3">
      <w:pPr>
        <w:spacing w:line="480" w:lineRule="auto"/>
        <w:jc w:val="center"/>
        <w:rPr>
          <w:b/>
          <w:bCs/>
          <w:sz w:val="23"/>
          <w:szCs w:val="23"/>
        </w:rPr>
      </w:pPr>
    </w:p>
    <w:p w14:paraId="1EE3ADCC" w14:textId="77777777" w:rsidR="00C77FE3" w:rsidRDefault="00C77FE3" w:rsidP="00C77FE3">
      <w:pPr>
        <w:spacing w:line="480" w:lineRule="auto"/>
        <w:jc w:val="center"/>
        <w:rPr>
          <w:b/>
          <w:bCs/>
          <w:sz w:val="23"/>
          <w:szCs w:val="23"/>
        </w:rPr>
      </w:pPr>
    </w:p>
    <w:p w14:paraId="1F8F25B5" w14:textId="77777777" w:rsidR="00C77FE3" w:rsidRDefault="00C77FE3" w:rsidP="00C77FE3">
      <w:pPr>
        <w:spacing w:line="480" w:lineRule="auto"/>
        <w:jc w:val="center"/>
        <w:rPr>
          <w:b/>
          <w:bCs/>
          <w:sz w:val="23"/>
          <w:szCs w:val="23"/>
        </w:rPr>
      </w:pPr>
    </w:p>
    <w:p w14:paraId="51A645E1" w14:textId="77777777" w:rsidR="00C77FE3" w:rsidRDefault="00C77FE3" w:rsidP="00C77FE3">
      <w:pPr>
        <w:spacing w:line="480" w:lineRule="auto"/>
        <w:jc w:val="center"/>
        <w:rPr>
          <w:b/>
          <w:bCs/>
          <w:sz w:val="23"/>
          <w:szCs w:val="23"/>
        </w:rPr>
      </w:pPr>
    </w:p>
    <w:p w14:paraId="72D39A42" w14:textId="77777777" w:rsidR="00C77FE3" w:rsidRDefault="00C77FE3" w:rsidP="00C77FE3">
      <w:pPr>
        <w:spacing w:line="480" w:lineRule="auto"/>
        <w:jc w:val="center"/>
        <w:rPr>
          <w:b/>
          <w:bCs/>
          <w:sz w:val="23"/>
          <w:szCs w:val="23"/>
        </w:rPr>
      </w:pPr>
    </w:p>
    <w:p w14:paraId="3AD1C7CB" w14:textId="77777777" w:rsidR="00C77FE3" w:rsidRDefault="00C77FE3" w:rsidP="00C77FE3">
      <w:pPr>
        <w:spacing w:line="480" w:lineRule="auto"/>
        <w:jc w:val="center"/>
        <w:rPr>
          <w:b/>
          <w:bCs/>
          <w:sz w:val="23"/>
          <w:szCs w:val="23"/>
        </w:rPr>
      </w:pPr>
    </w:p>
    <w:p w14:paraId="1CEA8D4A" w14:textId="77777777" w:rsidR="00C77FE3" w:rsidRDefault="00C77FE3" w:rsidP="00C77FE3">
      <w:pPr>
        <w:spacing w:line="480" w:lineRule="auto"/>
        <w:jc w:val="center"/>
        <w:rPr>
          <w:b/>
          <w:bCs/>
          <w:sz w:val="23"/>
          <w:szCs w:val="23"/>
        </w:rPr>
      </w:pPr>
    </w:p>
    <w:p w14:paraId="6D3B21DA" w14:textId="77777777" w:rsidR="00C77FE3" w:rsidRDefault="00C77FE3" w:rsidP="00C77FE3">
      <w:pPr>
        <w:spacing w:line="480" w:lineRule="auto"/>
        <w:jc w:val="center"/>
        <w:rPr>
          <w:b/>
          <w:bCs/>
          <w:sz w:val="23"/>
          <w:szCs w:val="23"/>
        </w:rPr>
      </w:pPr>
    </w:p>
    <w:p w14:paraId="108E9D76" w14:textId="77777777" w:rsidR="00C77FE3" w:rsidRDefault="00C77FE3" w:rsidP="00C77FE3">
      <w:pPr>
        <w:spacing w:line="480" w:lineRule="auto"/>
        <w:jc w:val="center"/>
        <w:rPr>
          <w:b/>
          <w:bCs/>
          <w:sz w:val="23"/>
          <w:szCs w:val="23"/>
        </w:rPr>
      </w:pPr>
    </w:p>
    <w:p w14:paraId="4A3B75AF" w14:textId="77777777" w:rsidR="00C77FE3" w:rsidRDefault="00C77FE3" w:rsidP="00C77FE3">
      <w:pPr>
        <w:spacing w:line="480" w:lineRule="auto"/>
        <w:jc w:val="center"/>
        <w:rPr>
          <w:b/>
          <w:bCs/>
          <w:sz w:val="23"/>
          <w:szCs w:val="23"/>
        </w:rPr>
      </w:pPr>
    </w:p>
    <w:p w14:paraId="661E8ECB" w14:textId="77777777" w:rsidR="00C77FE3" w:rsidRDefault="00C77FE3" w:rsidP="00C77FE3">
      <w:pPr>
        <w:spacing w:line="480" w:lineRule="auto"/>
        <w:jc w:val="center"/>
        <w:rPr>
          <w:b/>
          <w:bCs/>
          <w:sz w:val="23"/>
          <w:szCs w:val="23"/>
        </w:rPr>
      </w:pPr>
    </w:p>
    <w:p w14:paraId="3D58E1E1" w14:textId="77777777" w:rsidR="00C77FE3" w:rsidRDefault="00C77FE3" w:rsidP="00C77FE3">
      <w:pPr>
        <w:spacing w:line="480" w:lineRule="auto"/>
        <w:jc w:val="center"/>
        <w:rPr>
          <w:b/>
          <w:bCs/>
          <w:sz w:val="23"/>
          <w:szCs w:val="23"/>
        </w:rPr>
      </w:pPr>
    </w:p>
    <w:p w14:paraId="272E49D1" w14:textId="77777777" w:rsidR="00C77FE3" w:rsidRDefault="00C77FE3" w:rsidP="00C77FE3">
      <w:pPr>
        <w:spacing w:line="480" w:lineRule="auto"/>
        <w:jc w:val="center"/>
        <w:rPr>
          <w:b/>
          <w:bCs/>
          <w:sz w:val="23"/>
          <w:szCs w:val="23"/>
        </w:rPr>
      </w:pPr>
    </w:p>
    <w:p w14:paraId="6E13898A" w14:textId="77777777" w:rsidR="00C77FE3" w:rsidRDefault="00C77FE3" w:rsidP="00C77FE3">
      <w:pPr>
        <w:spacing w:line="480" w:lineRule="auto"/>
        <w:jc w:val="center"/>
        <w:rPr>
          <w:b/>
          <w:bCs/>
          <w:sz w:val="23"/>
          <w:szCs w:val="23"/>
        </w:rPr>
      </w:pPr>
    </w:p>
    <w:p w14:paraId="15DE504E" w14:textId="77777777" w:rsidR="00C77FE3" w:rsidRDefault="00C77FE3" w:rsidP="00C77FE3">
      <w:pPr>
        <w:spacing w:line="480" w:lineRule="auto"/>
        <w:jc w:val="center"/>
        <w:rPr>
          <w:b/>
          <w:bCs/>
          <w:sz w:val="23"/>
          <w:szCs w:val="23"/>
        </w:rPr>
      </w:pPr>
    </w:p>
    <w:p w14:paraId="0CBB7277" w14:textId="77777777" w:rsidR="00C77FE3" w:rsidRDefault="00C77FE3" w:rsidP="00C77FE3">
      <w:pPr>
        <w:spacing w:line="480" w:lineRule="auto"/>
        <w:jc w:val="center"/>
        <w:rPr>
          <w:b/>
          <w:bCs/>
          <w:sz w:val="23"/>
          <w:szCs w:val="23"/>
        </w:rPr>
      </w:pPr>
    </w:p>
    <w:p w14:paraId="0E230691" w14:textId="77777777" w:rsidR="00C77FE3" w:rsidRPr="00BA0363" w:rsidRDefault="00C77FE3" w:rsidP="00C77FE3">
      <w:pPr>
        <w:spacing w:line="480" w:lineRule="auto"/>
        <w:jc w:val="center"/>
        <w:rPr>
          <w:b/>
          <w:bCs/>
          <w:sz w:val="23"/>
          <w:szCs w:val="23"/>
        </w:rPr>
      </w:pPr>
      <w:r w:rsidRPr="00BA0363">
        <w:rPr>
          <w:b/>
          <w:bCs/>
          <w:sz w:val="23"/>
          <w:szCs w:val="23"/>
        </w:rPr>
        <w:lastRenderedPageBreak/>
        <w:t xml:space="preserve">Web Appendix </w:t>
      </w:r>
      <w:r>
        <w:rPr>
          <w:b/>
          <w:bCs/>
          <w:sz w:val="23"/>
          <w:szCs w:val="23"/>
        </w:rPr>
        <w:t>D</w:t>
      </w:r>
      <w:r w:rsidRPr="00BA0363">
        <w:rPr>
          <w:b/>
          <w:bCs/>
          <w:sz w:val="23"/>
          <w:szCs w:val="23"/>
        </w:rPr>
        <w:t xml:space="preserve">: Methodology for YouGov </w:t>
      </w:r>
      <w:r>
        <w:rPr>
          <w:b/>
          <w:bCs/>
          <w:sz w:val="23"/>
          <w:szCs w:val="23"/>
        </w:rPr>
        <w:t>CSAT</w:t>
      </w:r>
      <w:r w:rsidRPr="00BA0363">
        <w:rPr>
          <w:b/>
          <w:bCs/>
          <w:sz w:val="23"/>
          <w:szCs w:val="23"/>
        </w:rPr>
        <w:t xml:space="preserve"> Analysis</w:t>
      </w:r>
    </w:p>
    <w:p w14:paraId="70BF9927" w14:textId="77777777" w:rsidR="00C77FE3" w:rsidRPr="00BA0363" w:rsidRDefault="00C77FE3" w:rsidP="00C77FE3">
      <w:pPr>
        <w:pStyle w:val="p1"/>
        <w:spacing w:before="0" w:beforeAutospacing="0" w:after="0" w:afterAutospacing="0" w:line="480" w:lineRule="auto"/>
        <w:rPr>
          <w:sz w:val="23"/>
          <w:szCs w:val="23"/>
        </w:rPr>
      </w:pPr>
      <w:r>
        <w:rPr>
          <w:sz w:val="23"/>
          <w:szCs w:val="23"/>
        </w:rPr>
        <w:t xml:space="preserve">We construct the </w:t>
      </w:r>
      <w:r w:rsidRPr="00BA0363">
        <w:rPr>
          <w:sz w:val="23"/>
          <w:szCs w:val="23"/>
        </w:rPr>
        <w:t xml:space="preserve">dataset </w:t>
      </w:r>
      <w:r>
        <w:rPr>
          <w:sz w:val="23"/>
          <w:szCs w:val="23"/>
        </w:rPr>
        <w:t xml:space="preserve">using </w:t>
      </w:r>
      <w:r w:rsidRPr="00BA0363">
        <w:rPr>
          <w:sz w:val="23"/>
          <w:szCs w:val="23"/>
        </w:rPr>
        <w:t xml:space="preserve">three sources. Consumer mindset metrics, including </w:t>
      </w:r>
      <w:r>
        <w:rPr>
          <w:sz w:val="23"/>
          <w:szCs w:val="23"/>
        </w:rPr>
        <w:t>CSAT</w:t>
      </w:r>
      <w:r w:rsidRPr="00BA0363">
        <w:rPr>
          <w:sz w:val="23"/>
          <w:szCs w:val="23"/>
        </w:rPr>
        <w:t xml:space="preserve"> and likelihood to recommend, </w:t>
      </w:r>
      <w:r>
        <w:rPr>
          <w:sz w:val="23"/>
          <w:szCs w:val="23"/>
        </w:rPr>
        <w:t xml:space="preserve">come </w:t>
      </w:r>
      <w:r w:rsidRPr="00BA0363">
        <w:rPr>
          <w:sz w:val="23"/>
          <w:szCs w:val="23"/>
        </w:rPr>
        <w:t xml:space="preserve">from YouGov, which provides daily measures for more than 1,900 brands. Financial market data on daily and monthly stock returns </w:t>
      </w:r>
      <w:r>
        <w:rPr>
          <w:sz w:val="23"/>
          <w:szCs w:val="23"/>
        </w:rPr>
        <w:t>come</w:t>
      </w:r>
      <w:r w:rsidRPr="00BA0363">
        <w:rPr>
          <w:sz w:val="23"/>
          <w:szCs w:val="23"/>
        </w:rPr>
        <w:t xml:space="preserve"> from CRSP. Firm-level accounting measures </w:t>
      </w:r>
      <w:r>
        <w:rPr>
          <w:sz w:val="23"/>
          <w:szCs w:val="23"/>
        </w:rPr>
        <w:t>come</w:t>
      </w:r>
      <w:r w:rsidRPr="00BA0363">
        <w:rPr>
          <w:sz w:val="23"/>
          <w:szCs w:val="23"/>
        </w:rPr>
        <w:t xml:space="preserve"> from Standard &amp; Poor’s Compustat. YouGov and CRSP are available daily and Compustat quarterly. We aggregate the YouGov data and summarize CRSP returns to the quarterly level before merging the three datasets.</w:t>
      </w:r>
    </w:p>
    <w:p w14:paraId="01635B04" w14:textId="77777777" w:rsidR="00C77FE3" w:rsidRPr="00BA0363" w:rsidRDefault="00C77FE3" w:rsidP="00C77FE3">
      <w:pPr>
        <w:pStyle w:val="p1"/>
        <w:spacing w:before="0" w:beforeAutospacing="0" w:after="0" w:afterAutospacing="0" w:line="480" w:lineRule="auto"/>
        <w:ind w:firstLine="720"/>
        <w:rPr>
          <w:sz w:val="23"/>
          <w:szCs w:val="23"/>
        </w:rPr>
      </w:pPr>
      <w:r w:rsidRPr="00BA0363">
        <w:rPr>
          <w:sz w:val="23"/>
          <w:szCs w:val="23"/>
        </w:rPr>
        <w:t xml:space="preserve">Our primary independent variable is </w:t>
      </w:r>
      <w:r>
        <w:rPr>
          <w:sz w:val="23"/>
          <w:szCs w:val="23"/>
        </w:rPr>
        <w:t>CSAT</w:t>
      </w:r>
      <w:r w:rsidRPr="00BA0363">
        <w:rPr>
          <w:sz w:val="23"/>
          <w:szCs w:val="23"/>
        </w:rPr>
        <w:t>, measured in YouGov as the percentage of respondents who report being satisfied with the brand. Before merging the three datasets, we aggregate the YouGov data to the quarterly level through a two-step process. First, because both CRSP and Compustat are firm-level datasets, we summarize brand-level scores to the firm level. We identify the firms that own the brands tracked by YouGov and restrict the sample to publicly listed</w:t>
      </w:r>
      <w:r w:rsidRPr="00AD5B17">
        <w:rPr>
          <w:sz w:val="23"/>
          <w:szCs w:val="23"/>
        </w:rPr>
        <w:t xml:space="preserve"> </w:t>
      </w:r>
      <w:r w:rsidRPr="00BA0363">
        <w:rPr>
          <w:sz w:val="23"/>
          <w:szCs w:val="23"/>
        </w:rPr>
        <w:t xml:space="preserve">firms, enabling linkage with CRSP and Compustat. For each firm, we calculate the daily average </w:t>
      </w:r>
      <w:r>
        <w:rPr>
          <w:sz w:val="23"/>
          <w:szCs w:val="23"/>
        </w:rPr>
        <w:t>CSAT</w:t>
      </w:r>
      <w:r w:rsidRPr="00BA0363">
        <w:rPr>
          <w:sz w:val="23"/>
          <w:szCs w:val="23"/>
        </w:rPr>
        <w:t xml:space="preserve"> score </w:t>
      </w:r>
      <w:r>
        <w:rPr>
          <w:sz w:val="23"/>
          <w:szCs w:val="23"/>
        </w:rPr>
        <w:t xml:space="preserve">(the percentage of customers satisfied with the brand) </w:t>
      </w:r>
      <w:r w:rsidRPr="00BA0363">
        <w:rPr>
          <w:sz w:val="23"/>
          <w:szCs w:val="23"/>
        </w:rPr>
        <w:t xml:space="preserve">across its brands and then compute the quarterly average. This quarterly firm-level measure serves as our </w:t>
      </w:r>
      <w:r>
        <w:rPr>
          <w:sz w:val="23"/>
          <w:szCs w:val="23"/>
        </w:rPr>
        <w:t>measure of CSAT</w:t>
      </w:r>
      <w:r w:rsidRPr="00BA0363">
        <w:rPr>
          <w:sz w:val="23"/>
          <w:szCs w:val="23"/>
        </w:rPr>
        <w:t xml:space="preserve">. In the regressions, we use the log of </w:t>
      </w:r>
      <w:r>
        <w:rPr>
          <w:sz w:val="23"/>
          <w:szCs w:val="23"/>
        </w:rPr>
        <w:t>CSAT</w:t>
      </w:r>
      <w:r w:rsidRPr="00BA0363">
        <w:rPr>
          <w:sz w:val="23"/>
          <w:szCs w:val="23"/>
        </w:rPr>
        <w:t xml:space="preserve"> variable.</w:t>
      </w:r>
    </w:p>
    <w:p w14:paraId="5BA766DE" w14:textId="77777777" w:rsidR="00C77FE3" w:rsidRPr="00CD20FC" w:rsidRDefault="00C77FE3" w:rsidP="00C77FE3">
      <w:pPr>
        <w:pStyle w:val="p1"/>
        <w:spacing w:before="0" w:beforeAutospacing="0" w:after="0" w:afterAutospacing="0" w:line="480" w:lineRule="auto"/>
        <w:ind w:firstLine="720"/>
        <w:rPr>
          <w:sz w:val="23"/>
          <w:szCs w:val="23"/>
        </w:rPr>
      </w:pPr>
      <w:r w:rsidRPr="00BA0363">
        <w:rPr>
          <w:sz w:val="23"/>
          <w:szCs w:val="23"/>
        </w:rPr>
        <w:t xml:space="preserve">The empirical analysis examines the association of </w:t>
      </w:r>
      <w:r>
        <w:rPr>
          <w:sz w:val="23"/>
          <w:szCs w:val="23"/>
        </w:rPr>
        <w:t>CSAT</w:t>
      </w:r>
      <w:r w:rsidRPr="00BA0363">
        <w:rPr>
          <w:sz w:val="23"/>
          <w:szCs w:val="23"/>
        </w:rPr>
        <w:t xml:space="preserve"> with several outcome metrics. The consumer mindset metrics include</w:t>
      </w:r>
      <w:r>
        <w:rPr>
          <w:sz w:val="23"/>
          <w:szCs w:val="23"/>
        </w:rPr>
        <w:t xml:space="preserve"> </w:t>
      </w:r>
      <w:r w:rsidRPr="00BA0363">
        <w:rPr>
          <w:sz w:val="23"/>
          <w:szCs w:val="23"/>
        </w:rPr>
        <w:t>likelihood to recommend and likelihood of purchase</w:t>
      </w:r>
      <w:r>
        <w:rPr>
          <w:sz w:val="23"/>
          <w:szCs w:val="23"/>
        </w:rPr>
        <w:t xml:space="preserve">, </w:t>
      </w:r>
      <w:r w:rsidRPr="00BA0363">
        <w:rPr>
          <w:sz w:val="23"/>
          <w:szCs w:val="23"/>
        </w:rPr>
        <w:t xml:space="preserve">both constructed in the same manner as </w:t>
      </w:r>
      <w:r>
        <w:rPr>
          <w:sz w:val="23"/>
          <w:szCs w:val="23"/>
        </w:rPr>
        <w:t>CSAT</w:t>
      </w:r>
      <w:r w:rsidRPr="00BA0363">
        <w:rPr>
          <w:sz w:val="23"/>
          <w:szCs w:val="23"/>
        </w:rPr>
        <w:t xml:space="preserve">. Next, we include financial performance metrics. </w:t>
      </w:r>
      <w:r>
        <w:rPr>
          <w:sz w:val="23"/>
          <w:szCs w:val="23"/>
        </w:rPr>
        <w:t>We capture p</w:t>
      </w:r>
      <w:r w:rsidRPr="00BA0363">
        <w:rPr>
          <w:sz w:val="23"/>
          <w:szCs w:val="23"/>
        </w:rPr>
        <w:t xml:space="preserve">rofitability using profit margin, </w:t>
      </w:r>
      <w:r>
        <w:rPr>
          <w:sz w:val="23"/>
          <w:szCs w:val="23"/>
        </w:rPr>
        <w:t xml:space="preserve">or </w:t>
      </w:r>
      <w:r w:rsidRPr="00BA0363">
        <w:rPr>
          <w:sz w:val="23"/>
          <w:szCs w:val="23"/>
        </w:rPr>
        <w:t xml:space="preserve">operating income after depreciation divided by sales, and </w:t>
      </w:r>
      <w:r>
        <w:rPr>
          <w:sz w:val="23"/>
          <w:szCs w:val="23"/>
        </w:rPr>
        <w:t>ROA</w:t>
      </w:r>
      <w:r w:rsidRPr="00BA0363">
        <w:rPr>
          <w:sz w:val="23"/>
          <w:szCs w:val="23"/>
        </w:rPr>
        <w:t xml:space="preserve">, </w:t>
      </w:r>
      <w:r>
        <w:rPr>
          <w:sz w:val="23"/>
          <w:szCs w:val="23"/>
        </w:rPr>
        <w:t xml:space="preserve">or </w:t>
      </w:r>
      <w:r w:rsidRPr="00BA0363">
        <w:rPr>
          <w:sz w:val="23"/>
          <w:szCs w:val="23"/>
        </w:rPr>
        <w:t xml:space="preserve">operating income after depreciation divided by total assets. </w:t>
      </w:r>
      <w:r>
        <w:rPr>
          <w:sz w:val="23"/>
          <w:szCs w:val="23"/>
        </w:rPr>
        <w:t>F</w:t>
      </w:r>
      <w:r w:rsidRPr="00BA0363">
        <w:rPr>
          <w:sz w:val="23"/>
          <w:szCs w:val="23"/>
        </w:rPr>
        <w:t>ree cash flow</w:t>
      </w:r>
      <w:r>
        <w:rPr>
          <w:sz w:val="23"/>
          <w:szCs w:val="23"/>
        </w:rPr>
        <w:t xml:space="preserve"> has two measures</w:t>
      </w:r>
      <w:r w:rsidRPr="00BA0363">
        <w:rPr>
          <w:sz w:val="23"/>
          <w:szCs w:val="23"/>
        </w:rPr>
        <w:t xml:space="preserve">: the level of free cash flow, defined as the residual funds after covering expenses, and its volatility, computed as the standard deviation of quarterly free cash flow over the prior five years. </w:t>
      </w:r>
      <w:r>
        <w:rPr>
          <w:sz w:val="23"/>
          <w:szCs w:val="23"/>
        </w:rPr>
        <w:t>We calculate m</w:t>
      </w:r>
      <w:r w:rsidRPr="00BA0363">
        <w:rPr>
          <w:sz w:val="23"/>
          <w:szCs w:val="23"/>
        </w:rPr>
        <w:t>arket share, our final operational metric, at the firm level within two-digit S</w:t>
      </w:r>
      <w:r>
        <w:rPr>
          <w:sz w:val="23"/>
          <w:szCs w:val="23"/>
        </w:rPr>
        <w:t xml:space="preserve">tandard </w:t>
      </w:r>
      <w:r w:rsidRPr="00BA0363">
        <w:rPr>
          <w:sz w:val="23"/>
          <w:szCs w:val="23"/>
        </w:rPr>
        <w:t>I</w:t>
      </w:r>
      <w:r>
        <w:rPr>
          <w:sz w:val="23"/>
          <w:szCs w:val="23"/>
        </w:rPr>
        <w:t xml:space="preserve">ndustrial </w:t>
      </w:r>
      <w:r w:rsidRPr="00BA0363">
        <w:rPr>
          <w:sz w:val="23"/>
          <w:szCs w:val="23"/>
        </w:rPr>
        <w:t>C</w:t>
      </w:r>
      <w:r>
        <w:rPr>
          <w:sz w:val="23"/>
          <w:szCs w:val="23"/>
        </w:rPr>
        <w:t>lassification</w:t>
      </w:r>
      <w:r w:rsidRPr="00BA0363">
        <w:rPr>
          <w:sz w:val="23"/>
          <w:szCs w:val="23"/>
        </w:rPr>
        <w:t xml:space="preserve"> industries. </w:t>
      </w:r>
      <w:r>
        <w:rPr>
          <w:sz w:val="23"/>
          <w:szCs w:val="23"/>
        </w:rPr>
        <w:t>We estimate s</w:t>
      </w:r>
      <w:r w:rsidRPr="00BA0363">
        <w:rPr>
          <w:sz w:val="23"/>
          <w:szCs w:val="23"/>
        </w:rPr>
        <w:t xml:space="preserve">ystematic and idiosyncratic risk using Carhart’s </w:t>
      </w:r>
      <w:r w:rsidRPr="00BA0363">
        <w:rPr>
          <w:sz w:val="23"/>
          <w:szCs w:val="23"/>
        </w:rPr>
        <w:lastRenderedPageBreak/>
        <w:t xml:space="preserve">(1997) four-factor model based on daily stock returns in each quarter. </w:t>
      </w:r>
      <w:r>
        <w:rPr>
          <w:sz w:val="23"/>
          <w:szCs w:val="23"/>
        </w:rPr>
        <w:t>We likewise estimate a</w:t>
      </w:r>
      <w:r w:rsidRPr="00BA0363">
        <w:rPr>
          <w:sz w:val="23"/>
          <w:szCs w:val="23"/>
        </w:rPr>
        <w:t xml:space="preserve">bnormal returns using the Carhart (1997) model. </w:t>
      </w:r>
      <w:r>
        <w:rPr>
          <w:sz w:val="23"/>
          <w:szCs w:val="23"/>
        </w:rPr>
        <w:t xml:space="preserve">We calculate </w:t>
      </w:r>
      <w:r w:rsidRPr="00BA0363">
        <w:rPr>
          <w:sz w:val="23"/>
          <w:szCs w:val="23"/>
        </w:rPr>
        <w:t xml:space="preserve">Tobin’s q, a measure </w:t>
      </w:r>
      <w:r w:rsidRPr="00CD20FC">
        <w:rPr>
          <w:sz w:val="23"/>
          <w:szCs w:val="23"/>
        </w:rPr>
        <w:t>of firm value</w:t>
      </w:r>
      <w:r>
        <w:rPr>
          <w:sz w:val="23"/>
          <w:szCs w:val="23"/>
        </w:rPr>
        <w:t>,</w:t>
      </w:r>
      <w:r w:rsidRPr="00CD20FC">
        <w:rPr>
          <w:sz w:val="23"/>
          <w:szCs w:val="23"/>
        </w:rPr>
        <w:t xml:space="preserve"> </w:t>
      </w:r>
      <w:r>
        <w:rPr>
          <w:sz w:val="23"/>
          <w:szCs w:val="23"/>
        </w:rPr>
        <w:t>following</w:t>
      </w:r>
      <w:r w:rsidRPr="00CD20FC">
        <w:rPr>
          <w:sz w:val="23"/>
          <w:szCs w:val="23"/>
        </w:rPr>
        <w:t xml:space="preserve"> Chung and Pruitt (1994).</w:t>
      </w:r>
    </w:p>
    <w:p w14:paraId="40223841" w14:textId="77777777" w:rsidR="00C77FE3" w:rsidRPr="00CD20FC" w:rsidRDefault="00C77FE3" w:rsidP="00C77FE3">
      <w:pPr>
        <w:pStyle w:val="p1"/>
        <w:spacing w:before="0" w:beforeAutospacing="0" w:after="0" w:afterAutospacing="0" w:line="480" w:lineRule="auto"/>
        <w:ind w:firstLine="720"/>
        <w:rPr>
          <w:sz w:val="23"/>
          <w:szCs w:val="23"/>
        </w:rPr>
      </w:pPr>
      <w:r w:rsidRPr="00CD20FC">
        <w:rPr>
          <w:sz w:val="23"/>
          <w:szCs w:val="23"/>
        </w:rPr>
        <w:t xml:space="preserve">All regression models include firm size (measured as </w:t>
      </w:r>
      <w:r>
        <w:rPr>
          <w:sz w:val="23"/>
          <w:szCs w:val="23"/>
        </w:rPr>
        <w:t xml:space="preserve">the </w:t>
      </w:r>
      <w:r w:rsidRPr="00CD20FC">
        <w:rPr>
          <w:sz w:val="23"/>
          <w:szCs w:val="23"/>
        </w:rPr>
        <w:t xml:space="preserve">natural logarithm of total assets), competitive intensity (measured </w:t>
      </w:r>
      <w:r>
        <w:rPr>
          <w:sz w:val="23"/>
          <w:szCs w:val="23"/>
        </w:rPr>
        <w:t>with</w:t>
      </w:r>
      <w:r w:rsidRPr="00CD20FC">
        <w:rPr>
          <w:sz w:val="23"/>
          <w:szCs w:val="23"/>
        </w:rPr>
        <w:t xml:space="preserve"> the Herfindahl–Hirschman Index), industry demand growth, and financial leverage as control variables. </w:t>
      </w:r>
      <w:r>
        <w:rPr>
          <w:sz w:val="23"/>
          <w:szCs w:val="23"/>
        </w:rPr>
        <w:t>We estimate i</w:t>
      </w:r>
      <w:r w:rsidRPr="00CD20FC">
        <w:rPr>
          <w:sz w:val="23"/>
          <w:szCs w:val="23"/>
        </w:rPr>
        <w:t xml:space="preserve">ndustry demand growth following the approach </w:t>
      </w:r>
      <w:r>
        <w:rPr>
          <w:sz w:val="23"/>
          <w:szCs w:val="23"/>
        </w:rPr>
        <w:t>of</w:t>
      </w:r>
      <w:r w:rsidRPr="00CD20FC">
        <w:rPr>
          <w:sz w:val="23"/>
          <w:szCs w:val="23"/>
        </w:rPr>
        <w:t xml:space="preserve"> Han</w:t>
      </w:r>
      <w:r>
        <w:rPr>
          <w:sz w:val="23"/>
          <w:szCs w:val="23"/>
        </w:rPr>
        <w:t xml:space="preserve"> et al.</w:t>
      </w:r>
      <w:r w:rsidRPr="00CD20FC">
        <w:rPr>
          <w:sz w:val="23"/>
          <w:szCs w:val="23"/>
        </w:rPr>
        <w:t xml:space="preserve"> (2017). The regressions predicting abnormal returns and Tobin’s q </w:t>
      </w:r>
      <w:r>
        <w:rPr>
          <w:sz w:val="23"/>
          <w:szCs w:val="23"/>
        </w:rPr>
        <w:t xml:space="preserve">also </w:t>
      </w:r>
      <w:r w:rsidRPr="00CD20FC">
        <w:rPr>
          <w:sz w:val="23"/>
          <w:szCs w:val="23"/>
        </w:rPr>
        <w:t>include profit margin.</w:t>
      </w:r>
    </w:p>
    <w:p w14:paraId="7BD4E03D" w14:textId="77777777" w:rsidR="00C77FE3" w:rsidRPr="00FA7091" w:rsidRDefault="00C77FE3" w:rsidP="00C77FE3">
      <w:pPr>
        <w:pStyle w:val="p1"/>
        <w:spacing w:before="0" w:beforeAutospacing="0" w:after="0" w:afterAutospacing="0" w:line="480" w:lineRule="auto"/>
        <w:rPr>
          <w:b/>
          <w:bCs/>
          <w:sz w:val="23"/>
          <w:szCs w:val="23"/>
        </w:rPr>
      </w:pPr>
      <w:r w:rsidRPr="00CD20FC">
        <w:rPr>
          <w:b/>
          <w:bCs/>
          <w:sz w:val="23"/>
          <w:szCs w:val="23"/>
        </w:rPr>
        <w:t>Addressing potential endogeneity</w:t>
      </w:r>
    </w:p>
    <w:p w14:paraId="30AB8111" w14:textId="77777777" w:rsidR="00C77FE3" w:rsidRDefault="00C77FE3" w:rsidP="00C77FE3">
      <w:pPr>
        <w:pStyle w:val="p1"/>
        <w:spacing w:before="0" w:beforeAutospacing="0" w:after="0" w:afterAutospacing="0" w:line="480" w:lineRule="auto"/>
        <w:rPr>
          <w:sz w:val="23"/>
          <w:szCs w:val="23"/>
        </w:rPr>
      </w:pPr>
      <w:r>
        <w:rPr>
          <w:sz w:val="23"/>
          <w:szCs w:val="23"/>
        </w:rPr>
        <w:t>CSAT is a strategic decision variable. Firms may set target CSAT levels that yield superior firm performance. For example, to achieve higher profit margin a firm may invest in higher levels of CSAT because it leads to higher willingness to pay (Homburg et al. 2005) and lower costs of selling (Lim</w:t>
      </w:r>
      <w:r w:rsidRPr="00E876D1">
        <w:rPr>
          <w:sz w:val="23"/>
          <w:szCs w:val="23"/>
        </w:rPr>
        <w:t xml:space="preserve"> </w:t>
      </w:r>
      <w:r>
        <w:rPr>
          <w:sz w:val="23"/>
          <w:szCs w:val="23"/>
        </w:rPr>
        <w:t>et al. 2020). However, for researchers, firms’ strategic decision-making processes, which affect the levels of CSAT that firms set, are unobservable. As firms are also likely to use the same strategic decision-making process to set target performance output levels for profit margin, market share, sales, cash flow, firm value, and so on, omitted variable bias is likely to be an issue in our regression models. Thus, if we do not account for this source of endogeneity, our estimated model parameters will be biased.</w:t>
      </w:r>
    </w:p>
    <w:p w14:paraId="3E833B39" w14:textId="77777777" w:rsidR="00C77FE3" w:rsidRDefault="00C77FE3" w:rsidP="00C77FE3">
      <w:pPr>
        <w:pStyle w:val="p1"/>
        <w:spacing w:before="0" w:beforeAutospacing="0" w:after="0" w:afterAutospacing="0" w:line="480" w:lineRule="auto"/>
        <w:rPr>
          <w:sz w:val="23"/>
          <w:szCs w:val="23"/>
        </w:rPr>
      </w:pPr>
      <w:r>
        <w:rPr>
          <w:sz w:val="23"/>
          <w:szCs w:val="23"/>
        </w:rPr>
        <w:tab/>
        <w:t>To address endogeneity, we adopt a control function correction using one quarter lag of CSAT as an instrumental variable. Prior research in marketing has also used the lag of CSAT as an instrument (e.g., Anderson</w:t>
      </w:r>
      <w:r w:rsidRPr="00E876D1">
        <w:rPr>
          <w:sz w:val="23"/>
          <w:szCs w:val="23"/>
        </w:rPr>
        <w:t xml:space="preserve"> </w:t>
      </w:r>
      <w:r>
        <w:rPr>
          <w:sz w:val="23"/>
          <w:szCs w:val="23"/>
        </w:rPr>
        <w:t xml:space="preserve">et al. 2004; Malshe and Agarwal 2015). Tuli and Bharadwaj (2009) report a substantial persistence of CSAT scores over time within a firm. This finding suggests that CSAT in quarter </w:t>
      </w:r>
      <w:r w:rsidRPr="00171788">
        <w:rPr>
          <w:i/>
          <w:iCs/>
          <w:sz w:val="23"/>
          <w:szCs w:val="23"/>
        </w:rPr>
        <w:t>t</w:t>
      </w:r>
      <w:r>
        <w:rPr>
          <w:sz w:val="23"/>
          <w:szCs w:val="23"/>
        </w:rPr>
        <w:t xml:space="preserve"> – 1 is a relevant instrument for CSAT in quarter </w:t>
      </w:r>
      <w:r w:rsidRPr="00171788">
        <w:rPr>
          <w:i/>
          <w:iCs/>
          <w:sz w:val="23"/>
          <w:szCs w:val="23"/>
        </w:rPr>
        <w:t>t</w:t>
      </w:r>
      <w:r>
        <w:rPr>
          <w:sz w:val="23"/>
          <w:szCs w:val="23"/>
        </w:rPr>
        <w:t>. Furthermore, Tuli and Bharadwaj (2009) and Rego</w:t>
      </w:r>
      <w:r w:rsidRPr="00E876D1">
        <w:rPr>
          <w:sz w:val="23"/>
          <w:szCs w:val="23"/>
        </w:rPr>
        <w:t xml:space="preserve"> </w:t>
      </w:r>
      <w:r>
        <w:rPr>
          <w:sz w:val="23"/>
          <w:szCs w:val="23"/>
        </w:rPr>
        <w:t xml:space="preserve">et al. (2013) report that lags of CSAT satisfy exogeneity requirements in the context of </w:t>
      </w:r>
      <w:r>
        <w:rPr>
          <w:sz w:val="23"/>
          <w:szCs w:val="23"/>
        </w:rPr>
        <w:lastRenderedPageBreak/>
        <w:t>dynamic panel models. Although our empirical model is not a dynamic panel model, the econometric logic still holds.</w:t>
      </w:r>
    </w:p>
    <w:p w14:paraId="4B83CF93" w14:textId="77777777" w:rsidR="00C77FE3" w:rsidRPr="00BA0363" w:rsidRDefault="00C77FE3" w:rsidP="00C77FE3">
      <w:pPr>
        <w:pStyle w:val="p1"/>
        <w:spacing w:before="0" w:beforeAutospacing="0" w:after="0" w:afterAutospacing="0" w:line="480" w:lineRule="auto"/>
        <w:rPr>
          <w:sz w:val="23"/>
          <w:szCs w:val="23"/>
        </w:rPr>
      </w:pPr>
      <w:r>
        <w:rPr>
          <w:sz w:val="23"/>
          <w:szCs w:val="23"/>
        </w:rPr>
        <w:tab/>
        <w:t xml:space="preserve">We first regress CSAT in quarter </w:t>
      </w:r>
      <w:proofErr w:type="spellStart"/>
      <w:r w:rsidRPr="00171788">
        <w:rPr>
          <w:i/>
          <w:iCs/>
          <w:sz w:val="23"/>
          <w:szCs w:val="23"/>
        </w:rPr>
        <w:t>t</w:t>
      </w:r>
      <w:r>
        <w:rPr>
          <w:sz w:val="23"/>
          <w:szCs w:val="23"/>
        </w:rPr>
        <w:t xml:space="preserve"> on</w:t>
      </w:r>
      <w:proofErr w:type="spellEnd"/>
      <w:r>
        <w:rPr>
          <w:sz w:val="23"/>
          <w:szCs w:val="23"/>
        </w:rPr>
        <w:t xml:space="preserve"> CSAT in quarter </w:t>
      </w:r>
      <w:r w:rsidRPr="00171788">
        <w:rPr>
          <w:i/>
          <w:iCs/>
          <w:sz w:val="23"/>
          <w:szCs w:val="23"/>
        </w:rPr>
        <w:t>t</w:t>
      </w:r>
      <w:r>
        <w:rPr>
          <w:sz w:val="23"/>
          <w:szCs w:val="23"/>
        </w:rPr>
        <w:t xml:space="preserve"> – 1 and control variables. We use the residuals from this first-stage model as control function corrections in the second stage. </w:t>
      </w:r>
      <w:r w:rsidRPr="00BA0363">
        <w:rPr>
          <w:sz w:val="23"/>
          <w:szCs w:val="23"/>
        </w:rPr>
        <w:t xml:space="preserve">As Table </w:t>
      </w:r>
      <w:r>
        <w:rPr>
          <w:sz w:val="23"/>
          <w:szCs w:val="23"/>
        </w:rPr>
        <w:t>4 shows in the main article</w:t>
      </w:r>
      <w:r w:rsidRPr="00BA0363">
        <w:rPr>
          <w:sz w:val="23"/>
          <w:szCs w:val="23"/>
        </w:rPr>
        <w:t xml:space="preserve">, we estimate 12 random-effects models with the general structure outlined in Equation </w:t>
      </w:r>
      <w:r>
        <w:rPr>
          <w:sz w:val="23"/>
          <w:szCs w:val="23"/>
        </w:rPr>
        <w:t>D</w:t>
      </w:r>
      <w:r w:rsidRPr="00BA0363">
        <w:rPr>
          <w:sz w:val="23"/>
          <w:szCs w:val="23"/>
        </w:rPr>
        <w:t xml:space="preserve">1. </w:t>
      </w:r>
      <w:r>
        <w:rPr>
          <w:sz w:val="23"/>
          <w:szCs w:val="23"/>
        </w:rPr>
        <w:t>T</w:t>
      </w:r>
      <w:r w:rsidRPr="00BA0363">
        <w:rPr>
          <w:sz w:val="23"/>
          <w:szCs w:val="23"/>
        </w:rPr>
        <w:t xml:space="preserve">hese models </w:t>
      </w:r>
      <w:r>
        <w:rPr>
          <w:sz w:val="23"/>
          <w:szCs w:val="23"/>
        </w:rPr>
        <w:t xml:space="preserve">allow </w:t>
      </w:r>
      <w:r w:rsidRPr="00BA0363">
        <w:rPr>
          <w:sz w:val="23"/>
          <w:szCs w:val="23"/>
        </w:rPr>
        <w:t xml:space="preserve">the coefficient of </w:t>
      </w:r>
      <w:r>
        <w:rPr>
          <w:sz w:val="23"/>
          <w:szCs w:val="23"/>
        </w:rPr>
        <w:t>CSAT</w:t>
      </w:r>
      <w:r w:rsidRPr="00BA0363">
        <w:rPr>
          <w:sz w:val="23"/>
          <w:szCs w:val="23"/>
        </w:rPr>
        <w:t xml:space="preserve"> to vary across firms, consistent with the approach of Anderson</w:t>
      </w:r>
      <w:r w:rsidRPr="00E876D1">
        <w:rPr>
          <w:sz w:val="23"/>
          <w:szCs w:val="23"/>
        </w:rPr>
        <w:t xml:space="preserve"> </w:t>
      </w:r>
      <w:r>
        <w:rPr>
          <w:sz w:val="23"/>
          <w:szCs w:val="23"/>
        </w:rPr>
        <w:t>et al.</w:t>
      </w:r>
      <w:r w:rsidRPr="00BA0363">
        <w:rPr>
          <w:sz w:val="23"/>
          <w:szCs w:val="23"/>
        </w:rPr>
        <w:t xml:space="preserve"> (2004). </w:t>
      </w:r>
      <w:r>
        <w:rPr>
          <w:sz w:val="23"/>
          <w:szCs w:val="23"/>
        </w:rPr>
        <w:t>We lag a</w:t>
      </w:r>
      <w:r w:rsidRPr="00BA0363">
        <w:rPr>
          <w:sz w:val="23"/>
          <w:szCs w:val="23"/>
        </w:rPr>
        <w:t xml:space="preserve">ll right-hand-side variables, including </w:t>
      </w:r>
      <w:r>
        <w:rPr>
          <w:sz w:val="23"/>
          <w:szCs w:val="23"/>
        </w:rPr>
        <w:t>CSAT</w:t>
      </w:r>
      <w:r w:rsidRPr="00BA0363">
        <w:rPr>
          <w:sz w:val="23"/>
          <w:szCs w:val="23"/>
        </w:rPr>
        <w:t xml:space="preserve"> and the control variables, by one quarter. We attempted to specify firm-level random intercepts; however, these models frequently failed to converge. As an alternative, we model the intercept as random at the year</w:t>
      </w:r>
      <w:r>
        <w:rPr>
          <w:sz w:val="23"/>
          <w:szCs w:val="23"/>
        </w:rPr>
        <w:t>-</w:t>
      </w:r>
      <w:r w:rsidRPr="00BA0363">
        <w:rPr>
          <w:sz w:val="23"/>
          <w:szCs w:val="23"/>
        </w:rPr>
        <w:t>quarter level, thereby capturing temporal variation in the analysis.</w:t>
      </w:r>
    </w:p>
    <w:p w14:paraId="1ABF1A63" w14:textId="77777777" w:rsidR="00C77FE3" w:rsidRPr="00BA0363" w:rsidRDefault="00C77FE3" w:rsidP="00C77FE3">
      <w:pPr>
        <w:pStyle w:val="p1"/>
        <w:spacing w:before="0" w:beforeAutospacing="0" w:after="0" w:afterAutospacing="0" w:line="480" w:lineRule="auto"/>
        <w:jc w:val="center"/>
        <w:rPr>
          <w:sz w:val="23"/>
          <w:szCs w:val="23"/>
        </w:rPr>
      </w:pPr>
      <m:oMath>
        <m:r>
          <m:rPr>
            <m:nor/>
          </m:rPr>
          <w:rPr>
            <w:rFonts w:ascii="Cambria Math" w:hAnsi="Cambria Math"/>
            <w:sz w:val="23"/>
            <w:szCs w:val="23"/>
          </w:rPr>
          <m:t xml:space="preserve">Firm </m:t>
        </m:r>
        <m:sSub>
          <m:sSubPr>
            <m:ctrlPr>
              <w:rPr>
                <w:rFonts w:ascii="Cambria Math" w:hAnsi="Cambria Math"/>
                <w:i/>
                <w:sz w:val="23"/>
                <w:szCs w:val="23"/>
              </w:rPr>
            </m:ctrlPr>
          </m:sSubPr>
          <m:e>
            <m:r>
              <m:rPr>
                <m:nor/>
              </m:rPr>
              <w:rPr>
                <w:rFonts w:ascii="Cambria Math" w:hAnsi="Cambria Math"/>
                <w:sz w:val="23"/>
                <w:szCs w:val="23"/>
              </w:rPr>
              <m:t>performance</m:t>
            </m:r>
            <m:ctrlPr>
              <w:rPr>
                <w:rFonts w:ascii="Cambria Math" w:hAnsi="Cambria Math"/>
                <w:sz w:val="23"/>
                <w:szCs w:val="23"/>
              </w:rPr>
            </m:ctrlPr>
          </m:e>
          <m:sub>
            <m:r>
              <w:rPr>
                <w:rFonts w:ascii="Cambria Math" w:hAnsi="Cambria Math"/>
                <w:sz w:val="23"/>
                <w:szCs w:val="23"/>
              </w:rPr>
              <m:t>it+1</m:t>
            </m:r>
          </m:sub>
        </m:sSub>
        <m:r>
          <w:rPr>
            <w:rFonts w:ascii="Cambria Math" w:hAnsi="Cambria Math"/>
            <w:sz w:val="23"/>
            <w:szCs w:val="23"/>
          </w:rPr>
          <m:t>=</m:t>
        </m:r>
        <m:sSub>
          <m:sSubPr>
            <m:ctrlPr>
              <w:rPr>
                <w:rFonts w:ascii="Cambria Math" w:hAnsi="Cambria Math"/>
                <w:i/>
                <w:sz w:val="23"/>
                <w:szCs w:val="23"/>
              </w:rPr>
            </m:ctrlPr>
          </m:sSubPr>
          <m:e>
            <m:r>
              <m:rPr>
                <m:sty m:val="p"/>
              </m:rPr>
              <w:rPr>
                <w:rFonts w:ascii="Cambria Math" w:hAnsi="Cambria Math"/>
                <w:sz w:val="23"/>
                <w:szCs w:val="23"/>
              </w:rPr>
              <m:t>α</m:t>
            </m:r>
          </m:e>
          <m:sub>
            <m:r>
              <w:rPr>
                <w:rFonts w:ascii="Cambria Math" w:hAnsi="Cambria Math"/>
                <w:sz w:val="23"/>
                <w:szCs w:val="23"/>
              </w:rPr>
              <m:t>t</m:t>
            </m:r>
          </m:sub>
        </m:sSub>
        <m:r>
          <w:rPr>
            <w:rFonts w:ascii="Cambria Math" w:hAnsi="Cambria Math"/>
            <w:sz w:val="23"/>
            <w:szCs w:val="23"/>
          </w:rPr>
          <m:t>+</m:t>
        </m:r>
        <m:sSub>
          <m:sSubPr>
            <m:ctrlPr>
              <w:rPr>
                <w:rFonts w:ascii="Cambria Math" w:hAnsi="Cambria Math"/>
                <w:i/>
                <w:sz w:val="23"/>
                <w:szCs w:val="23"/>
              </w:rPr>
            </m:ctrlPr>
          </m:sSubPr>
          <m:e>
            <m:r>
              <m:rPr>
                <m:sty m:val="p"/>
              </m:rPr>
              <w:rPr>
                <w:rFonts w:ascii="Cambria Math" w:hAnsi="Cambria Math"/>
                <w:sz w:val="23"/>
                <w:szCs w:val="23"/>
              </w:rPr>
              <m:t>β</m:t>
            </m:r>
          </m:e>
          <m:sub>
            <m:r>
              <w:rPr>
                <w:rFonts w:ascii="Cambria Math" w:hAnsi="Cambria Math"/>
                <w:sz w:val="23"/>
                <w:szCs w:val="23"/>
              </w:rPr>
              <m:t>i</m:t>
            </m:r>
          </m:sub>
        </m:sSub>
        <m:r>
          <w:rPr>
            <w:rFonts w:ascii="Cambria Math" w:hAnsi="Cambria Math"/>
            <w:sz w:val="23"/>
            <w:szCs w:val="23"/>
          </w:rPr>
          <m:t> </m:t>
        </m:r>
        <m:r>
          <m:rPr>
            <m:nor/>
          </m:rPr>
          <w:rPr>
            <w:rFonts w:ascii="Cambria Math" w:hAnsi="Cambria Math"/>
            <w:sz w:val="23"/>
            <w:szCs w:val="23"/>
          </w:rPr>
          <m:t>C</m:t>
        </m:r>
        <m:sSub>
          <m:sSubPr>
            <m:ctrlPr>
              <w:rPr>
                <w:rFonts w:ascii="Cambria Math" w:hAnsi="Cambria Math"/>
                <w:i/>
                <w:sz w:val="23"/>
                <w:szCs w:val="23"/>
              </w:rPr>
            </m:ctrlPr>
          </m:sSubPr>
          <m:e>
            <m:r>
              <m:rPr>
                <m:nor/>
              </m:rPr>
              <w:rPr>
                <w:rFonts w:ascii="Cambria Math" w:hAnsi="Cambria Math"/>
                <w:sz w:val="23"/>
                <w:szCs w:val="23"/>
              </w:rPr>
              <m:t>SAT</m:t>
            </m:r>
            <m:ctrlPr>
              <w:rPr>
                <w:rFonts w:ascii="Cambria Math" w:hAnsi="Cambria Math"/>
                <w:sz w:val="23"/>
                <w:szCs w:val="23"/>
              </w:rPr>
            </m:ctrlPr>
          </m:e>
          <m:sub>
            <m:r>
              <w:rPr>
                <w:rFonts w:ascii="Cambria Math" w:hAnsi="Cambria Math"/>
                <w:sz w:val="23"/>
                <w:szCs w:val="23"/>
              </w:rPr>
              <m:t>it</m:t>
            </m:r>
          </m:sub>
        </m:sSub>
        <m:r>
          <w:rPr>
            <w:rFonts w:ascii="Cambria Math" w:hAnsi="Cambria Math"/>
            <w:sz w:val="23"/>
            <w:szCs w:val="23"/>
          </w:rPr>
          <m:t>+</m:t>
        </m:r>
        <m:nary>
          <m:naryPr>
            <m:chr m:val="∑"/>
            <m:supHide m:val="1"/>
            <m:ctrlPr>
              <w:rPr>
                <w:rFonts w:ascii="Cambria Math" w:hAnsi="Cambria Math"/>
                <w:sz w:val="23"/>
                <w:szCs w:val="23"/>
              </w:rPr>
            </m:ctrlPr>
          </m:naryPr>
          <m:sub>
            <m:r>
              <w:rPr>
                <w:rFonts w:ascii="Cambria Math" w:hAnsi="Cambria Math"/>
                <w:sz w:val="23"/>
                <w:szCs w:val="23"/>
              </w:rPr>
              <m:t>c</m:t>
            </m:r>
            <m:ctrlPr>
              <w:rPr>
                <w:rFonts w:ascii="Cambria Math" w:hAnsi="Cambria Math"/>
                <w:i/>
                <w:sz w:val="23"/>
                <w:szCs w:val="23"/>
              </w:rPr>
            </m:ctrlPr>
          </m:sub>
          <m:sup>
            <m:ctrlPr>
              <w:rPr>
                <w:rFonts w:ascii="Cambria Math" w:hAnsi="Cambria Math"/>
                <w:i/>
                <w:sz w:val="23"/>
                <w:szCs w:val="23"/>
              </w:rPr>
            </m:ctrlPr>
          </m:sup>
          <m:e>
            <m:sSub>
              <m:sSubPr>
                <m:ctrlPr>
                  <w:rPr>
                    <w:rFonts w:ascii="Cambria Math" w:hAnsi="Cambria Math"/>
                    <w:i/>
                    <w:sz w:val="23"/>
                    <w:szCs w:val="23"/>
                  </w:rPr>
                </m:ctrlPr>
              </m:sSubPr>
              <m:e>
                <m:r>
                  <m:rPr>
                    <m:sty m:val="p"/>
                  </m:rPr>
                  <w:rPr>
                    <w:rFonts w:ascii="Cambria Math" w:hAnsi="Cambria Math"/>
                    <w:sz w:val="23"/>
                    <w:szCs w:val="23"/>
                  </w:rPr>
                  <m:t>γ</m:t>
                </m:r>
              </m:e>
              <m:sub>
                <m:r>
                  <w:rPr>
                    <w:rFonts w:ascii="Cambria Math" w:hAnsi="Cambria Math"/>
                    <w:sz w:val="23"/>
                    <w:szCs w:val="23"/>
                  </w:rPr>
                  <m:t>c</m:t>
                </m:r>
              </m:sub>
            </m:sSub>
            <m:ctrlPr>
              <w:rPr>
                <w:rFonts w:ascii="Cambria Math" w:hAnsi="Cambria Math"/>
                <w:i/>
                <w:sz w:val="23"/>
                <w:szCs w:val="23"/>
              </w:rPr>
            </m:ctrlPr>
          </m:e>
        </m:nary>
        <m:r>
          <w:rPr>
            <w:rFonts w:ascii="Cambria Math" w:hAnsi="Cambria Math"/>
            <w:sz w:val="23"/>
            <w:szCs w:val="23"/>
          </w:rPr>
          <m:t> </m:t>
        </m:r>
        <m:r>
          <m:rPr>
            <m:nor/>
          </m:rPr>
          <w:rPr>
            <w:rFonts w:ascii="Cambria Math" w:hAnsi="Cambria Math"/>
            <w:sz w:val="23"/>
            <w:szCs w:val="23"/>
          </w:rPr>
          <m:t xml:space="preserve">Control </m:t>
        </m:r>
        <m:sSub>
          <m:sSubPr>
            <m:ctrlPr>
              <w:rPr>
                <w:rFonts w:ascii="Cambria Math" w:hAnsi="Cambria Math"/>
                <w:i/>
                <w:sz w:val="23"/>
                <w:szCs w:val="23"/>
              </w:rPr>
            </m:ctrlPr>
          </m:sSubPr>
          <m:e>
            <m:r>
              <m:rPr>
                <m:nor/>
              </m:rPr>
              <w:rPr>
                <w:rFonts w:ascii="Cambria Math" w:hAnsi="Cambria Math"/>
                <w:sz w:val="23"/>
                <w:szCs w:val="23"/>
              </w:rPr>
              <m:t>variable</m:t>
            </m:r>
            <m:ctrlPr>
              <w:rPr>
                <w:rFonts w:ascii="Cambria Math" w:hAnsi="Cambria Math"/>
                <w:sz w:val="23"/>
                <w:szCs w:val="23"/>
              </w:rPr>
            </m:ctrlPr>
          </m:e>
          <m:sub>
            <m:r>
              <w:rPr>
                <w:rFonts w:ascii="Cambria Math" w:hAnsi="Cambria Math"/>
                <w:sz w:val="23"/>
                <w:szCs w:val="23"/>
              </w:rPr>
              <m:t>cit</m:t>
            </m:r>
          </m:sub>
        </m:sSub>
        <m:r>
          <w:rPr>
            <w:rFonts w:ascii="Cambria Math" w:hAnsi="Cambria Math"/>
            <w:sz w:val="23"/>
            <w:szCs w:val="23"/>
          </w:rPr>
          <m:t>+θ Control function correction+</m:t>
        </m:r>
        <m:sSub>
          <m:sSubPr>
            <m:ctrlPr>
              <w:rPr>
                <w:rFonts w:ascii="Cambria Math" w:hAnsi="Cambria Math"/>
                <w:i/>
                <w:sz w:val="23"/>
                <w:szCs w:val="23"/>
              </w:rPr>
            </m:ctrlPr>
          </m:sSubPr>
          <m:e>
            <m:r>
              <m:rPr>
                <m:sty m:val="p"/>
              </m:rPr>
              <w:rPr>
                <w:rFonts w:ascii="Cambria Math" w:hAnsi="Cambria Math"/>
                <w:sz w:val="23"/>
                <w:szCs w:val="23"/>
              </w:rPr>
              <m:t>ε</m:t>
            </m:r>
          </m:e>
          <m:sub>
            <m:r>
              <w:rPr>
                <w:rFonts w:ascii="Cambria Math" w:hAnsi="Cambria Math"/>
                <w:sz w:val="23"/>
                <w:szCs w:val="23"/>
              </w:rPr>
              <m:t>it</m:t>
            </m:r>
          </m:sub>
        </m:sSub>
        <m:r>
          <w:rPr>
            <w:rFonts w:ascii="Cambria Math" w:hAnsi="Cambria Math"/>
            <w:sz w:val="23"/>
            <w:szCs w:val="23"/>
          </w:rPr>
          <m:t>,</m:t>
        </m:r>
      </m:oMath>
      <w:r w:rsidRPr="00BA0363">
        <w:rPr>
          <w:sz w:val="23"/>
          <w:szCs w:val="23"/>
        </w:rPr>
        <w:t xml:space="preserve"> </w:t>
      </w:r>
      <w:r>
        <w:rPr>
          <w:sz w:val="23"/>
          <w:szCs w:val="23"/>
        </w:rPr>
        <w:tab/>
      </w:r>
      <w:r w:rsidRPr="00BA0363">
        <w:rPr>
          <w:sz w:val="23"/>
          <w:szCs w:val="23"/>
        </w:rPr>
        <w:t xml:space="preserve"> (</w:t>
      </w:r>
      <w:r>
        <w:rPr>
          <w:sz w:val="23"/>
          <w:szCs w:val="23"/>
        </w:rPr>
        <w:t>D</w:t>
      </w:r>
      <w:r w:rsidRPr="00BA0363">
        <w:rPr>
          <w:sz w:val="23"/>
          <w:szCs w:val="23"/>
        </w:rPr>
        <w:t>1)</w:t>
      </w:r>
    </w:p>
    <w:p w14:paraId="30641598" w14:textId="77777777" w:rsidR="00C77FE3" w:rsidRPr="00AD5B17" w:rsidRDefault="00C77FE3" w:rsidP="00C77FE3">
      <w:pPr>
        <w:pStyle w:val="p1"/>
        <w:spacing w:before="0" w:beforeAutospacing="0" w:after="0" w:afterAutospacing="0" w:line="480" w:lineRule="auto"/>
        <w:rPr>
          <w:sz w:val="23"/>
          <w:szCs w:val="23"/>
        </w:rPr>
      </w:pPr>
      <w:r>
        <w:rPr>
          <w:sz w:val="23"/>
          <w:szCs w:val="23"/>
        </w:rPr>
        <w:t>w</w:t>
      </w:r>
      <w:r w:rsidRPr="00AD5B17">
        <w:rPr>
          <w:sz w:val="23"/>
          <w:szCs w:val="23"/>
        </w:rPr>
        <w:t xml:space="preserve">here, for every firm </w:t>
      </w:r>
      <w:proofErr w:type="spellStart"/>
      <w:r w:rsidRPr="00171788">
        <w:rPr>
          <w:i/>
          <w:iCs/>
          <w:sz w:val="23"/>
          <w:szCs w:val="23"/>
        </w:rPr>
        <w:t>i</w:t>
      </w:r>
      <w:proofErr w:type="spellEnd"/>
      <w:r w:rsidRPr="00AD5B17">
        <w:rPr>
          <w:sz w:val="23"/>
          <w:szCs w:val="23"/>
        </w:rPr>
        <w:t xml:space="preserve"> and year-quarter </w:t>
      </w:r>
      <w:r w:rsidRPr="00171788">
        <w:rPr>
          <w:i/>
          <w:iCs/>
          <w:sz w:val="23"/>
          <w:szCs w:val="23"/>
        </w:rPr>
        <w:t>t</w:t>
      </w:r>
      <w:r w:rsidRPr="00AD5B17">
        <w:rPr>
          <w:sz w:val="23"/>
          <w:szCs w:val="23"/>
        </w:rPr>
        <w:t xml:space="preserve">, Firm </w:t>
      </w:r>
      <w:proofErr w:type="spellStart"/>
      <w:r>
        <w:rPr>
          <w:sz w:val="23"/>
          <w:szCs w:val="23"/>
        </w:rPr>
        <w:t>p</w:t>
      </w:r>
      <w:r w:rsidRPr="00AD5B17">
        <w:rPr>
          <w:sz w:val="23"/>
          <w:szCs w:val="23"/>
        </w:rPr>
        <w:t>erformance</w:t>
      </w:r>
      <w:r w:rsidRPr="00AD5B17">
        <w:rPr>
          <w:sz w:val="23"/>
          <w:szCs w:val="23"/>
          <w:vertAlign w:val="subscript"/>
        </w:rPr>
        <w:t>it</w:t>
      </w:r>
      <w:proofErr w:type="spellEnd"/>
      <w:r w:rsidRPr="00AD5B17">
        <w:rPr>
          <w:sz w:val="23"/>
          <w:szCs w:val="23"/>
        </w:rPr>
        <w:t xml:space="preserve"> is one of the </w:t>
      </w:r>
      <w:r>
        <w:rPr>
          <w:sz w:val="23"/>
          <w:szCs w:val="23"/>
        </w:rPr>
        <w:t>12</w:t>
      </w:r>
      <w:r w:rsidRPr="00AD5B17">
        <w:rPr>
          <w:sz w:val="23"/>
          <w:szCs w:val="23"/>
        </w:rPr>
        <w:t xml:space="preserve"> performance metrics as outlined and Control </w:t>
      </w:r>
      <w:proofErr w:type="spellStart"/>
      <w:r>
        <w:rPr>
          <w:sz w:val="23"/>
          <w:szCs w:val="23"/>
        </w:rPr>
        <w:t>v</w:t>
      </w:r>
      <w:r w:rsidRPr="00AD5B17">
        <w:rPr>
          <w:sz w:val="23"/>
          <w:szCs w:val="23"/>
        </w:rPr>
        <w:t>ariable</w:t>
      </w:r>
      <w:r w:rsidRPr="00AD5B17">
        <w:rPr>
          <w:sz w:val="23"/>
          <w:szCs w:val="23"/>
          <w:vertAlign w:val="subscript"/>
        </w:rPr>
        <w:t>cit</w:t>
      </w:r>
      <w:proofErr w:type="spellEnd"/>
      <w:r w:rsidRPr="00AD5B17">
        <w:rPr>
          <w:sz w:val="23"/>
          <w:szCs w:val="23"/>
        </w:rPr>
        <w:t xml:space="preserve"> is the set of control variables.</w:t>
      </w:r>
    </w:p>
    <w:p w14:paraId="0A9D2297" w14:textId="77777777" w:rsidR="00C77FE3" w:rsidRPr="00AD5B17" w:rsidRDefault="00C77FE3" w:rsidP="00C77FE3">
      <w:pPr>
        <w:pStyle w:val="p1"/>
        <w:spacing w:before="0" w:beforeAutospacing="0" w:after="0" w:afterAutospacing="0" w:line="480" w:lineRule="auto"/>
        <w:ind w:firstLine="720"/>
        <w:rPr>
          <w:sz w:val="23"/>
          <w:szCs w:val="23"/>
        </w:rPr>
      </w:pPr>
      <w:r w:rsidRPr="00AD5B17">
        <w:rPr>
          <w:sz w:val="23"/>
          <w:szCs w:val="23"/>
        </w:rPr>
        <w:t>In some cases, lagged values of CSAT may not be exogenous. As we use a single instrument, standard tests for instrument exogeneity</w:t>
      </w:r>
      <w:r>
        <w:rPr>
          <w:sz w:val="23"/>
          <w:szCs w:val="23"/>
        </w:rPr>
        <w:t>,</w:t>
      </w:r>
      <w:r w:rsidRPr="00AD5B17">
        <w:rPr>
          <w:sz w:val="23"/>
          <w:szCs w:val="23"/>
        </w:rPr>
        <w:t xml:space="preserve"> such as Hansen’s overidentifying restrictions test</w:t>
      </w:r>
      <w:r>
        <w:rPr>
          <w:sz w:val="23"/>
          <w:szCs w:val="23"/>
        </w:rPr>
        <w:t>,</w:t>
      </w:r>
      <w:r w:rsidRPr="00AD5B17">
        <w:rPr>
          <w:sz w:val="23"/>
          <w:szCs w:val="23"/>
        </w:rPr>
        <w:t xml:space="preserve"> are not applicable. Thus, empirically</w:t>
      </w:r>
      <w:r>
        <w:rPr>
          <w:sz w:val="23"/>
          <w:szCs w:val="23"/>
        </w:rPr>
        <w:t>,</w:t>
      </w:r>
      <w:r w:rsidRPr="00AD5B17">
        <w:rPr>
          <w:sz w:val="23"/>
          <w:szCs w:val="23"/>
        </w:rPr>
        <w:t xml:space="preserve"> we cannot rule out </w:t>
      </w:r>
      <w:r>
        <w:rPr>
          <w:sz w:val="23"/>
          <w:szCs w:val="23"/>
        </w:rPr>
        <w:t xml:space="preserve">a </w:t>
      </w:r>
      <w:r w:rsidRPr="00AD5B17">
        <w:rPr>
          <w:sz w:val="23"/>
          <w:szCs w:val="23"/>
        </w:rPr>
        <w:t xml:space="preserve">lack of endogeneity of our instrument. To ensure that our results are robust to such concerns, we replicate our results with an internal instrument using </w:t>
      </w:r>
      <w:r>
        <w:rPr>
          <w:sz w:val="23"/>
          <w:szCs w:val="23"/>
        </w:rPr>
        <w:t xml:space="preserve">the </w:t>
      </w:r>
      <w:r w:rsidRPr="00AD5B17">
        <w:rPr>
          <w:sz w:val="23"/>
          <w:szCs w:val="23"/>
        </w:rPr>
        <w:t xml:space="preserve">Gaussian copula method (Park and Gupta 2012). Although multiple new variants of Gaussian copula method </w:t>
      </w:r>
      <w:r>
        <w:rPr>
          <w:sz w:val="23"/>
          <w:szCs w:val="23"/>
        </w:rPr>
        <w:t xml:space="preserve">have emerged </w:t>
      </w:r>
      <w:r w:rsidRPr="00AD5B17">
        <w:rPr>
          <w:sz w:val="23"/>
          <w:szCs w:val="23"/>
        </w:rPr>
        <w:t xml:space="preserve">since </w:t>
      </w:r>
      <w:r>
        <w:rPr>
          <w:sz w:val="23"/>
          <w:szCs w:val="23"/>
        </w:rPr>
        <w:t xml:space="preserve">publication of </w:t>
      </w:r>
      <w:r w:rsidRPr="00AD5B17">
        <w:rPr>
          <w:sz w:val="23"/>
          <w:szCs w:val="23"/>
        </w:rPr>
        <w:t xml:space="preserve">the original </w:t>
      </w:r>
      <w:r>
        <w:rPr>
          <w:sz w:val="23"/>
          <w:szCs w:val="23"/>
        </w:rPr>
        <w:t>article</w:t>
      </w:r>
      <w:r w:rsidRPr="00AD5B17">
        <w:rPr>
          <w:sz w:val="23"/>
          <w:szCs w:val="23"/>
        </w:rPr>
        <w:t xml:space="preserve">, none deal with random parameter models as in our case. As such, we take a parsimonious approach and use the original Gaussian copula method as introduced by Park and Gupta (2012). </w:t>
      </w:r>
    </w:p>
    <w:p w14:paraId="4944C170" w14:textId="77777777" w:rsidR="00C77FE3" w:rsidRDefault="00C77FE3" w:rsidP="00C77FE3">
      <w:pPr>
        <w:pStyle w:val="p1"/>
        <w:spacing w:before="0" w:beforeAutospacing="0" w:after="0" w:afterAutospacing="0" w:line="480" w:lineRule="auto"/>
        <w:ind w:firstLine="720"/>
        <w:rPr>
          <w:sz w:val="23"/>
          <w:szCs w:val="23"/>
        </w:rPr>
      </w:pPr>
      <w:r w:rsidRPr="00AD5B17">
        <w:rPr>
          <w:sz w:val="23"/>
          <w:szCs w:val="23"/>
        </w:rPr>
        <w:t>Table W</w:t>
      </w:r>
      <w:r>
        <w:rPr>
          <w:sz w:val="23"/>
          <w:szCs w:val="23"/>
        </w:rPr>
        <w:t>D</w:t>
      </w:r>
      <w:r w:rsidRPr="00AD5B17">
        <w:rPr>
          <w:sz w:val="23"/>
          <w:szCs w:val="23"/>
        </w:rPr>
        <w:t>1 re</w:t>
      </w:r>
      <w:r>
        <w:rPr>
          <w:sz w:val="23"/>
          <w:szCs w:val="23"/>
        </w:rPr>
        <w:t>ports the results. Reassuringly, we are able to replicate all 12 random parameter models, as reported in Table 4.</w:t>
      </w:r>
    </w:p>
    <w:p w14:paraId="6DBDC392" w14:textId="77777777" w:rsidR="00C77FE3" w:rsidRDefault="00C77FE3" w:rsidP="00C77FE3">
      <w:pPr>
        <w:pStyle w:val="p1"/>
        <w:spacing w:line="480" w:lineRule="auto"/>
        <w:ind w:firstLine="720"/>
        <w:rPr>
          <w:sz w:val="23"/>
          <w:szCs w:val="23"/>
        </w:rPr>
        <w:sectPr w:rsidR="00C77FE3" w:rsidSect="00C77FE3">
          <w:pgSz w:w="12240" w:h="15840"/>
          <w:pgMar w:top="1440" w:right="1440" w:bottom="1440" w:left="1440" w:header="720" w:footer="720" w:gutter="0"/>
          <w:cols w:space="720"/>
          <w:docGrid w:linePitch="360"/>
        </w:sectPr>
      </w:pPr>
    </w:p>
    <w:p w14:paraId="2404A8BC" w14:textId="77777777" w:rsidR="00C77FE3" w:rsidRDefault="00C77FE3" w:rsidP="00C77FE3">
      <w:pPr>
        <w:pStyle w:val="p1"/>
        <w:jc w:val="center"/>
        <w:rPr>
          <w:sz w:val="23"/>
          <w:szCs w:val="23"/>
        </w:rPr>
      </w:pPr>
      <w:r w:rsidRPr="00171788">
        <w:rPr>
          <w:b/>
          <w:bCs/>
          <w:sz w:val="23"/>
          <w:szCs w:val="23"/>
        </w:rPr>
        <w:lastRenderedPageBreak/>
        <w:t>Table WD1</w:t>
      </w:r>
      <w:r>
        <w:rPr>
          <w:sz w:val="23"/>
          <w:szCs w:val="23"/>
        </w:rPr>
        <w:t xml:space="preserve"> Replication of main results using Gaussian copula correction</w:t>
      </w:r>
    </w:p>
    <w:tbl>
      <w:tblPr>
        <w:tblStyle w:val="Table"/>
        <w:tblW w:w="5638" w:type="pct"/>
        <w:tblInd w:w="-630" w:type="dxa"/>
        <w:tblLayout w:type="fixed"/>
        <w:tblLook w:val="0020" w:firstRow="1" w:lastRow="0" w:firstColumn="0" w:lastColumn="0" w:noHBand="0" w:noVBand="0"/>
      </w:tblPr>
      <w:tblGrid>
        <w:gridCol w:w="1664"/>
        <w:gridCol w:w="1262"/>
        <w:gridCol w:w="1034"/>
        <w:gridCol w:w="1181"/>
        <w:gridCol w:w="988"/>
        <w:gridCol w:w="1001"/>
        <w:gridCol w:w="1076"/>
        <w:gridCol w:w="1079"/>
        <w:gridCol w:w="997"/>
        <w:gridCol w:w="1081"/>
        <w:gridCol w:w="1260"/>
        <w:gridCol w:w="995"/>
        <w:gridCol w:w="996"/>
      </w:tblGrid>
      <w:tr w:rsidR="00C77FE3" w:rsidRPr="00D86FE3" w14:paraId="4AD2D284" w14:textId="77777777" w:rsidTr="00CC2398">
        <w:trPr>
          <w:cnfStyle w:val="100000000000" w:firstRow="1" w:lastRow="0" w:firstColumn="0" w:lastColumn="0" w:oddVBand="0" w:evenVBand="0" w:oddHBand="0" w:evenHBand="0" w:firstRowFirstColumn="0" w:firstRowLastColumn="0" w:lastRowFirstColumn="0" w:lastRowLastColumn="0"/>
          <w:tblHeader/>
        </w:trPr>
        <w:tc>
          <w:tcPr>
            <w:tcW w:w="1664" w:type="dxa"/>
            <w:tcBorders>
              <w:top w:val="single" w:sz="4" w:space="0" w:color="auto"/>
              <w:bottom w:val="single" w:sz="2" w:space="0" w:color="auto"/>
            </w:tcBorders>
          </w:tcPr>
          <w:p w14:paraId="61C9EEF7" w14:textId="77777777" w:rsidR="00C77FE3" w:rsidRPr="00807795" w:rsidRDefault="00C77FE3" w:rsidP="00CC2398">
            <w:pPr>
              <w:pStyle w:val="Compact"/>
              <w:jc w:val="center"/>
              <w:rPr>
                <w:rFonts w:ascii="Times New Roman" w:hAnsi="Times New Roman" w:cs="Times New Roman"/>
                <w:sz w:val="18"/>
                <w:szCs w:val="18"/>
              </w:rPr>
            </w:pPr>
          </w:p>
        </w:tc>
        <w:tc>
          <w:tcPr>
            <w:tcW w:w="1262" w:type="dxa"/>
            <w:tcBorders>
              <w:top w:val="single" w:sz="4" w:space="0" w:color="auto"/>
              <w:bottom w:val="single" w:sz="2" w:space="0" w:color="auto"/>
            </w:tcBorders>
          </w:tcPr>
          <w:p w14:paraId="1AE15C30"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Recommend</w:t>
            </w:r>
          </w:p>
        </w:tc>
        <w:tc>
          <w:tcPr>
            <w:tcW w:w="1034" w:type="dxa"/>
            <w:tcBorders>
              <w:top w:val="single" w:sz="4" w:space="0" w:color="auto"/>
              <w:bottom w:val="single" w:sz="2" w:space="0" w:color="auto"/>
            </w:tcBorders>
          </w:tcPr>
          <w:p w14:paraId="529A6AD6"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Purchase Intent</w:t>
            </w:r>
          </w:p>
        </w:tc>
        <w:tc>
          <w:tcPr>
            <w:tcW w:w="1181" w:type="dxa"/>
            <w:tcBorders>
              <w:top w:val="single" w:sz="4" w:space="0" w:color="auto"/>
              <w:bottom w:val="single" w:sz="2" w:space="0" w:color="auto"/>
            </w:tcBorders>
          </w:tcPr>
          <w:p w14:paraId="090185F0" w14:textId="77777777" w:rsidR="00C77FE3" w:rsidRPr="00807795" w:rsidRDefault="00C77FE3" w:rsidP="00CC2398">
            <w:pPr>
              <w:pStyle w:val="Compact"/>
              <w:jc w:val="center"/>
              <w:rPr>
                <w:rFonts w:ascii="Times New Roman" w:hAnsi="Times New Roman" w:cs="Times New Roman"/>
                <w:sz w:val="18"/>
                <w:szCs w:val="18"/>
              </w:rPr>
            </w:pPr>
            <w:proofErr w:type="gramStart"/>
            <w:r w:rsidRPr="00807795">
              <w:rPr>
                <w:rFonts w:ascii="Times New Roman" w:hAnsi="Times New Roman" w:cs="Times New Roman"/>
                <w:sz w:val="18"/>
                <w:szCs w:val="18"/>
              </w:rPr>
              <w:t>Log(</w:t>
            </w:r>
            <w:proofErr w:type="gramEnd"/>
            <w:r w:rsidRPr="00807795">
              <w:rPr>
                <w:rFonts w:ascii="Times New Roman" w:hAnsi="Times New Roman" w:cs="Times New Roman"/>
                <w:sz w:val="18"/>
                <w:szCs w:val="18"/>
              </w:rPr>
              <w:t>Sales)</w:t>
            </w:r>
          </w:p>
        </w:tc>
        <w:tc>
          <w:tcPr>
            <w:tcW w:w="988" w:type="dxa"/>
            <w:tcBorders>
              <w:top w:val="single" w:sz="4" w:space="0" w:color="auto"/>
              <w:bottom w:val="single" w:sz="2" w:space="0" w:color="auto"/>
            </w:tcBorders>
          </w:tcPr>
          <w:p w14:paraId="1A7BF4C6"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Profit Margin</w:t>
            </w:r>
          </w:p>
        </w:tc>
        <w:tc>
          <w:tcPr>
            <w:tcW w:w="1001" w:type="dxa"/>
            <w:tcBorders>
              <w:top w:val="single" w:sz="4" w:space="0" w:color="auto"/>
              <w:bottom w:val="single" w:sz="2" w:space="0" w:color="auto"/>
            </w:tcBorders>
          </w:tcPr>
          <w:p w14:paraId="206A0654"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ROA</w:t>
            </w:r>
          </w:p>
        </w:tc>
        <w:tc>
          <w:tcPr>
            <w:tcW w:w="1076" w:type="dxa"/>
            <w:tcBorders>
              <w:top w:val="single" w:sz="4" w:space="0" w:color="auto"/>
              <w:bottom w:val="single" w:sz="2" w:space="0" w:color="auto"/>
            </w:tcBorders>
          </w:tcPr>
          <w:p w14:paraId="1E819969"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Cash</w:t>
            </w:r>
            <w:r>
              <w:rPr>
                <w:rFonts w:ascii="Times New Roman" w:hAnsi="Times New Roman" w:cs="Times New Roman"/>
                <w:sz w:val="18"/>
                <w:szCs w:val="18"/>
              </w:rPr>
              <w:t xml:space="preserve"> </w:t>
            </w:r>
            <w:r w:rsidRPr="00807795">
              <w:rPr>
                <w:rFonts w:ascii="Times New Roman" w:hAnsi="Times New Roman" w:cs="Times New Roman"/>
                <w:sz w:val="18"/>
                <w:szCs w:val="18"/>
              </w:rPr>
              <w:t>Flow</w:t>
            </w:r>
          </w:p>
        </w:tc>
        <w:tc>
          <w:tcPr>
            <w:tcW w:w="1079" w:type="dxa"/>
            <w:tcBorders>
              <w:top w:val="single" w:sz="4" w:space="0" w:color="auto"/>
              <w:bottom w:val="single" w:sz="2" w:space="0" w:color="auto"/>
            </w:tcBorders>
          </w:tcPr>
          <w:p w14:paraId="6CE72343"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Cash</w:t>
            </w:r>
            <w:r>
              <w:rPr>
                <w:rFonts w:ascii="Times New Roman" w:hAnsi="Times New Roman" w:cs="Times New Roman"/>
                <w:sz w:val="18"/>
                <w:szCs w:val="18"/>
              </w:rPr>
              <w:t xml:space="preserve"> </w:t>
            </w:r>
            <w:r w:rsidRPr="00807795">
              <w:rPr>
                <w:rFonts w:ascii="Times New Roman" w:hAnsi="Times New Roman" w:cs="Times New Roman"/>
                <w:sz w:val="18"/>
                <w:szCs w:val="18"/>
              </w:rPr>
              <w:t>Flow Volatility</w:t>
            </w:r>
          </w:p>
        </w:tc>
        <w:tc>
          <w:tcPr>
            <w:tcW w:w="997" w:type="dxa"/>
            <w:tcBorders>
              <w:top w:val="single" w:sz="4" w:space="0" w:color="auto"/>
              <w:bottom w:val="single" w:sz="2" w:space="0" w:color="auto"/>
            </w:tcBorders>
          </w:tcPr>
          <w:p w14:paraId="7A40C489"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Market Share</w:t>
            </w:r>
          </w:p>
        </w:tc>
        <w:tc>
          <w:tcPr>
            <w:tcW w:w="1081" w:type="dxa"/>
            <w:tcBorders>
              <w:top w:val="single" w:sz="4" w:space="0" w:color="auto"/>
              <w:bottom w:val="single" w:sz="2" w:space="0" w:color="auto"/>
            </w:tcBorders>
          </w:tcPr>
          <w:p w14:paraId="21C0BE12"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Systematic Risk</w:t>
            </w:r>
          </w:p>
        </w:tc>
        <w:tc>
          <w:tcPr>
            <w:tcW w:w="1260" w:type="dxa"/>
            <w:tcBorders>
              <w:top w:val="single" w:sz="4" w:space="0" w:color="auto"/>
              <w:bottom w:val="single" w:sz="2" w:space="0" w:color="auto"/>
            </w:tcBorders>
          </w:tcPr>
          <w:p w14:paraId="7A488D94"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Idiosyncratic Risk</w:t>
            </w:r>
          </w:p>
        </w:tc>
        <w:tc>
          <w:tcPr>
            <w:tcW w:w="995" w:type="dxa"/>
            <w:tcBorders>
              <w:top w:val="single" w:sz="4" w:space="0" w:color="auto"/>
              <w:bottom w:val="single" w:sz="2" w:space="0" w:color="auto"/>
            </w:tcBorders>
          </w:tcPr>
          <w:p w14:paraId="4C6C6D30"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Abnormal Returns</w:t>
            </w:r>
          </w:p>
        </w:tc>
        <w:tc>
          <w:tcPr>
            <w:tcW w:w="996" w:type="dxa"/>
            <w:tcBorders>
              <w:top w:val="single" w:sz="4" w:space="0" w:color="auto"/>
              <w:bottom w:val="single" w:sz="2" w:space="0" w:color="auto"/>
            </w:tcBorders>
          </w:tcPr>
          <w:p w14:paraId="76A59F07"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Tobin’s q</w:t>
            </w:r>
          </w:p>
        </w:tc>
      </w:tr>
      <w:tr w:rsidR="00C77FE3" w:rsidRPr="00D86FE3" w14:paraId="57E9058C" w14:textId="77777777" w:rsidTr="00CC2398">
        <w:tc>
          <w:tcPr>
            <w:tcW w:w="1664" w:type="dxa"/>
            <w:tcBorders>
              <w:top w:val="single" w:sz="2" w:space="0" w:color="auto"/>
            </w:tcBorders>
          </w:tcPr>
          <w:p w14:paraId="14E2FF47" w14:textId="77777777" w:rsidR="00C77FE3" w:rsidRPr="00807795" w:rsidRDefault="00C77FE3" w:rsidP="00CC2398">
            <w:pPr>
              <w:pStyle w:val="Compact"/>
              <w:rPr>
                <w:rFonts w:ascii="Times New Roman" w:hAnsi="Times New Roman" w:cs="Times New Roman"/>
                <w:sz w:val="18"/>
                <w:szCs w:val="18"/>
              </w:rPr>
            </w:pPr>
            <w:r w:rsidRPr="00807795">
              <w:rPr>
                <w:rFonts w:ascii="Times New Roman" w:hAnsi="Times New Roman" w:cs="Times New Roman"/>
                <w:sz w:val="18"/>
                <w:szCs w:val="18"/>
              </w:rPr>
              <w:t>Intercept</w:t>
            </w:r>
          </w:p>
        </w:tc>
        <w:tc>
          <w:tcPr>
            <w:tcW w:w="1262" w:type="dxa"/>
            <w:tcBorders>
              <w:top w:val="single" w:sz="2" w:space="0" w:color="auto"/>
            </w:tcBorders>
          </w:tcPr>
          <w:p w14:paraId="6367FACB"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1.116***</w:t>
            </w:r>
          </w:p>
        </w:tc>
        <w:tc>
          <w:tcPr>
            <w:tcW w:w="1034" w:type="dxa"/>
            <w:tcBorders>
              <w:top w:val="single" w:sz="2" w:space="0" w:color="auto"/>
            </w:tcBorders>
          </w:tcPr>
          <w:p w14:paraId="270D19D6"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-0.127***</w:t>
            </w:r>
          </w:p>
        </w:tc>
        <w:tc>
          <w:tcPr>
            <w:tcW w:w="1181" w:type="dxa"/>
            <w:tcBorders>
              <w:top w:val="single" w:sz="2" w:space="0" w:color="auto"/>
            </w:tcBorders>
          </w:tcPr>
          <w:p w14:paraId="3CA4E349"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0.253***</w:t>
            </w:r>
          </w:p>
        </w:tc>
        <w:tc>
          <w:tcPr>
            <w:tcW w:w="988" w:type="dxa"/>
            <w:tcBorders>
              <w:top w:val="single" w:sz="2" w:space="0" w:color="auto"/>
            </w:tcBorders>
          </w:tcPr>
          <w:p w14:paraId="1CB0385F"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-0.918***</w:t>
            </w:r>
          </w:p>
        </w:tc>
        <w:tc>
          <w:tcPr>
            <w:tcW w:w="1001" w:type="dxa"/>
            <w:tcBorders>
              <w:top w:val="single" w:sz="2" w:space="0" w:color="auto"/>
            </w:tcBorders>
          </w:tcPr>
          <w:p w14:paraId="2F6F479D"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0.018***</w:t>
            </w:r>
          </w:p>
        </w:tc>
        <w:tc>
          <w:tcPr>
            <w:tcW w:w="1076" w:type="dxa"/>
            <w:tcBorders>
              <w:top w:val="single" w:sz="2" w:space="0" w:color="auto"/>
            </w:tcBorders>
          </w:tcPr>
          <w:p w14:paraId="5B1B273A"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-0.692**</w:t>
            </w:r>
          </w:p>
        </w:tc>
        <w:tc>
          <w:tcPr>
            <w:tcW w:w="1079" w:type="dxa"/>
            <w:tcBorders>
              <w:top w:val="single" w:sz="2" w:space="0" w:color="auto"/>
            </w:tcBorders>
          </w:tcPr>
          <w:p w14:paraId="3BBCCA11"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0.890**</w:t>
            </w:r>
          </w:p>
        </w:tc>
        <w:tc>
          <w:tcPr>
            <w:tcW w:w="997" w:type="dxa"/>
            <w:tcBorders>
              <w:top w:val="single" w:sz="2" w:space="0" w:color="auto"/>
            </w:tcBorders>
          </w:tcPr>
          <w:p w14:paraId="54A0BA87"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-0.047***</w:t>
            </w:r>
          </w:p>
        </w:tc>
        <w:tc>
          <w:tcPr>
            <w:tcW w:w="1081" w:type="dxa"/>
            <w:tcBorders>
              <w:top w:val="single" w:sz="2" w:space="0" w:color="auto"/>
            </w:tcBorders>
          </w:tcPr>
          <w:p w14:paraId="3520AA68"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0.834***</w:t>
            </w:r>
          </w:p>
        </w:tc>
        <w:tc>
          <w:tcPr>
            <w:tcW w:w="1260" w:type="dxa"/>
            <w:tcBorders>
              <w:top w:val="single" w:sz="2" w:space="0" w:color="auto"/>
            </w:tcBorders>
          </w:tcPr>
          <w:p w14:paraId="413617B2"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0.047***</w:t>
            </w:r>
          </w:p>
        </w:tc>
        <w:tc>
          <w:tcPr>
            <w:tcW w:w="995" w:type="dxa"/>
            <w:tcBorders>
              <w:top w:val="single" w:sz="2" w:space="0" w:color="auto"/>
            </w:tcBorders>
          </w:tcPr>
          <w:p w14:paraId="5337DF2E"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-0.002</w:t>
            </w:r>
          </w:p>
        </w:tc>
        <w:tc>
          <w:tcPr>
            <w:tcW w:w="996" w:type="dxa"/>
            <w:tcBorders>
              <w:top w:val="single" w:sz="2" w:space="0" w:color="auto"/>
            </w:tcBorders>
          </w:tcPr>
          <w:p w14:paraId="2179C78C"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1.428***</w:t>
            </w:r>
          </w:p>
        </w:tc>
      </w:tr>
      <w:tr w:rsidR="00C77FE3" w:rsidRPr="00D86FE3" w14:paraId="2875E96C" w14:textId="77777777" w:rsidTr="00CC2398">
        <w:tc>
          <w:tcPr>
            <w:tcW w:w="1664" w:type="dxa"/>
            <w:tcBorders>
              <w:bottom w:val="dotted" w:sz="4" w:space="0" w:color="auto"/>
            </w:tcBorders>
          </w:tcPr>
          <w:p w14:paraId="2186B4D6" w14:textId="77777777" w:rsidR="00C77FE3" w:rsidRPr="00807795" w:rsidRDefault="00C77FE3" w:rsidP="00CC2398">
            <w:pPr>
              <w:pStyle w:val="Compact"/>
              <w:rPr>
                <w:rFonts w:ascii="Times New Roman" w:hAnsi="Times New Roman" w:cs="Times New Roman"/>
                <w:sz w:val="18"/>
                <w:szCs w:val="18"/>
              </w:rPr>
            </w:pPr>
          </w:p>
        </w:tc>
        <w:tc>
          <w:tcPr>
            <w:tcW w:w="1262" w:type="dxa"/>
            <w:tcBorders>
              <w:bottom w:val="dotted" w:sz="4" w:space="0" w:color="auto"/>
            </w:tcBorders>
          </w:tcPr>
          <w:p w14:paraId="47D43B93"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(0.019)</w:t>
            </w:r>
          </w:p>
        </w:tc>
        <w:tc>
          <w:tcPr>
            <w:tcW w:w="1034" w:type="dxa"/>
            <w:tcBorders>
              <w:bottom w:val="dotted" w:sz="4" w:space="0" w:color="auto"/>
            </w:tcBorders>
          </w:tcPr>
          <w:p w14:paraId="33FE5B55"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(0.025)</w:t>
            </w:r>
          </w:p>
        </w:tc>
        <w:tc>
          <w:tcPr>
            <w:tcW w:w="1181" w:type="dxa"/>
            <w:tcBorders>
              <w:bottom w:val="dotted" w:sz="4" w:space="0" w:color="auto"/>
            </w:tcBorders>
          </w:tcPr>
          <w:p w14:paraId="4002990E"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(0.059)</w:t>
            </w:r>
          </w:p>
        </w:tc>
        <w:tc>
          <w:tcPr>
            <w:tcW w:w="988" w:type="dxa"/>
            <w:tcBorders>
              <w:bottom w:val="dotted" w:sz="4" w:space="0" w:color="auto"/>
            </w:tcBorders>
          </w:tcPr>
          <w:p w14:paraId="3EB68B5F"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(0.211)</w:t>
            </w:r>
          </w:p>
        </w:tc>
        <w:tc>
          <w:tcPr>
            <w:tcW w:w="1001" w:type="dxa"/>
            <w:tcBorders>
              <w:bottom w:val="dotted" w:sz="4" w:space="0" w:color="auto"/>
            </w:tcBorders>
          </w:tcPr>
          <w:p w14:paraId="7C0D9AD1"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(0.003)</w:t>
            </w:r>
          </w:p>
        </w:tc>
        <w:tc>
          <w:tcPr>
            <w:tcW w:w="1076" w:type="dxa"/>
            <w:tcBorders>
              <w:bottom w:val="dotted" w:sz="4" w:space="0" w:color="auto"/>
            </w:tcBorders>
          </w:tcPr>
          <w:p w14:paraId="30F945ED"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(0.272)</w:t>
            </w:r>
          </w:p>
        </w:tc>
        <w:tc>
          <w:tcPr>
            <w:tcW w:w="1079" w:type="dxa"/>
            <w:tcBorders>
              <w:bottom w:val="dotted" w:sz="4" w:space="0" w:color="auto"/>
            </w:tcBorders>
          </w:tcPr>
          <w:p w14:paraId="65FC74A1"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(0.419)</w:t>
            </w:r>
          </w:p>
        </w:tc>
        <w:tc>
          <w:tcPr>
            <w:tcW w:w="997" w:type="dxa"/>
            <w:tcBorders>
              <w:bottom w:val="dotted" w:sz="4" w:space="0" w:color="auto"/>
            </w:tcBorders>
          </w:tcPr>
          <w:p w14:paraId="21133508"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(0.001)</w:t>
            </w:r>
          </w:p>
        </w:tc>
        <w:tc>
          <w:tcPr>
            <w:tcW w:w="1081" w:type="dxa"/>
            <w:tcBorders>
              <w:bottom w:val="dotted" w:sz="4" w:space="0" w:color="auto"/>
            </w:tcBorders>
          </w:tcPr>
          <w:p w14:paraId="78E64700"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(0.048)</w:t>
            </w:r>
          </w:p>
        </w:tc>
        <w:tc>
          <w:tcPr>
            <w:tcW w:w="1260" w:type="dxa"/>
            <w:tcBorders>
              <w:bottom w:val="dotted" w:sz="4" w:space="0" w:color="auto"/>
            </w:tcBorders>
          </w:tcPr>
          <w:p w14:paraId="353EB5B3"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(0.002)</w:t>
            </w:r>
          </w:p>
        </w:tc>
        <w:tc>
          <w:tcPr>
            <w:tcW w:w="995" w:type="dxa"/>
            <w:tcBorders>
              <w:bottom w:val="dotted" w:sz="4" w:space="0" w:color="auto"/>
            </w:tcBorders>
          </w:tcPr>
          <w:p w14:paraId="41CD60AE"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(0.007)</w:t>
            </w:r>
          </w:p>
        </w:tc>
        <w:tc>
          <w:tcPr>
            <w:tcW w:w="996" w:type="dxa"/>
            <w:tcBorders>
              <w:bottom w:val="dotted" w:sz="4" w:space="0" w:color="auto"/>
            </w:tcBorders>
          </w:tcPr>
          <w:p w14:paraId="7F02C614"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(0.132)</w:t>
            </w:r>
          </w:p>
        </w:tc>
      </w:tr>
      <w:tr w:rsidR="00C77FE3" w:rsidRPr="00D86FE3" w14:paraId="2ACEDD93" w14:textId="77777777" w:rsidTr="00CC2398">
        <w:tc>
          <w:tcPr>
            <w:tcW w:w="1664" w:type="dxa"/>
            <w:vMerge w:val="restart"/>
            <w:tcBorders>
              <w:top w:val="dotted" w:sz="4" w:space="0" w:color="auto"/>
            </w:tcBorders>
            <w:shd w:val="clear" w:color="auto" w:fill="D9D9D9" w:themeFill="background1" w:themeFillShade="D9"/>
          </w:tcPr>
          <w:p w14:paraId="4E88AD53" w14:textId="77777777" w:rsidR="00C77FE3" w:rsidRPr="00807795" w:rsidRDefault="00C77FE3" w:rsidP="00CC2398">
            <w:pPr>
              <w:pStyle w:val="Compact"/>
              <w:rPr>
                <w:rFonts w:ascii="Times New Roman" w:hAnsi="Times New Roman" w:cs="Times New Roman"/>
                <w:sz w:val="18"/>
                <w:szCs w:val="18"/>
              </w:rPr>
            </w:pPr>
            <w:proofErr w:type="gramStart"/>
            <w:r w:rsidRPr="00807795">
              <w:rPr>
                <w:rFonts w:ascii="Times New Roman" w:hAnsi="Times New Roman" w:cs="Times New Roman"/>
                <w:sz w:val="18"/>
                <w:szCs w:val="18"/>
              </w:rPr>
              <w:t>Log(</w:t>
            </w:r>
            <w:proofErr w:type="gramEnd"/>
            <w:r w:rsidRPr="00807795">
              <w:rPr>
                <w:rFonts w:ascii="Times New Roman" w:hAnsi="Times New Roman" w:cs="Times New Roman"/>
                <w:sz w:val="18"/>
                <w:szCs w:val="18"/>
              </w:rPr>
              <w:t xml:space="preserve">% </w:t>
            </w:r>
            <w:r>
              <w:rPr>
                <w:rFonts w:ascii="Times New Roman" w:hAnsi="Times New Roman" w:cs="Times New Roman"/>
                <w:sz w:val="18"/>
                <w:szCs w:val="18"/>
              </w:rPr>
              <w:t>s</w:t>
            </w:r>
            <w:r w:rsidRPr="00807795">
              <w:rPr>
                <w:rFonts w:ascii="Times New Roman" w:hAnsi="Times New Roman" w:cs="Times New Roman"/>
                <w:sz w:val="18"/>
                <w:szCs w:val="18"/>
              </w:rPr>
              <w:t xml:space="preserve">atisfied </w:t>
            </w:r>
            <w:r>
              <w:rPr>
                <w:rFonts w:ascii="Times New Roman" w:hAnsi="Times New Roman" w:cs="Times New Roman"/>
                <w:sz w:val="18"/>
                <w:szCs w:val="18"/>
              </w:rPr>
              <w:t>c</w:t>
            </w:r>
            <w:r w:rsidRPr="00807795">
              <w:rPr>
                <w:rFonts w:ascii="Times New Roman" w:hAnsi="Times New Roman" w:cs="Times New Roman"/>
                <w:sz w:val="18"/>
                <w:szCs w:val="18"/>
              </w:rPr>
              <w:t>ustomers)</w:t>
            </w:r>
          </w:p>
        </w:tc>
        <w:tc>
          <w:tcPr>
            <w:tcW w:w="1262" w:type="dxa"/>
            <w:tcBorders>
              <w:top w:val="dotted" w:sz="4" w:space="0" w:color="auto"/>
            </w:tcBorders>
            <w:shd w:val="clear" w:color="auto" w:fill="D9D9D9" w:themeFill="background1" w:themeFillShade="D9"/>
          </w:tcPr>
          <w:p w14:paraId="6C6E21DD"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0.591***</w:t>
            </w:r>
          </w:p>
        </w:tc>
        <w:tc>
          <w:tcPr>
            <w:tcW w:w="1034" w:type="dxa"/>
            <w:tcBorders>
              <w:top w:val="dotted" w:sz="4" w:space="0" w:color="auto"/>
            </w:tcBorders>
            <w:shd w:val="clear" w:color="auto" w:fill="D9D9D9" w:themeFill="background1" w:themeFillShade="D9"/>
          </w:tcPr>
          <w:p w14:paraId="58161DE2"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0.453***</w:t>
            </w:r>
          </w:p>
        </w:tc>
        <w:tc>
          <w:tcPr>
            <w:tcW w:w="1181" w:type="dxa"/>
            <w:tcBorders>
              <w:top w:val="dotted" w:sz="4" w:space="0" w:color="auto"/>
            </w:tcBorders>
            <w:shd w:val="clear" w:color="auto" w:fill="D9D9D9" w:themeFill="background1" w:themeFillShade="D9"/>
          </w:tcPr>
          <w:p w14:paraId="63855804"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0.213***</w:t>
            </w:r>
          </w:p>
        </w:tc>
        <w:tc>
          <w:tcPr>
            <w:tcW w:w="988" w:type="dxa"/>
            <w:tcBorders>
              <w:top w:val="dotted" w:sz="4" w:space="0" w:color="auto"/>
            </w:tcBorders>
            <w:shd w:val="clear" w:color="auto" w:fill="D9D9D9" w:themeFill="background1" w:themeFillShade="D9"/>
          </w:tcPr>
          <w:p w14:paraId="0D8E8765"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0.155***</w:t>
            </w:r>
          </w:p>
        </w:tc>
        <w:tc>
          <w:tcPr>
            <w:tcW w:w="1001" w:type="dxa"/>
            <w:tcBorders>
              <w:top w:val="dotted" w:sz="4" w:space="0" w:color="auto"/>
            </w:tcBorders>
            <w:shd w:val="clear" w:color="auto" w:fill="D9D9D9" w:themeFill="background1" w:themeFillShade="D9"/>
          </w:tcPr>
          <w:p w14:paraId="2FECDD6C"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0.007***</w:t>
            </w:r>
          </w:p>
        </w:tc>
        <w:tc>
          <w:tcPr>
            <w:tcW w:w="1076" w:type="dxa"/>
            <w:tcBorders>
              <w:top w:val="dotted" w:sz="4" w:space="0" w:color="auto"/>
            </w:tcBorders>
            <w:shd w:val="clear" w:color="auto" w:fill="D9D9D9" w:themeFill="background1" w:themeFillShade="D9"/>
          </w:tcPr>
          <w:p w14:paraId="2CF746C3"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0.159**</w:t>
            </w:r>
          </w:p>
        </w:tc>
        <w:tc>
          <w:tcPr>
            <w:tcW w:w="1079" w:type="dxa"/>
            <w:tcBorders>
              <w:top w:val="dotted" w:sz="4" w:space="0" w:color="auto"/>
            </w:tcBorders>
            <w:shd w:val="clear" w:color="auto" w:fill="D9D9D9" w:themeFill="background1" w:themeFillShade="D9"/>
          </w:tcPr>
          <w:p w14:paraId="2562681B"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-0.241**</w:t>
            </w:r>
          </w:p>
        </w:tc>
        <w:tc>
          <w:tcPr>
            <w:tcW w:w="997" w:type="dxa"/>
            <w:tcBorders>
              <w:top w:val="dotted" w:sz="4" w:space="0" w:color="auto"/>
            </w:tcBorders>
            <w:shd w:val="clear" w:color="auto" w:fill="D9D9D9" w:themeFill="background1" w:themeFillShade="D9"/>
          </w:tcPr>
          <w:p w14:paraId="4B408F4D"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0.004***</w:t>
            </w:r>
          </w:p>
        </w:tc>
        <w:tc>
          <w:tcPr>
            <w:tcW w:w="1081" w:type="dxa"/>
            <w:tcBorders>
              <w:top w:val="dotted" w:sz="4" w:space="0" w:color="auto"/>
            </w:tcBorders>
            <w:shd w:val="clear" w:color="auto" w:fill="D9D9D9" w:themeFill="background1" w:themeFillShade="D9"/>
          </w:tcPr>
          <w:p w14:paraId="06C65F5B"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-0.065***</w:t>
            </w:r>
          </w:p>
        </w:tc>
        <w:tc>
          <w:tcPr>
            <w:tcW w:w="1260" w:type="dxa"/>
            <w:tcBorders>
              <w:top w:val="dotted" w:sz="4" w:space="0" w:color="auto"/>
            </w:tcBorders>
            <w:shd w:val="clear" w:color="auto" w:fill="D9D9D9" w:themeFill="background1" w:themeFillShade="D9"/>
          </w:tcPr>
          <w:p w14:paraId="0344EC7F"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-0.001*</w:t>
            </w:r>
          </w:p>
        </w:tc>
        <w:tc>
          <w:tcPr>
            <w:tcW w:w="995" w:type="dxa"/>
            <w:tcBorders>
              <w:top w:val="dotted" w:sz="4" w:space="0" w:color="auto"/>
            </w:tcBorders>
            <w:shd w:val="clear" w:color="auto" w:fill="D9D9D9" w:themeFill="background1" w:themeFillShade="D9"/>
          </w:tcPr>
          <w:p w14:paraId="06316DBA"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0.012*</w:t>
            </w:r>
          </w:p>
        </w:tc>
        <w:tc>
          <w:tcPr>
            <w:tcW w:w="996" w:type="dxa"/>
            <w:tcBorders>
              <w:top w:val="dotted" w:sz="4" w:space="0" w:color="auto"/>
            </w:tcBorders>
            <w:shd w:val="clear" w:color="auto" w:fill="D9D9D9" w:themeFill="background1" w:themeFillShade="D9"/>
          </w:tcPr>
          <w:p w14:paraId="314B24C8"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0.306***</w:t>
            </w:r>
          </w:p>
        </w:tc>
      </w:tr>
      <w:tr w:rsidR="00C77FE3" w:rsidRPr="00D86FE3" w14:paraId="2F41A2D2" w14:textId="77777777" w:rsidTr="00CC2398">
        <w:tc>
          <w:tcPr>
            <w:tcW w:w="1664" w:type="dxa"/>
            <w:vMerge/>
            <w:tcBorders>
              <w:bottom w:val="dotted" w:sz="4" w:space="0" w:color="auto"/>
            </w:tcBorders>
            <w:shd w:val="clear" w:color="auto" w:fill="D9D9D9" w:themeFill="background1" w:themeFillShade="D9"/>
          </w:tcPr>
          <w:p w14:paraId="5D172931" w14:textId="77777777" w:rsidR="00C77FE3" w:rsidRPr="00807795" w:rsidRDefault="00C77FE3" w:rsidP="00CC2398">
            <w:pPr>
              <w:pStyle w:val="Compact"/>
              <w:rPr>
                <w:rFonts w:ascii="Times New Roman" w:hAnsi="Times New Roman" w:cs="Times New Roman"/>
                <w:sz w:val="18"/>
                <w:szCs w:val="18"/>
              </w:rPr>
            </w:pPr>
          </w:p>
        </w:tc>
        <w:tc>
          <w:tcPr>
            <w:tcW w:w="1262" w:type="dxa"/>
            <w:tcBorders>
              <w:bottom w:val="dotted" w:sz="4" w:space="0" w:color="auto"/>
            </w:tcBorders>
            <w:shd w:val="clear" w:color="auto" w:fill="D9D9D9" w:themeFill="background1" w:themeFillShade="D9"/>
          </w:tcPr>
          <w:p w14:paraId="5C942001"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(0.012)</w:t>
            </w:r>
          </w:p>
        </w:tc>
        <w:tc>
          <w:tcPr>
            <w:tcW w:w="1034" w:type="dxa"/>
            <w:tcBorders>
              <w:bottom w:val="dotted" w:sz="4" w:space="0" w:color="auto"/>
            </w:tcBorders>
            <w:shd w:val="clear" w:color="auto" w:fill="D9D9D9" w:themeFill="background1" w:themeFillShade="D9"/>
          </w:tcPr>
          <w:p w14:paraId="399CB316"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(0.010)</w:t>
            </w:r>
          </w:p>
        </w:tc>
        <w:tc>
          <w:tcPr>
            <w:tcW w:w="1181" w:type="dxa"/>
            <w:tcBorders>
              <w:bottom w:val="dotted" w:sz="4" w:space="0" w:color="auto"/>
            </w:tcBorders>
            <w:shd w:val="clear" w:color="auto" w:fill="D9D9D9" w:themeFill="background1" w:themeFillShade="D9"/>
          </w:tcPr>
          <w:p w14:paraId="4B8F1BF9"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(0.037)</w:t>
            </w:r>
          </w:p>
        </w:tc>
        <w:tc>
          <w:tcPr>
            <w:tcW w:w="988" w:type="dxa"/>
            <w:tcBorders>
              <w:bottom w:val="dotted" w:sz="4" w:space="0" w:color="auto"/>
            </w:tcBorders>
            <w:shd w:val="clear" w:color="auto" w:fill="D9D9D9" w:themeFill="background1" w:themeFillShade="D9"/>
          </w:tcPr>
          <w:p w14:paraId="4C30F626"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(0.057)</w:t>
            </w:r>
          </w:p>
        </w:tc>
        <w:tc>
          <w:tcPr>
            <w:tcW w:w="1001" w:type="dxa"/>
            <w:tcBorders>
              <w:bottom w:val="dotted" w:sz="4" w:space="0" w:color="auto"/>
            </w:tcBorders>
            <w:shd w:val="clear" w:color="auto" w:fill="D9D9D9" w:themeFill="background1" w:themeFillShade="D9"/>
          </w:tcPr>
          <w:p w14:paraId="0D5FEFB7"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(0.001)</w:t>
            </w:r>
          </w:p>
        </w:tc>
        <w:tc>
          <w:tcPr>
            <w:tcW w:w="1076" w:type="dxa"/>
            <w:tcBorders>
              <w:bottom w:val="dotted" w:sz="4" w:space="0" w:color="auto"/>
            </w:tcBorders>
            <w:shd w:val="clear" w:color="auto" w:fill="D9D9D9" w:themeFill="background1" w:themeFillShade="D9"/>
          </w:tcPr>
          <w:p w14:paraId="347C0624"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(0.074)</w:t>
            </w:r>
          </w:p>
        </w:tc>
        <w:tc>
          <w:tcPr>
            <w:tcW w:w="1079" w:type="dxa"/>
            <w:tcBorders>
              <w:bottom w:val="dotted" w:sz="4" w:space="0" w:color="auto"/>
            </w:tcBorders>
            <w:shd w:val="clear" w:color="auto" w:fill="D9D9D9" w:themeFill="background1" w:themeFillShade="D9"/>
          </w:tcPr>
          <w:p w14:paraId="15045192"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(0.122)</w:t>
            </w:r>
          </w:p>
        </w:tc>
        <w:tc>
          <w:tcPr>
            <w:tcW w:w="997" w:type="dxa"/>
            <w:tcBorders>
              <w:bottom w:val="dotted" w:sz="4" w:space="0" w:color="auto"/>
            </w:tcBorders>
            <w:shd w:val="clear" w:color="auto" w:fill="D9D9D9" w:themeFill="background1" w:themeFillShade="D9"/>
          </w:tcPr>
          <w:p w14:paraId="61BA143F"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(0.001)</w:t>
            </w:r>
          </w:p>
        </w:tc>
        <w:tc>
          <w:tcPr>
            <w:tcW w:w="1081" w:type="dxa"/>
            <w:tcBorders>
              <w:bottom w:val="dotted" w:sz="4" w:space="0" w:color="auto"/>
            </w:tcBorders>
            <w:shd w:val="clear" w:color="auto" w:fill="D9D9D9" w:themeFill="background1" w:themeFillShade="D9"/>
          </w:tcPr>
          <w:p w14:paraId="3AA7964B"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(0.013)</w:t>
            </w:r>
          </w:p>
        </w:tc>
        <w:tc>
          <w:tcPr>
            <w:tcW w:w="1260" w:type="dxa"/>
            <w:tcBorders>
              <w:bottom w:val="dotted" w:sz="4" w:space="0" w:color="auto"/>
            </w:tcBorders>
            <w:shd w:val="clear" w:color="auto" w:fill="D9D9D9" w:themeFill="background1" w:themeFillShade="D9"/>
          </w:tcPr>
          <w:p w14:paraId="4A3D9A2E"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(0.000)</w:t>
            </w:r>
          </w:p>
        </w:tc>
        <w:tc>
          <w:tcPr>
            <w:tcW w:w="995" w:type="dxa"/>
            <w:tcBorders>
              <w:bottom w:val="dotted" w:sz="4" w:space="0" w:color="auto"/>
            </w:tcBorders>
            <w:shd w:val="clear" w:color="auto" w:fill="D9D9D9" w:themeFill="background1" w:themeFillShade="D9"/>
          </w:tcPr>
          <w:p w14:paraId="3850B5DF"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(0.006)</w:t>
            </w:r>
          </w:p>
        </w:tc>
        <w:tc>
          <w:tcPr>
            <w:tcW w:w="996" w:type="dxa"/>
            <w:tcBorders>
              <w:bottom w:val="dotted" w:sz="4" w:space="0" w:color="auto"/>
            </w:tcBorders>
            <w:shd w:val="clear" w:color="auto" w:fill="D9D9D9" w:themeFill="background1" w:themeFillShade="D9"/>
          </w:tcPr>
          <w:p w14:paraId="0B5DF9B7"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(0.064)</w:t>
            </w:r>
          </w:p>
        </w:tc>
      </w:tr>
      <w:tr w:rsidR="00C77FE3" w:rsidRPr="00D86FE3" w14:paraId="753B9113" w14:textId="77777777" w:rsidTr="00CC2398">
        <w:tc>
          <w:tcPr>
            <w:tcW w:w="1664" w:type="dxa"/>
            <w:tcBorders>
              <w:top w:val="dotted" w:sz="4" w:space="0" w:color="auto"/>
            </w:tcBorders>
          </w:tcPr>
          <w:p w14:paraId="041014C1" w14:textId="77777777" w:rsidR="00C77FE3" w:rsidRPr="00807795" w:rsidRDefault="00C77FE3" w:rsidP="00CC2398">
            <w:pPr>
              <w:pStyle w:val="Compact"/>
              <w:rPr>
                <w:rFonts w:ascii="Times New Roman" w:hAnsi="Times New Roman" w:cs="Times New Roman"/>
                <w:sz w:val="18"/>
                <w:szCs w:val="18"/>
              </w:rPr>
            </w:pPr>
            <w:r w:rsidRPr="00807795">
              <w:rPr>
                <w:rFonts w:ascii="Times New Roman" w:hAnsi="Times New Roman" w:cs="Times New Roman"/>
                <w:sz w:val="18"/>
                <w:szCs w:val="18"/>
              </w:rPr>
              <w:t xml:space="preserve">Firm </w:t>
            </w:r>
            <w:r>
              <w:rPr>
                <w:rFonts w:ascii="Times New Roman" w:hAnsi="Times New Roman" w:cs="Times New Roman"/>
                <w:sz w:val="18"/>
                <w:szCs w:val="18"/>
              </w:rPr>
              <w:t>s</w:t>
            </w:r>
            <w:r w:rsidRPr="00807795">
              <w:rPr>
                <w:rFonts w:ascii="Times New Roman" w:hAnsi="Times New Roman" w:cs="Times New Roman"/>
                <w:sz w:val="18"/>
                <w:szCs w:val="18"/>
              </w:rPr>
              <w:t>ize</w:t>
            </w:r>
          </w:p>
        </w:tc>
        <w:tc>
          <w:tcPr>
            <w:tcW w:w="1262" w:type="dxa"/>
            <w:tcBorders>
              <w:top w:val="dotted" w:sz="4" w:space="0" w:color="auto"/>
            </w:tcBorders>
          </w:tcPr>
          <w:p w14:paraId="77F8E802"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0.009***</w:t>
            </w:r>
          </w:p>
        </w:tc>
        <w:tc>
          <w:tcPr>
            <w:tcW w:w="1034" w:type="dxa"/>
            <w:tcBorders>
              <w:top w:val="dotted" w:sz="4" w:space="0" w:color="auto"/>
            </w:tcBorders>
          </w:tcPr>
          <w:p w14:paraId="22E981E6"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0.025***</w:t>
            </w:r>
          </w:p>
        </w:tc>
        <w:tc>
          <w:tcPr>
            <w:tcW w:w="1181" w:type="dxa"/>
            <w:tcBorders>
              <w:top w:val="dotted" w:sz="4" w:space="0" w:color="auto"/>
            </w:tcBorders>
          </w:tcPr>
          <w:p w14:paraId="7329210E"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0.688***</w:t>
            </w:r>
          </w:p>
        </w:tc>
        <w:tc>
          <w:tcPr>
            <w:tcW w:w="988" w:type="dxa"/>
            <w:tcBorders>
              <w:top w:val="dotted" w:sz="4" w:space="0" w:color="auto"/>
            </w:tcBorders>
          </w:tcPr>
          <w:p w14:paraId="0BE60163"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0.051***</w:t>
            </w:r>
          </w:p>
        </w:tc>
        <w:tc>
          <w:tcPr>
            <w:tcW w:w="1001" w:type="dxa"/>
            <w:tcBorders>
              <w:top w:val="dotted" w:sz="4" w:space="0" w:color="auto"/>
            </w:tcBorders>
          </w:tcPr>
          <w:p w14:paraId="11CFEAA4"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-0.002***</w:t>
            </w:r>
          </w:p>
        </w:tc>
        <w:tc>
          <w:tcPr>
            <w:tcW w:w="1076" w:type="dxa"/>
            <w:tcBorders>
              <w:top w:val="dotted" w:sz="4" w:space="0" w:color="auto"/>
            </w:tcBorders>
          </w:tcPr>
          <w:p w14:paraId="7069477A"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0.029</w:t>
            </w:r>
          </w:p>
        </w:tc>
        <w:tc>
          <w:tcPr>
            <w:tcW w:w="1079" w:type="dxa"/>
            <w:tcBorders>
              <w:top w:val="dotted" w:sz="4" w:space="0" w:color="auto"/>
            </w:tcBorders>
          </w:tcPr>
          <w:p w14:paraId="11E8127A"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0.012</w:t>
            </w:r>
          </w:p>
        </w:tc>
        <w:tc>
          <w:tcPr>
            <w:tcW w:w="997" w:type="dxa"/>
            <w:tcBorders>
              <w:top w:val="dotted" w:sz="4" w:space="0" w:color="auto"/>
            </w:tcBorders>
          </w:tcPr>
          <w:p w14:paraId="0F198F3E"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0.005***</w:t>
            </w:r>
          </w:p>
        </w:tc>
        <w:tc>
          <w:tcPr>
            <w:tcW w:w="1081" w:type="dxa"/>
            <w:tcBorders>
              <w:top w:val="dotted" w:sz="4" w:space="0" w:color="auto"/>
            </w:tcBorders>
          </w:tcPr>
          <w:p w14:paraId="6298E47C"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0.029***</w:t>
            </w:r>
          </w:p>
        </w:tc>
        <w:tc>
          <w:tcPr>
            <w:tcW w:w="1260" w:type="dxa"/>
            <w:tcBorders>
              <w:top w:val="dotted" w:sz="4" w:space="0" w:color="auto"/>
            </w:tcBorders>
          </w:tcPr>
          <w:p w14:paraId="1E825446"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-0.003***</w:t>
            </w:r>
          </w:p>
        </w:tc>
        <w:tc>
          <w:tcPr>
            <w:tcW w:w="995" w:type="dxa"/>
            <w:tcBorders>
              <w:top w:val="dotted" w:sz="4" w:space="0" w:color="auto"/>
            </w:tcBorders>
          </w:tcPr>
          <w:p w14:paraId="08E7B223"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0.001</w:t>
            </w:r>
          </w:p>
        </w:tc>
        <w:tc>
          <w:tcPr>
            <w:tcW w:w="996" w:type="dxa"/>
            <w:tcBorders>
              <w:top w:val="dotted" w:sz="4" w:space="0" w:color="auto"/>
            </w:tcBorders>
          </w:tcPr>
          <w:p w14:paraId="3BA99EBD"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-0.080***</w:t>
            </w:r>
          </w:p>
        </w:tc>
      </w:tr>
      <w:tr w:rsidR="00C77FE3" w:rsidRPr="00D86FE3" w14:paraId="5DA2A634" w14:textId="77777777" w:rsidTr="00CC2398">
        <w:tc>
          <w:tcPr>
            <w:tcW w:w="1664" w:type="dxa"/>
            <w:tcBorders>
              <w:bottom w:val="dotted" w:sz="4" w:space="0" w:color="auto"/>
            </w:tcBorders>
          </w:tcPr>
          <w:p w14:paraId="09396CA2" w14:textId="77777777" w:rsidR="00C77FE3" w:rsidRPr="00807795" w:rsidRDefault="00C77FE3" w:rsidP="00CC2398">
            <w:pPr>
              <w:pStyle w:val="Compact"/>
              <w:rPr>
                <w:rFonts w:ascii="Times New Roman" w:hAnsi="Times New Roman" w:cs="Times New Roman"/>
                <w:sz w:val="18"/>
                <w:szCs w:val="18"/>
              </w:rPr>
            </w:pPr>
          </w:p>
        </w:tc>
        <w:tc>
          <w:tcPr>
            <w:tcW w:w="1262" w:type="dxa"/>
            <w:tcBorders>
              <w:bottom w:val="dotted" w:sz="4" w:space="0" w:color="auto"/>
            </w:tcBorders>
          </w:tcPr>
          <w:p w14:paraId="7B093786"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(0.002)</w:t>
            </w:r>
          </w:p>
        </w:tc>
        <w:tc>
          <w:tcPr>
            <w:tcW w:w="1034" w:type="dxa"/>
            <w:tcBorders>
              <w:bottom w:val="dotted" w:sz="4" w:space="0" w:color="auto"/>
            </w:tcBorders>
          </w:tcPr>
          <w:p w14:paraId="2BA4041F"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(0.002)</w:t>
            </w:r>
          </w:p>
        </w:tc>
        <w:tc>
          <w:tcPr>
            <w:tcW w:w="1181" w:type="dxa"/>
            <w:tcBorders>
              <w:bottom w:val="dotted" w:sz="4" w:space="0" w:color="auto"/>
            </w:tcBorders>
          </w:tcPr>
          <w:p w14:paraId="4E3ED714"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(0.005)</w:t>
            </w:r>
          </w:p>
        </w:tc>
        <w:tc>
          <w:tcPr>
            <w:tcW w:w="988" w:type="dxa"/>
            <w:tcBorders>
              <w:bottom w:val="dotted" w:sz="4" w:space="0" w:color="auto"/>
            </w:tcBorders>
          </w:tcPr>
          <w:p w14:paraId="5BCDEE7C"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(0.017)</w:t>
            </w:r>
          </w:p>
        </w:tc>
        <w:tc>
          <w:tcPr>
            <w:tcW w:w="1001" w:type="dxa"/>
            <w:tcBorders>
              <w:bottom w:val="dotted" w:sz="4" w:space="0" w:color="auto"/>
            </w:tcBorders>
          </w:tcPr>
          <w:p w14:paraId="0642EB2F"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(0.000)</w:t>
            </w:r>
          </w:p>
        </w:tc>
        <w:tc>
          <w:tcPr>
            <w:tcW w:w="1076" w:type="dxa"/>
            <w:tcBorders>
              <w:bottom w:val="dotted" w:sz="4" w:space="0" w:color="auto"/>
            </w:tcBorders>
          </w:tcPr>
          <w:p w14:paraId="50451F46"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(0.021)</w:t>
            </w:r>
          </w:p>
        </w:tc>
        <w:tc>
          <w:tcPr>
            <w:tcW w:w="1079" w:type="dxa"/>
            <w:tcBorders>
              <w:bottom w:val="dotted" w:sz="4" w:space="0" w:color="auto"/>
            </w:tcBorders>
          </w:tcPr>
          <w:p w14:paraId="06CD98EC"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(0.028)</w:t>
            </w:r>
          </w:p>
        </w:tc>
        <w:tc>
          <w:tcPr>
            <w:tcW w:w="997" w:type="dxa"/>
            <w:tcBorders>
              <w:bottom w:val="dotted" w:sz="4" w:space="0" w:color="auto"/>
            </w:tcBorders>
          </w:tcPr>
          <w:p w14:paraId="18705D12"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(0.000)</w:t>
            </w:r>
          </w:p>
        </w:tc>
        <w:tc>
          <w:tcPr>
            <w:tcW w:w="1081" w:type="dxa"/>
            <w:tcBorders>
              <w:bottom w:val="dotted" w:sz="4" w:space="0" w:color="auto"/>
            </w:tcBorders>
          </w:tcPr>
          <w:p w14:paraId="29AF2C05"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(0.004)</w:t>
            </w:r>
          </w:p>
        </w:tc>
        <w:tc>
          <w:tcPr>
            <w:tcW w:w="1260" w:type="dxa"/>
            <w:tcBorders>
              <w:bottom w:val="dotted" w:sz="4" w:space="0" w:color="auto"/>
            </w:tcBorders>
          </w:tcPr>
          <w:p w14:paraId="4038834C"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(0.000)</w:t>
            </w:r>
          </w:p>
        </w:tc>
        <w:tc>
          <w:tcPr>
            <w:tcW w:w="995" w:type="dxa"/>
            <w:tcBorders>
              <w:bottom w:val="dotted" w:sz="4" w:space="0" w:color="auto"/>
            </w:tcBorders>
          </w:tcPr>
          <w:p w14:paraId="5311DF63"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(0.016)</w:t>
            </w:r>
          </w:p>
        </w:tc>
        <w:tc>
          <w:tcPr>
            <w:tcW w:w="996" w:type="dxa"/>
            <w:tcBorders>
              <w:bottom w:val="dotted" w:sz="4" w:space="0" w:color="auto"/>
            </w:tcBorders>
          </w:tcPr>
          <w:p w14:paraId="6FB3BE91"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(0.015)</w:t>
            </w:r>
          </w:p>
        </w:tc>
      </w:tr>
      <w:tr w:rsidR="00C77FE3" w:rsidRPr="00D86FE3" w14:paraId="17E31B61" w14:textId="77777777" w:rsidTr="00CC2398">
        <w:tc>
          <w:tcPr>
            <w:tcW w:w="1664" w:type="dxa"/>
            <w:tcBorders>
              <w:top w:val="dotted" w:sz="4" w:space="0" w:color="auto"/>
            </w:tcBorders>
          </w:tcPr>
          <w:p w14:paraId="43CEF786" w14:textId="77777777" w:rsidR="00C77FE3" w:rsidRPr="00807795" w:rsidRDefault="00C77FE3" w:rsidP="00CC2398">
            <w:pPr>
              <w:pStyle w:val="Compact"/>
              <w:rPr>
                <w:rFonts w:ascii="Times New Roman" w:hAnsi="Times New Roman" w:cs="Times New Roman"/>
                <w:sz w:val="18"/>
                <w:szCs w:val="18"/>
              </w:rPr>
            </w:pPr>
            <w:r w:rsidRPr="00807795">
              <w:rPr>
                <w:rFonts w:ascii="Times New Roman" w:hAnsi="Times New Roman" w:cs="Times New Roman"/>
                <w:sz w:val="18"/>
                <w:szCs w:val="18"/>
              </w:rPr>
              <w:t>HHI</w:t>
            </w:r>
          </w:p>
        </w:tc>
        <w:tc>
          <w:tcPr>
            <w:tcW w:w="1262" w:type="dxa"/>
            <w:tcBorders>
              <w:top w:val="dotted" w:sz="4" w:space="0" w:color="auto"/>
            </w:tcBorders>
          </w:tcPr>
          <w:p w14:paraId="75FAB953"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0.032</w:t>
            </w:r>
          </w:p>
        </w:tc>
        <w:tc>
          <w:tcPr>
            <w:tcW w:w="1034" w:type="dxa"/>
            <w:tcBorders>
              <w:top w:val="dotted" w:sz="4" w:space="0" w:color="auto"/>
            </w:tcBorders>
          </w:tcPr>
          <w:p w14:paraId="2EA4A9B4"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1.092***</w:t>
            </w:r>
          </w:p>
        </w:tc>
        <w:tc>
          <w:tcPr>
            <w:tcW w:w="1181" w:type="dxa"/>
            <w:tcBorders>
              <w:top w:val="dotted" w:sz="4" w:space="0" w:color="auto"/>
            </w:tcBorders>
          </w:tcPr>
          <w:p w14:paraId="7E0F1E4D"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0.515**</w:t>
            </w:r>
          </w:p>
        </w:tc>
        <w:tc>
          <w:tcPr>
            <w:tcW w:w="988" w:type="dxa"/>
            <w:tcBorders>
              <w:top w:val="dotted" w:sz="4" w:space="0" w:color="auto"/>
            </w:tcBorders>
          </w:tcPr>
          <w:p w14:paraId="250A6DDB"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-0.553</w:t>
            </w:r>
          </w:p>
        </w:tc>
        <w:tc>
          <w:tcPr>
            <w:tcW w:w="1001" w:type="dxa"/>
            <w:tcBorders>
              <w:top w:val="dotted" w:sz="4" w:space="0" w:color="auto"/>
            </w:tcBorders>
          </w:tcPr>
          <w:p w14:paraId="1C252408"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-0.074***</w:t>
            </w:r>
          </w:p>
        </w:tc>
        <w:tc>
          <w:tcPr>
            <w:tcW w:w="1076" w:type="dxa"/>
            <w:tcBorders>
              <w:top w:val="dotted" w:sz="4" w:space="0" w:color="auto"/>
            </w:tcBorders>
          </w:tcPr>
          <w:p w14:paraId="57E40698"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-0.690</w:t>
            </w:r>
          </w:p>
        </w:tc>
        <w:tc>
          <w:tcPr>
            <w:tcW w:w="1079" w:type="dxa"/>
            <w:tcBorders>
              <w:top w:val="dotted" w:sz="4" w:space="0" w:color="auto"/>
            </w:tcBorders>
          </w:tcPr>
          <w:p w14:paraId="61DDDE31"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-1.214</w:t>
            </w:r>
          </w:p>
        </w:tc>
        <w:tc>
          <w:tcPr>
            <w:tcW w:w="997" w:type="dxa"/>
            <w:tcBorders>
              <w:top w:val="dotted" w:sz="4" w:space="0" w:color="auto"/>
            </w:tcBorders>
          </w:tcPr>
          <w:p w14:paraId="17A1EA00"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0.204***</w:t>
            </w:r>
          </w:p>
        </w:tc>
        <w:tc>
          <w:tcPr>
            <w:tcW w:w="1081" w:type="dxa"/>
            <w:tcBorders>
              <w:top w:val="dotted" w:sz="4" w:space="0" w:color="auto"/>
            </w:tcBorders>
          </w:tcPr>
          <w:p w14:paraId="399AC091"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0.113</w:t>
            </w:r>
          </w:p>
        </w:tc>
        <w:tc>
          <w:tcPr>
            <w:tcW w:w="1260" w:type="dxa"/>
            <w:tcBorders>
              <w:top w:val="dotted" w:sz="4" w:space="0" w:color="auto"/>
            </w:tcBorders>
          </w:tcPr>
          <w:p w14:paraId="00DA47DB"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0.006</w:t>
            </w:r>
          </w:p>
        </w:tc>
        <w:tc>
          <w:tcPr>
            <w:tcW w:w="995" w:type="dxa"/>
            <w:tcBorders>
              <w:top w:val="dotted" w:sz="4" w:space="0" w:color="auto"/>
            </w:tcBorders>
          </w:tcPr>
          <w:p w14:paraId="5103537B"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-2.088**</w:t>
            </w:r>
          </w:p>
        </w:tc>
        <w:tc>
          <w:tcPr>
            <w:tcW w:w="996" w:type="dxa"/>
            <w:tcBorders>
              <w:top w:val="dotted" w:sz="4" w:space="0" w:color="auto"/>
            </w:tcBorders>
          </w:tcPr>
          <w:p w14:paraId="07A674FF"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-3.848***</w:t>
            </w:r>
          </w:p>
        </w:tc>
      </w:tr>
      <w:tr w:rsidR="00C77FE3" w:rsidRPr="00D86FE3" w14:paraId="56A93941" w14:textId="77777777" w:rsidTr="00CC2398">
        <w:tc>
          <w:tcPr>
            <w:tcW w:w="1664" w:type="dxa"/>
            <w:tcBorders>
              <w:bottom w:val="dotted" w:sz="4" w:space="0" w:color="auto"/>
            </w:tcBorders>
          </w:tcPr>
          <w:p w14:paraId="7E9E0950" w14:textId="77777777" w:rsidR="00C77FE3" w:rsidRPr="00807795" w:rsidRDefault="00C77FE3" w:rsidP="00CC2398">
            <w:pPr>
              <w:pStyle w:val="Compact"/>
              <w:rPr>
                <w:rFonts w:ascii="Times New Roman" w:hAnsi="Times New Roman" w:cs="Times New Roman"/>
                <w:sz w:val="18"/>
                <w:szCs w:val="18"/>
              </w:rPr>
            </w:pPr>
          </w:p>
        </w:tc>
        <w:tc>
          <w:tcPr>
            <w:tcW w:w="1262" w:type="dxa"/>
            <w:tcBorders>
              <w:bottom w:val="dotted" w:sz="4" w:space="0" w:color="auto"/>
            </w:tcBorders>
          </w:tcPr>
          <w:p w14:paraId="0FD8414B"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(0.084)</w:t>
            </w:r>
          </w:p>
        </w:tc>
        <w:tc>
          <w:tcPr>
            <w:tcW w:w="1034" w:type="dxa"/>
            <w:tcBorders>
              <w:bottom w:val="dotted" w:sz="4" w:space="0" w:color="auto"/>
            </w:tcBorders>
          </w:tcPr>
          <w:p w14:paraId="764D9E0E"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(0.134)</w:t>
            </w:r>
          </w:p>
        </w:tc>
        <w:tc>
          <w:tcPr>
            <w:tcW w:w="1181" w:type="dxa"/>
            <w:tcBorders>
              <w:bottom w:val="dotted" w:sz="4" w:space="0" w:color="auto"/>
            </w:tcBorders>
          </w:tcPr>
          <w:p w14:paraId="1AB567B0"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(0.261)</w:t>
            </w:r>
          </w:p>
        </w:tc>
        <w:tc>
          <w:tcPr>
            <w:tcW w:w="988" w:type="dxa"/>
            <w:tcBorders>
              <w:bottom w:val="dotted" w:sz="4" w:space="0" w:color="auto"/>
            </w:tcBorders>
          </w:tcPr>
          <w:p w14:paraId="3C57944B"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(1.264)</w:t>
            </w:r>
          </w:p>
        </w:tc>
        <w:tc>
          <w:tcPr>
            <w:tcW w:w="1001" w:type="dxa"/>
            <w:tcBorders>
              <w:bottom w:val="dotted" w:sz="4" w:space="0" w:color="auto"/>
            </w:tcBorders>
          </w:tcPr>
          <w:p w14:paraId="06E0D46C"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(0.016)</w:t>
            </w:r>
          </w:p>
        </w:tc>
        <w:tc>
          <w:tcPr>
            <w:tcW w:w="1076" w:type="dxa"/>
            <w:tcBorders>
              <w:bottom w:val="dotted" w:sz="4" w:space="0" w:color="auto"/>
            </w:tcBorders>
          </w:tcPr>
          <w:p w14:paraId="7A41D82C"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(1.605)</w:t>
            </w:r>
          </w:p>
        </w:tc>
        <w:tc>
          <w:tcPr>
            <w:tcW w:w="1079" w:type="dxa"/>
            <w:tcBorders>
              <w:bottom w:val="dotted" w:sz="4" w:space="0" w:color="auto"/>
            </w:tcBorders>
          </w:tcPr>
          <w:p w14:paraId="4B0EFEE1"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(2.116)</w:t>
            </w:r>
          </w:p>
        </w:tc>
        <w:tc>
          <w:tcPr>
            <w:tcW w:w="997" w:type="dxa"/>
            <w:tcBorders>
              <w:bottom w:val="dotted" w:sz="4" w:space="0" w:color="auto"/>
            </w:tcBorders>
          </w:tcPr>
          <w:p w14:paraId="1954D0FC"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(0.006)</w:t>
            </w:r>
          </w:p>
        </w:tc>
        <w:tc>
          <w:tcPr>
            <w:tcW w:w="1081" w:type="dxa"/>
            <w:tcBorders>
              <w:bottom w:val="dotted" w:sz="4" w:space="0" w:color="auto"/>
            </w:tcBorders>
          </w:tcPr>
          <w:p w14:paraId="65E225D1"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(0.282)</w:t>
            </w:r>
          </w:p>
        </w:tc>
        <w:tc>
          <w:tcPr>
            <w:tcW w:w="1260" w:type="dxa"/>
            <w:tcBorders>
              <w:bottom w:val="dotted" w:sz="4" w:space="0" w:color="auto"/>
            </w:tcBorders>
          </w:tcPr>
          <w:p w14:paraId="2FD1ADB3"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(0.008)</w:t>
            </w:r>
          </w:p>
        </w:tc>
        <w:tc>
          <w:tcPr>
            <w:tcW w:w="995" w:type="dxa"/>
            <w:tcBorders>
              <w:bottom w:val="dotted" w:sz="4" w:space="0" w:color="auto"/>
            </w:tcBorders>
          </w:tcPr>
          <w:p w14:paraId="1A017FA6"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(1.033)</w:t>
            </w:r>
          </w:p>
        </w:tc>
        <w:tc>
          <w:tcPr>
            <w:tcW w:w="996" w:type="dxa"/>
            <w:tcBorders>
              <w:bottom w:val="dotted" w:sz="4" w:space="0" w:color="auto"/>
            </w:tcBorders>
          </w:tcPr>
          <w:p w14:paraId="468AD20E"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(0.723)</w:t>
            </w:r>
          </w:p>
        </w:tc>
      </w:tr>
      <w:tr w:rsidR="00C77FE3" w:rsidRPr="00D86FE3" w14:paraId="34123812" w14:textId="77777777" w:rsidTr="00CC2398">
        <w:tc>
          <w:tcPr>
            <w:tcW w:w="1664" w:type="dxa"/>
            <w:vMerge w:val="restart"/>
            <w:tcBorders>
              <w:top w:val="dotted" w:sz="4" w:space="0" w:color="auto"/>
            </w:tcBorders>
          </w:tcPr>
          <w:p w14:paraId="3506481C" w14:textId="77777777" w:rsidR="00C77FE3" w:rsidRPr="00807795" w:rsidRDefault="00C77FE3" w:rsidP="00CC2398">
            <w:pPr>
              <w:pStyle w:val="Compact"/>
              <w:rPr>
                <w:rFonts w:ascii="Times New Roman" w:hAnsi="Times New Roman" w:cs="Times New Roman"/>
                <w:sz w:val="18"/>
                <w:szCs w:val="18"/>
              </w:rPr>
            </w:pPr>
            <w:r w:rsidRPr="00807795">
              <w:rPr>
                <w:rFonts w:ascii="Times New Roman" w:hAnsi="Times New Roman" w:cs="Times New Roman"/>
                <w:sz w:val="18"/>
                <w:szCs w:val="18"/>
              </w:rPr>
              <w:t>Industry demand growth</w:t>
            </w:r>
          </w:p>
        </w:tc>
        <w:tc>
          <w:tcPr>
            <w:tcW w:w="1262" w:type="dxa"/>
            <w:tcBorders>
              <w:top w:val="dotted" w:sz="4" w:space="0" w:color="auto"/>
            </w:tcBorders>
          </w:tcPr>
          <w:p w14:paraId="4D091750"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0.037</w:t>
            </w:r>
          </w:p>
        </w:tc>
        <w:tc>
          <w:tcPr>
            <w:tcW w:w="1034" w:type="dxa"/>
            <w:tcBorders>
              <w:top w:val="dotted" w:sz="4" w:space="0" w:color="auto"/>
            </w:tcBorders>
          </w:tcPr>
          <w:p w14:paraId="70D03A4A"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-0.229***</w:t>
            </w:r>
          </w:p>
        </w:tc>
        <w:tc>
          <w:tcPr>
            <w:tcW w:w="1181" w:type="dxa"/>
            <w:tcBorders>
              <w:top w:val="dotted" w:sz="4" w:space="0" w:color="auto"/>
            </w:tcBorders>
          </w:tcPr>
          <w:p w14:paraId="7F592E1A"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2.135***</w:t>
            </w:r>
          </w:p>
        </w:tc>
        <w:tc>
          <w:tcPr>
            <w:tcW w:w="988" w:type="dxa"/>
            <w:tcBorders>
              <w:top w:val="dotted" w:sz="4" w:space="0" w:color="auto"/>
            </w:tcBorders>
          </w:tcPr>
          <w:p w14:paraId="1B4A9A00"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4.213***</w:t>
            </w:r>
          </w:p>
        </w:tc>
        <w:tc>
          <w:tcPr>
            <w:tcW w:w="1001" w:type="dxa"/>
            <w:tcBorders>
              <w:top w:val="dotted" w:sz="4" w:space="0" w:color="auto"/>
            </w:tcBorders>
          </w:tcPr>
          <w:p w14:paraId="1802C3E6"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0.085***</w:t>
            </w:r>
          </w:p>
        </w:tc>
        <w:tc>
          <w:tcPr>
            <w:tcW w:w="1076" w:type="dxa"/>
            <w:tcBorders>
              <w:top w:val="dotted" w:sz="4" w:space="0" w:color="auto"/>
            </w:tcBorders>
          </w:tcPr>
          <w:p w14:paraId="3D22167D"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4.554***</w:t>
            </w:r>
          </w:p>
        </w:tc>
        <w:tc>
          <w:tcPr>
            <w:tcW w:w="1079" w:type="dxa"/>
            <w:tcBorders>
              <w:top w:val="dotted" w:sz="4" w:space="0" w:color="auto"/>
            </w:tcBorders>
          </w:tcPr>
          <w:p w14:paraId="5FC57B45"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-4.504***</w:t>
            </w:r>
          </w:p>
        </w:tc>
        <w:tc>
          <w:tcPr>
            <w:tcW w:w="997" w:type="dxa"/>
            <w:tcBorders>
              <w:top w:val="dotted" w:sz="4" w:space="0" w:color="auto"/>
            </w:tcBorders>
          </w:tcPr>
          <w:p w14:paraId="3616F94F"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-0.001</w:t>
            </w:r>
          </w:p>
        </w:tc>
        <w:tc>
          <w:tcPr>
            <w:tcW w:w="1081" w:type="dxa"/>
            <w:tcBorders>
              <w:top w:val="dotted" w:sz="4" w:space="0" w:color="auto"/>
            </w:tcBorders>
          </w:tcPr>
          <w:p w14:paraId="2A670D1D"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-0.200*</w:t>
            </w:r>
          </w:p>
        </w:tc>
        <w:tc>
          <w:tcPr>
            <w:tcW w:w="1260" w:type="dxa"/>
            <w:tcBorders>
              <w:top w:val="dotted" w:sz="4" w:space="0" w:color="auto"/>
            </w:tcBorders>
          </w:tcPr>
          <w:p w14:paraId="4E6EDAF7"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-0.014***</w:t>
            </w:r>
          </w:p>
        </w:tc>
        <w:tc>
          <w:tcPr>
            <w:tcW w:w="995" w:type="dxa"/>
            <w:tcBorders>
              <w:top w:val="dotted" w:sz="4" w:space="0" w:color="auto"/>
            </w:tcBorders>
          </w:tcPr>
          <w:p w14:paraId="0DD30FDF"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0.225</w:t>
            </w:r>
          </w:p>
        </w:tc>
        <w:tc>
          <w:tcPr>
            <w:tcW w:w="996" w:type="dxa"/>
            <w:tcBorders>
              <w:top w:val="dotted" w:sz="4" w:space="0" w:color="auto"/>
            </w:tcBorders>
          </w:tcPr>
          <w:p w14:paraId="7514A531"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2.673***</w:t>
            </w:r>
          </w:p>
        </w:tc>
      </w:tr>
      <w:tr w:rsidR="00C77FE3" w:rsidRPr="00D86FE3" w14:paraId="7F288BB0" w14:textId="77777777" w:rsidTr="00CC2398">
        <w:tc>
          <w:tcPr>
            <w:tcW w:w="1664" w:type="dxa"/>
            <w:vMerge/>
            <w:tcBorders>
              <w:bottom w:val="dotted" w:sz="4" w:space="0" w:color="auto"/>
            </w:tcBorders>
          </w:tcPr>
          <w:p w14:paraId="39FDDA57" w14:textId="77777777" w:rsidR="00C77FE3" w:rsidRPr="00807795" w:rsidRDefault="00C77FE3" w:rsidP="00CC2398">
            <w:pPr>
              <w:pStyle w:val="Compact"/>
              <w:rPr>
                <w:rFonts w:ascii="Times New Roman" w:hAnsi="Times New Roman" w:cs="Times New Roman"/>
                <w:sz w:val="18"/>
                <w:szCs w:val="18"/>
              </w:rPr>
            </w:pPr>
          </w:p>
        </w:tc>
        <w:tc>
          <w:tcPr>
            <w:tcW w:w="1262" w:type="dxa"/>
            <w:tcBorders>
              <w:bottom w:val="dotted" w:sz="4" w:space="0" w:color="auto"/>
            </w:tcBorders>
          </w:tcPr>
          <w:p w14:paraId="5AAE003D"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(0.025)</w:t>
            </w:r>
          </w:p>
        </w:tc>
        <w:tc>
          <w:tcPr>
            <w:tcW w:w="1034" w:type="dxa"/>
            <w:tcBorders>
              <w:bottom w:val="dotted" w:sz="4" w:space="0" w:color="auto"/>
            </w:tcBorders>
          </w:tcPr>
          <w:p w14:paraId="604C0CAF"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(0.034)</w:t>
            </w:r>
          </w:p>
        </w:tc>
        <w:tc>
          <w:tcPr>
            <w:tcW w:w="1181" w:type="dxa"/>
            <w:tcBorders>
              <w:bottom w:val="dotted" w:sz="4" w:space="0" w:color="auto"/>
            </w:tcBorders>
          </w:tcPr>
          <w:p w14:paraId="608F7E53"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(0.078)</w:t>
            </w:r>
          </w:p>
        </w:tc>
        <w:tc>
          <w:tcPr>
            <w:tcW w:w="988" w:type="dxa"/>
            <w:tcBorders>
              <w:bottom w:val="dotted" w:sz="4" w:space="0" w:color="auto"/>
            </w:tcBorders>
          </w:tcPr>
          <w:p w14:paraId="7BEE0D71"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(0.495)</w:t>
            </w:r>
          </w:p>
        </w:tc>
        <w:tc>
          <w:tcPr>
            <w:tcW w:w="1001" w:type="dxa"/>
            <w:tcBorders>
              <w:bottom w:val="dotted" w:sz="4" w:space="0" w:color="auto"/>
            </w:tcBorders>
          </w:tcPr>
          <w:p w14:paraId="76869957"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(0.005)</w:t>
            </w:r>
          </w:p>
        </w:tc>
        <w:tc>
          <w:tcPr>
            <w:tcW w:w="1076" w:type="dxa"/>
            <w:tcBorders>
              <w:bottom w:val="dotted" w:sz="4" w:space="0" w:color="auto"/>
            </w:tcBorders>
          </w:tcPr>
          <w:p w14:paraId="24B59106"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(0.633)</w:t>
            </w:r>
          </w:p>
        </w:tc>
        <w:tc>
          <w:tcPr>
            <w:tcW w:w="1079" w:type="dxa"/>
            <w:tcBorders>
              <w:bottom w:val="dotted" w:sz="4" w:space="0" w:color="auto"/>
            </w:tcBorders>
          </w:tcPr>
          <w:p w14:paraId="648954BD"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(1.250)</w:t>
            </w:r>
          </w:p>
        </w:tc>
        <w:tc>
          <w:tcPr>
            <w:tcW w:w="997" w:type="dxa"/>
            <w:tcBorders>
              <w:bottom w:val="dotted" w:sz="4" w:space="0" w:color="auto"/>
            </w:tcBorders>
          </w:tcPr>
          <w:p w14:paraId="0384D465"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(0.002)</w:t>
            </w:r>
          </w:p>
        </w:tc>
        <w:tc>
          <w:tcPr>
            <w:tcW w:w="1081" w:type="dxa"/>
            <w:tcBorders>
              <w:bottom w:val="dotted" w:sz="4" w:space="0" w:color="auto"/>
            </w:tcBorders>
          </w:tcPr>
          <w:p w14:paraId="19D4D23A"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(0.105)</w:t>
            </w:r>
          </w:p>
        </w:tc>
        <w:tc>
          <w:tcPr>
            <w:tcW w:w="1260" w:type="dxa"/>
            <w:tcBorders>
              <w:bottom w:val="dotted" w:sz="4" w:space="0" w:color="auto"/>
            </w:tcBorders>
          </w:tcPr>
          <w:p w14:paraId="1491C301"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(0.003)</w:t>
            </w:r>
          </w:p>
        </w:tc>
        <w:tc>
          <w:tcPr>
            <w:tcW w:w="995" w:type="dxa"/>
            <w:tcBorders>
              <w:bottom w:val="dotted" w:sz="4" w:space="0" w:color="auto"/>
            </w:tcBorders>
          </w:tcPr>
          <w:p w14:paraId="36F2BF3A"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(0.404)</w:t>
            </w:r>
          </w:p>
        </w:tc>
        <w:tc>
          <w:tcPr>
            <w:tcW w:w="996" w:type="dxa"/>
            <w:tcBorders>
              <w:bottom w:val="dotted" w:sz="4" w:space="0" w:color="auto"/>
            </w:tcBorders>
          </w:tcPr>
          <w:p w14:paraId="199EE0F3"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(0.223)</w:t>
            </w:r>
          </w:p>
        </w:tc>
      </w:tr>
      <w:tr w:rsidR="00C77FE3" w:rsidRPr="00D86FE3" w14:paraId="01DC5E70" w14:textId="77777777" w:rsidTr="00CC2398">
        <w:tc>
          <w:tcPr>
            <w:tcW w:w="1664" w:type="dxa"/>
            <w:vMerge w:val="restart"/>
            <w:tcBorders>
              <w:top w:val="dotted" w:sz="4" w:space="0" w:color="auto"/>
            </w:tcBorders>
          </w:tcPr>
          <w:p w14:paraId="5183CEBB" w14:textId="77777777" w:rsidR="00C77FE3" w:rsidRPr="00807795" w:rsidRDefault="00C77FE3" w:rsidP="00CC2398">
            <w:pPr>
              <w:pStyle w:val="Compact"/>
              <w:rPr>
                <w:rFonts w:ascii="Times New Roman" w:hAnsi="Times New Roman" w:cs="Times New Roman"/>
                <w:sz w:val="18"/>
                <w:szCs w:val="18"/>
              </w:rPr>
            </w:pPr>
            <w:r w:rsidRPr="00807795">
              <w:rPr>
                <w:rFonts w:ascii="Times New Roman" w:hAnsi="Times New Roman" w:cs="Times New Roman"/>
                <w:sz w:val="18"/>
                <w:szCs w:val="18"/>
              </w:rPr>
              <w:t>Financial leverage</w:t>
            </w:r>
          </w:p>
          <w:p w14:paraId="489EB612" w14:textId="77777777" w:rsidR="00C77FE3" w:rsidRPr="00807795" w:rsidRDefault="00C77FE3" w:rsidP="00CC2398">
            <w:pPr>
              <w:pStyle w:val="Compact"/>
              <w:rPr>
                <w:rFonts w:ascii="Times New Roman" w:hAnsi="Times New Roman" w:cs="Times New Roman"/>
                <w:sz w:val="18"/>
                <w:szCs w:val="18"/>
              </w:rPr>
            </w:pPr>
          </w:p>
        </w:tc>
        <w:tc>
          <w:tcPr>
            <w:tcW w:w="1262" w:type="dxa"/>
            <w:tcBorders>
              <w:top w:val="dotted" w:sz="4" w:space="0" w:color="auto"/>
            </w:tcBorders>
          </w:tcPr>
          <w:p w14:paraId="0BBBBE16"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-0.019***</w:t>
            </w:r>
          </w:p>
        </w:tc>
        <w:tc>
          <w:tcPr>
            <w:tcW w:w="1034" w:type="dxa"/>
            <w:tcBorders>
              <w:top w:val="dotted" w:sz="4" w:space="0" w:color="auto"/>
            </w:tcBorders>
          </w:tcPr>
          <w:p w14:paraId="3C781AE6"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0.063***</w:t>
            </w:r>
          </w:p>
        </w:tc>
        <w:tc>
          <w:tcPr>
            <w:tcW w:w="1181" w:type="dxa"/>
            <w:tcBorders>
              <w:top w:val="dotted" w:sz="4" w:space="0" w:color="auto"/>
            </w:tcBorders>
          </w:tcPr>
          <w:p w14:paraId="66ACB947"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-0.229***</w:t>
            </w:r>
          </w:p>
        </w:tc>
        <w:tc>
          <w:tcPr>
            <w:tcW w:w="988" w:type="dxa"/>
            <w:tcBorders>
              <w:top w:val="dotted" w:sz="4" w:space="0" w:color="auto"/>
            </w:tcBorders>
          </w:tcPr>
          <w:p w14:paraId="0B4CBCD3"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-0.147</w:t>
            </w:r>
          </w:p>
        </w:tc>
        <w:tc>
          <w:tcPr>
            <w:tcW w:w="1001" w:type="dxa"/>
            <w:tcBorders>
              <w:top w:val="dotted" w:sz="4" w:space="0" w:color="auto"/>
            </w:tcBorders>
          </w:tcPr>
          <w:p w14:paraId="19F4B0F0"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-0.001</w:t>
            </w:r>
          </w:p>
        </w:tc>
        <w:tc>
          <w:tcPr>
            <w:tcW w:w="1076" w:type="dxa"/>
            <w:tcBorders>
              <w:top w:val="dotted" w:sz="4" w:space="0" w:color="auto"/>
            </w:tcBorders>
          </w:tcPr>
          <w:p w14:paraId="5B34A933"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-0.279**</w:t>
            </w:r>
          </w:p>
        </w:tc>
        <w:tc>
          <w:tcPr>
            <w:tcW w:w="1079" w:type="dxa"/>
            <w:tcBorders>
              <w:top w:val="dotted" w:sz="4" w:space="0" w:color="auto"/>
            </w:tcBorders>
          </w:tcPr>
          <w:p w14:paraId="0E4BE458"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0.576***</w:t>
            </w:r>
          </w:p>
        </w:tc>
        <w:tc>
          <w:tcPr>
            <w:tcW w:w="997" w:type="dxa"/>
            <w:tcBorders>
              <w:top w:val="dotted" w:sz="4" w:space="0" w:color="auto"/>
            </w:tcBorders>
          </w:tcPr>
          <w:p w14:paraId="1083BD24"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-0.003***</w:t>
            </w:r>
          </w:p>
        </w:tc>
        <w:tc>
          <w:tcPr>
            <w:tcW w:w="1081" w:type="dxa"/>
            <w:tcBorders>
              <w:top w:val="dotted" w:sz="4" w:space="0" w:color="auto"/>
            </w:tcBorders>
          </w:tcPr>
          <w:p w14:paraId="28FBD842"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0.095***</w:t>
            </w:r>
          </w:p>
        </w:tc>
        <w:tc>
          <w:tcPr>
            <w:tcW w:w="1260" w:type="dxa"/>
            <w:tcBorders>
              <w:top w:val="dotted" w:sz="4" w:space="0" w:color="auto"/>
            </w:tcBorders>
          </w:tcPr>
          <w:p w14:paraId="60A42F12"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0.006***</w:t>
            </w:r>
          </w:p>
        </w:tc>
        <w:tc>
          <w:tcPr>
            <w:tcW w:w="995" w:type="dxa"/>
            <w:tcBorders>
              <w:top w:val="dotted" w:sz="4" w:space="0" w:color="auto"/>
            </w:tcBorders>
          </w:tcPr>
          <w:p w14:paraId="15AEB03D"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-0.118*</w:t>
            </w:r>
          </w:p>
        </w:tc>
        <w:tc>
          <w:tcPr>
            <w:tcW w:w="996" w:type="dxa"/>
            <w:tcBorders>
              <w:top w:val="dotted" w:sz="4" w:space="0" w:color="auto"/>
            </w:tcBorders>
          </w:tcPr>
          <w:p w14:paraId="69ABE0CF"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0.621***</w:t>
            </w:r>
          </w:p>
        </w:tc>
      </w:tr>
      <w:tr w:rsidR="00C77FE3" w:rsidRPr="00D86FE3" w14:paraId="1C240755" w14:textId="77777777" w:rsidTr="00CC2398">
        <w:tc>
          <w:tcPr>
            <w:tcW w:w="1664" w:type="dxa"/>
            <w:vMerge/>
            <w:tcBorders>
              <w:bottom w:val="dotted" w:sz="4" w:space="0" w:color="auto"/>
            </w:tcBorders>
          </w:tcPr>
          <w:p w14:paraId="7E1F9E1D" w14:textId="77777777" w:rsidR="00C77FE3" w:rsidRPr="00807795" w:rsidRDefault="00C77FE3" w:rsidP="00CC2398">
            <w:pPr>
              <w:pStyle w:val="Compact"/>
              <w:rPr>
                <w:rFonts w:ascii="Times New Roman" w:hAnsi="Times New Roman" w:cs="Times New Roman"/>
                <w:sz w:val="18"/>
                <w:szCs w:val="18"/>
              </w:rPr>
            </w:pPr>
          </w:p>
        </w:tc>
        <w:tc>
          <w:tcPr>
            <w:tcW w:w="1262" w:type="dxa"/>
            <w:tcBorders>
              <w:bottom w:val="dotted" w:sz="4" w:space="0" w:color="auto"/>
            </w:tcBorders>
          </w:tcPr>
          <w:p w14:paraId="1E01BDEB"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(0.006)</w:t>
            </w:r>
          </w:p>
        </w:tc>
        <w:tc>
          <w:tcPr>
            <w:tcW w:w="1034" w:type="dxa"/>
            <w:tcBorders>
              <w:bottom w:val="dotted" w:sz="4" w:space="0" w:color="auto"/>
            </w:tcBorders>
          </w:tcPr>
          <w:p w14:paraId="43DFA2AF"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(0.008)</w:t>
            </w:r>
          </w:p>
        </w:tc>
        <w:tc>
          <w:tcPr>
            <w:tcW w:w="1181" w:type="dxa"/>
            <w:tcBorders>
              <w:bottom w:val="dotted" w:sz="4" w:space="0" w:color="auto"/>
            </w:tcBorders>
          </w:tcPr>
          <w:p w14:paraId="7570E3E5"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(0.019)</w:t>
            </w:r>
          </w:p>
        </w:tc>
        <w:tc>
          <w:tcPr>
            <w:tcW w:w="988" w:type="dxa"/>
            <w:tcBorders>
              <w:bottom w:val="dotted" w:sz="4" w:space="0" w:color="auto"/>
            </w:tcBorders>
          </w:tcPr>
          <w:p w14:paraId="06E3BD9C"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(0.104)</w:t>
            </w:r>
          </w:p>
        </w:tc>
        <w:tc>
          <w:tcPr>
            <w:tcW w:w="1001" w:type="dxa"/>
            <w:tcBorders>
              <w:bottom w:val="dotted" w:sz="4" w:space="0" w:color="auto"/>
            </w:tcBorders>
          </w:tcPr>
          <w:p w14:paraId="69EDAF0F"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(0.001)</w:t>
            </w:r>
          </w:p>
        </w:tc>
        <w:tc>
          <w:tcPr>
            <w:tcW w:w="1076" w:type="dxa"/>
            <w:tcBorders>
              <w:bottom w:val="dotted" w:sz="4" w:space="0" w:color="auto"/>
            </w:tcBorders>
          </w:tcPr>
          <w:p w14:paraId="5E61C4CA"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(0.131)</w:t>
            </w:r>
          </w:p>
        </w:tc>
        <w:tc>
          <w:tcPr>
            <w:tcW w:w="1079" w:type="dxa"/>
            <w:tcBorders>
              <w:bottom w:val="dotted" w:sz="4" w:space="0" w:color="auto"/>
            </w:tcBorders>
          </w:tcPr>
          <w:p w14:paraId="67C75A43"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(0.196)</w:t>
            </w:r>
          </w:p>
        </w:tc>
        <w:tc>
          <w:tcPr>
            <w:tcW w:w="997" w:type="dxa"/>
            <w:tcBorders>
              <w:bottom w:val="dotted" w:sz="4" w:space="0" w:color="auto"/>
            </w:tcBorders>
          </w:tcPr>
          <w:p w14:paraId="65DEB738"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(0.000)</w:t>
            </w:r>
          </w:p>
        </w:tc>
        <w:tc>
          <w:tcPr>
            <w:tcW w:w="1081" w:type="dxa"/>
            <w:tcBorders>
              <w:bottom w:val="dotted" w:sz="4" w:space="0" w:color="auto"/>
            </w:tcBorders>
          </w:tcPr>
          <w:p w14:paraId="2C27DB5A"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(0.023)</w:t>
            </w:r>
          </w:p>
        </w:tc>
        <w:tc>
          <w:tcPr>
            <w:tcW w:w="1260" w:type="dxa"/>
            <w:tcBorders>
              <w:bottom w:val="dotted" w:sz="4" w:space="0" w:color="auto"/>
            </w:tcBorders>
          </w:tcPr>
          <w:p w14:paraId="1016D6C7"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(0.001)</w:t>
            </w:r>
          </w:p>
        </w:tc>
        <w:tc>
          <w:tcPr>
            <w:tcW w:w="995" w:type="dxa"/>
            <w:tcBorders>
              <w:bottom w:val="dotted" w:sz="4" w:space="0" w:color="auto"/>
            </w:tcBorders>
          </w:tcPr>
          <w:p w14:paraId="573A43EB"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(0.071)</w:t>
            </w:r>
          </w:p>
        </w:tc>
        <w:tc>
          <w:tcPr>
            <w:tcW w:w="996" w:type="dxa"/>
            <w:tcBorders>
              <w:bottom w:val="dotted" w:sz="4" w:space="0" w:color="auto"/>
            </w:tcBorders>
          </w:tcPr>
          <w:p w14:paraId="714C6DFA"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(0.052)</w:t>
            </w:r>
          </w:p>
        </w:tc>
      </w:tr>
      <w:tr w:rsidR="00C77FE3" w:rsidRPr="00D86FE3" w14:paraId="1CEE121E" w14:textId="77777777" w:rsidTr="00CC2398">
        <w:tc>
          <w:tcPr>
            <w:tcW w:w="1664" w:type="dxa"/>
            <w:vMerge w:val="restart"/>
            <w:tcBorders>
              <w:top w:val="dotted" w:sz="4" w:space="0" w:color="auto"/>
            </w:tcBorders>
          </w:tcPr>
          <w:p w14:paraId="2D3A16EE" w14:textId="77777777" w:rsidR="00C77FE3" w:rsidRPr="00807795" w:rsidRDefault="00C77FE3" w:rsidP="00CC2398">
            <w:pPr>
              <w:pStyle w:val="Compact"/>
              <w:rPr>
                <w:rFonts w:ascii="Times New Roman" w:hAnsi="Times New Roman" w:cs="Times New Roman"/>
                <w:sz w:val="18"/>
                <w:szCs w:val="18"/>
              </w:rPr>
            </w:pPr>
            <w:r w:rsidRPr="00807795">
              <w:rPr>
                <w:rFonts w:ascii="Times New Roman" w:hAnsi="Times New Roman" w:cs="Times New Roman"/>
                <w:sz w:val="18"/>
                <w:szCs w:val="18"/>
              </w:rPr>
              <w:t>Gaussian copula</w:t>
            </w:r>
          </w:p>
        </w:tc>
        <w:tc>
          <w:tcPr>
            <w:tcW w:w="1262" w:type="dxa"/>
            <w:tcBorders>
              <w:top w:val="dotted" w:sz="4" w:space="0" w:color="auto"/>
            </w:tcBorders>
          </w:tcPr>
          <w:p w14:paraId="288E7424"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0.042***</w:t>
            </w:r>
          </w:p>
        </w:tc>
        <w:tc>
          <w:tcPr>
            <w:tcW w:w="1034" w:type="dxa"/>
            <w:tcBorders>
              <w:top w:val="dotted" w:sz="4" w:space="0" w:color="auto"/>
            </w:tcBorders>
          </w:tcPr>
          <w:p w14:paraId="7C0A4E15"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0.085***</w:t>
            </w:r>
          </w:p>
        </w:tc>
        <w:tc>
          <w:tcPr>
            <w:tcW w:w="1181" w:type="dxa"/>
            <w:tcBorders>
              <w:top w:val="dotted" w:sz="4" w:space="0" w:color="auto"/>
            </w:tcBorders>
          </w:tcPr>
          <w:p w14:paraId="326286FF"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-0.078***</w:t>
            </w:r>
          </w:p>
        </w:tc>
        <w:tc>
          <w:tcPr>
            <w:tcW w:w="988" w:type="dxa"/>
            <w:tcBorders>
              <w:top w:val="dotted" w:sz="4" w:space="0" w:color="auto"/>
            </w:tcBorders>
          </w:tcPr>
          <w:p w14:paraId="08E1B8C9"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-0.031</w:t>
            </w:r>
          </w:p>
        </w:tc>
        <w:tc>
          <w:tcPr>
            <w:tcW w:w="1001" w:type="dxa"/>
            <w:tcBorders>
              <w:top w:val="dotted" w:sz="4" w:space="0" w:color="auto"/>
            </w:tcBorders>
          </w:tcPr>
          <w:p w14:paraId="567AA9D2"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-0.003***</w:t>
            </w:r>
          </w:p>
        </w:tc>
        <w:tc>
          <w:tcPr>
            <w:tcW w:w="1076" w:type="dxa"/>
            <w:tcBorders>
              <w:top w:val="dotted" w:sz="4" w:space="0" w:color="auto"/>
            </w:tcBorders>
          </w:tcPr>
          <w:p w14:paraId="3AD1BCF9"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-0.030</w:t>
            </w:r>
          </w:p>
        </w:tc>
        <w:tc>
          <w:tcPr>
            <w:tcW w:w="1079" w:type="dxa"/>
            <w:tcBorders>
              <w:top w:val="dotted" w:sz="4" w:space="0" w:color="auto"/>
            </w:tcBorders>
          </w:tcPr>
          <w:p w14:paraId="1B4B7493"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-0.022</w:t>
            </w:r>
          </w:p>
        </w:tc>
        <w:tc>
          <w:tcPr>
            <w:tcW w:w="997" w:type="dxa"/>
            <w:tcBorders>
              <w:top w:val="dotted" w:sz="4" w:space="0" w:color="auto"/>
            </w:tcBorders>
          </w:tcPr>
          <w:p w14:paraId="38C3F642"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-0.001***</w:t>
            </w:r>
          </w:p>
        </w:tc>
        <w:tc>
          <w:tcPr>
            <w:tcW w:w="1081" w:type="dxa"/>
            <w:tcBorders>
              <w:top w:val="dotted" w:sz="4" w:space="0" w:color="auto"/>
            </w:tcBorders>
          </w:tcPr>
          <w:p w14:paraId="50CB070F"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0.015***</w:t>
            </w:r>
          </w:p>
        </w:tc>
        <w:tc>
          <w:tcPr>
            <w:tcW w:w="1260" w:type="dxa"/>
            <w:tcBorders>
              <w:top w:val="dotted" w:sz="4" w:space="0" w:color="auto"/>
            </w:tcBorders>
          </w:tcPr>
          <w:p w14:paraId="17DAB66C"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-0.000*</w:t>
            </w:r>
          </w:p>
        </w:tc>
        <w:tc>
          <w:tcPr>
            <w:tcW w:w="995" w:type="dxa"/>
            <w:tcBorders>
              <w:top w:val="dotted" w:sz="4" w:space="0" w:color="auto"/>
            </w:tcBorders>
          </w:tcPr>
          <w:p w14:paraId="3C951D42"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-0.001</w:t>
            </w:r>
          </w:p>
        </w:tc>
        <w:tc>
          <w:tcPr>
            <w:tcW w:w="996" w:type="dxa"/>
            <w:tcBorders>
              <w:top w:val="dotted" w:sz="4" w:space="0" w:color="auto"/>
            </w:tcBorders>
          </w:tcPr>
          <w:p w14:paraId="3F904684"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-0.113***</w:t>
            </w:r>
          </w:p>
        </w:tc>
      </w:tr>
      <w:tr w:rsidR="00C77FE3" w:rsidRPr="00D86FE3" w14:paraId="11D4E71C" w14:textId="77777777" w:rsidTr="00CC2398">
        <w:tc>
          <w:tcPr>
            <w:tcW w:w="1664" w:type="dxa"/>
            <w:vMerge/>
            <w:tcBorders>
              <w:bottom w:val="dotted" w:sz="4" w:space="0" w:color="auto"/>
            </w:tcBorders>
          </w:tcPr>
          <w:p w14:paraId="7439CC68" w14:textId="77777777" w:rsidR="00C77FE3" w:rsidRPr="00807795" w:rsidRDefault="00C77FE3" w:rsidP="00CC2398">
            <w:pPr>
              <w:pStyle w:val="Compact"/>
              <w:rPr>
                <w:rFonts w:ascii="Times New Roman" w:hAnsi="Times New Roman" w:cs="Times New Roman"/>
                <w:sz w:val="18"/>
                <w:szCs w:val="18"/>
              </w:rPr>
            </w:pPr>
          </w:p>
        </w:tc>
        <w:tc>
          <w:tcPr>
            <w:tcW w:w="1262" w:type="dxa"/>
            <w:tcBorders>
              <w:bottom w:val="dotted" w:sz="4" w:space="0" w:color="auto"/>
            </w:tcBorders>
          </w:tcPr>
          <w:p w14:paraId="6863A4DE" w14:textId="77777777" w:rsidR="00C77FE3" w:rsidRPr="00807795" w:rsidRDefault="00C77FE3" w:rsidP="00CC2398">
            <w:pPr>
              <w:pStyle w:val="Compact"/>
              <w:tabs>
                <w:tab w:val="decimal" w:pos="301"/>
              </w:tabs>
              <w:rPr>
                <w:rFonts w:ascii="Times New Roman" w:hAnsi="Times New Roman" w:cs="Times New Roman"/>
                <w:sz w:val="18"/>
                <w:szCs w:val="18"/>
              </w:rPr>
            </w:pPr>
            <w:r w:rsidRPr="00807795">
              <w:rPr>
                <w:rFonts w:ascii="Times New Roman" w:hAnsi="Times New Roman" w:cs="Times New Roman"/>
                <w:sz w:val="18"/>
                <w:szCs w:val="18"/>
              </w:rPr>
              <w:t>(0.001)</w:t>
            </w:r>
          </w:p>
        </w:tc>
        <w:tc>
          <w:tcPr>
            <w:tcW w:w="1034" w:type="dxa"/>
            <w:tcBorders>
              <w:bottom w:val="dotted" w:sz="4" w:space="0" w:color="auto"/>
            </w:tcBorders>
          </w:tcPr>
          <w:p w14:paraId="51B8D8DA" w14:textId="77777777" w:rsidR="00C77FE3" w:rsidRPr="00807795" w:rsidRDefault="00C77FE3" w:rsidP="00CC2398">
            <w:pPr>
              <w:pStyle w:val="Compact"/>
              <w:tabs>
                <w:tab w:val="decimal" w:pos="296"/>
              </w:tabs>
              <w:rPr>
                <w:rFonts w:ascii="Times New Roman" w:hAnsi="Times New Roman" w:cs="Times New Roman"/>
                <w:sz w:val="18"/>
                <w:szCs w:val="18"/>
              </w:rPr>
            </w:pPr>
            <w:r w:rsidRPr="00807795">
              <w:rPr>
                <w:rFonts w:ascii="Times New Roman" w:hAnsi="Times New Roman" w:cs="Times New Roman"/>
                <w:sz w:val="18"/>
                <w:szCs w:val="18"/>
              </w:rPr>
              <w:t>(0.002)</w:t>
            </w:r>
          </w:p>
        </w:tc>
        <w:tc>
          <w:tcPr>
            <w:tcW w:w="1181" w:type="dxa"/>
            <w:tcBorders>
              <w:bottom w:val="dotted" w:sz="4" w:space="0" w:color="auto"/>
            </w:tcBorders>
          </w:tcPr>
          <w:p w14:paraId="3B63F4DE" w14:textId="77777777" w:rsidR="00C77FE3" w:rsidRPr="00807795" w:rsidRDefault="00C77FE3" w:rsidP="00CC2398">
            <w:pPr>
              <w:pStyle w:val="Compact"/>
              <w:tabs>
                <w:tab w:val="decimal" w:pos="246"/>
              </w:tabs>
              <w:rPr>
                <w:rFonts w:ascii="Times New Roman" w:hAnsi="Times New Roman" w:cs="Times New Roman"/>
                <w:sz w:val="18"/>
                <w:szCs w:val="18"/>
              </w:rPr>
            </w:pPr>
            <w:r w:rsidRPr="00807795">
              <w:rPr>
                <w:rFonts w:ascii="Times New Roman" w:hAnsi="Times New Roman" w:cs="Times New Roman"/>
                <w:sz w:val="18"/>
                <w:szCs w:val="18"/>
              </w:rPr>
              <w:t>(0.004)</w:t>
            </w:r>
          </w:p>
        </w:tc>
        <w:tc>
          <w:tcPr>
            <w:tcW w:w="988" w:type="dxa"/>
            <w:tcBorders>
              <w:bottom w:val="dotted" w:sz="4" w:space="0" w:color="auto"/>
            </w:tcBorders>
          </w:tcPr>
          <w:p w14:paraId="04B5C20B" w14:textId="77777777" w:rsidR="00C77FE3" w:rsidRPr="00807795" w:rsidRDefault="00C77FE3" w:rsidP="00CC2398">
            <w:pPr>
              <w:pStyle w:val="Compact"/>
              <w:tabs>
                <w:tab w:val="decimal" w:pos="239"/>
              </w:tabs>
              <w:rPr>
                <w:rFonts w:ascii="Times New Roman" w:hAnsi="Times New Roman" w:cs="Times New Roman"/>
                <w:sz w:val="18"/>
                <w:szCs w:val="18"/>
              </w:rPr>
            </w:pPr>
            <w:r w:rsidRPr="00807795">
              <w:rPr>
                <w:rFonts w:ascii="Times New Roman" w:hAnsi="Times New Roman" w:cs="Times New Roman"/>
                <w:sz w:val="18"/>
                <w:szCs w:val="18"/>
              </w:rPr>
              <w:t>(0.023)</w:t>
            </w:r>
          </w:p>
        </w:tc>
        <w:tc>
          <w:tcPr>
            <w:tcW w:w="1001" w:type="dxa"/>
            <w:tcBorders>
              <w:bottom w:val="dotted" w:sz="4" w:space="0" w:color="auto"/>
            </w:tcBorders>
          </w:tcPr>
          <w:p w14:paraId="4BE1C7DC" w14:textId="77777777" w:rsidR="00C77FE3" w:rsidRPr="00807795" w:rsidRDefault="00C77FE3" w:rsidP="00CC2398">
            <w:pPr>
              <w:pStyle w:val="Compact"/>
              <w:tabs>
                <w:tab w:val="decimal" w:pos="240"/>
              </w:tabs>
              <w:rPr>
                <w:rFonts w:ascii="Times New Roman" w:hAnsi="Times New Roman" w:cs="Times New Roman"/>
                <w:sz w:val="18"/>
                <w:szCs w:val="18"/>
              </w:rPr>
            </w:pPr>
            <w:r w:rsidRPr="00807795">
              <w:rPr>
                <w:rFonts w:ascii="Times New Roman" w:hAnsi="Times New Roman" w:cs="Times New Roman"/>
                <w:sz w:val="18"/>
                <w:szCs w:val="18"/>
              </w:rPr>
              <w:t>(0.000)</w:t>
            </w:r>
          </w:p>
        </w:tc>
        <w:tc>
          <w:tcPr>
            <w:tcW w:w="1076" w:type="dxa"/>
            <w:tcBorders>
              <w:bottom w:val="dotted" w:sz="4" w:space="0" w:color="auto"/>
            </w:tcBorders>
          </w:tcPr>
          <w:p w14:paraId="2FBD0EAD" w14:textId="77777777" w:rsidR="00C77FE3" w:rsidRPr="00807795" w:rsidRDefault="00C77FE3" w:rsidP="00CC2398">
            <w:pPr>
              <w:pStyle w:val="Compact"/>
              <w:tabs>
                <w:tab w:val="decimal" w:pos="228"/>
              </w:tabs>
              <w:rPr>
                <w:rFonts w:ascii="Times New Roman" w:hAnsi="Times New Roman" w:cs="Times New Roman"/>
                <w:sz w:val="18"/>
                <w:szCs w:val="18"/>
              </w:rPr>
            </w:pPr>
            <w:r w:rsidRPr="00807795">
              <w:rPr>
                <w:rFonts w:ascii="Times New Roman" w:hAnsi="Times New Roman" w:cs="Times New Roman"/>
                <w:sz w:val="18"/>
                <w:szCs w:val="18"/>
              </w:rPr>
              <w:t>(0.030)</w:t>
            </w:r>
          </w:p>
        </w:tc>
        <w:tc>
          <w:tcPr>
            <w:tcW w:w="1079" w:type="dxa"/>
            <w:tcBorders>
              <w:bottom w:val="dotted" w:sz="4" w:space="0" w:color="auto"/>
            </w:tcBorders>
          </w:tcPr>
          <w:p w14:paraId="02E8CED4" w14:textId="77777777" w:rsidR="00C77FE3" w:rsidRPr="00807795" w:rsidRDefault="00C77FE3" w:rsidP="00CC2398">
            <w:pPr>
              <w:pStyle w:val="Compact"/>
              <w:tabs>
                <w:tab w:val="decimal" w:pos="231"/>
              </w:tabs>
              <w:rPr>
                <w:rFonts w:ascii="Times New Roman" w:hAnsi="Times New Roman" w:cs="Times New Roman"/>
                <w:sz w:val="18"/>
                <w:szCs w:val="18"/>
              </w:rPr>
            </w:pPr>
            <w:r w:rsidRPr="00807795">
              <w:rPr>
                <w:rFonts w:ascii="Times New Roman" w:hAnsi="Times New Roman" w:cs="Times New Roman"/>
                <w:sz w:val="18"/>
                <w:szCs w:val="18"/>
              </w:rPr>
              <w:t>(0.043)</w:t>
            </w:r>
          </w:p>
        </w:tc>
        <w:tc>
          <w:tcPr>
            <w:tcW w:w="997" w:type="dxa"/>
            <w:tcBorders>
              <w:bottom w:val="dotted" w:sz="4" w:space="0" w:color="auto"/>
            </w:tcBorders>
          </w:tcPr>
          <w:p w14:paraId="38535589"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(0.000)</w:t>
            </w:r>
          </w:p>
        </w:tc>
        <w:tc>
          <w:tcPr>
            <w:tcW w:w="1081" w:type="dxa"/>
            <w:tcBorders>
              <w:bottom w:val="dotted" w:sz="4" w:space="0" w:color="auto"/>
            </w:tcBorders>
          </w:tcPr>
          <w:p w14:paraId="70053D4A" w14:textId="77777777" w:rsidR="00C77FE3" w:rsidRPr="00807795" w:rsidRDefault="00C77FE3" w:rsidP="00CC2398">
            <w:pPr>
              <w:pStyle w:val="Compact"/>
              <w:tabs>
                <w:tab w:val="decimal" w:pos="236"/>
              </w:tabs>
              <w:rPr>
                <w:rFonts w:ascii="Times New Roman" w:hAnsi="Times New Roman" w:cs="Times New Roman"/>
                <w:sz w:val="18"/>
                <w:szCs w:val="18"/>
              </w:rPr>
            </w:pPr>
            <w:r w:rsidRPr="00807795">
              <w:rPr>
                <w:rFonts w:ascii="Times New Roman" w:hAnsi="Times New Roman" w:cs="Times New Roman"/>
                <w:sz w:val="18"/>
                <w:szCs w:val="18"/>
              </w:rPr>
              <w:t>(0.005)</w:t>
            </w:r>
          </w:p>
        </w:tc>
        <w:tc>
          <w:tcPr>
            <w:tcW w:w="1260" w:type="dxa"/>
            <w:tcBorders>
              <w:bottom w:val="dotted" w:sz="4" w:space="0" w:color="auto"/>
            </w:tcBorders>
          </w:tcPr>
          <w:p w14:paraId="140D2C88" w14:textId="77777777" w:rsidR="00C77FE3" w:rsidRPr="00807795" w:rsidRDefault="00C77FE3" w:rsidP="00CC2398">
            <w:pPr>
              <w:pStyle w:val="Compact"/>
              <w:tabs>
                <w:tab w:val="decimal" w:pos="316"/>
              </w:tabs>
              <w:rPr>
                <w:rFonts w:ascii="Times New Roman" w:hAnsi="Times New Roman" w:cs="Times New Roman"/>
                <w:sz w:val="18"/>
                <w:szCs w:val="18"/>
              </w:rPr>
            </w:pPr>
            <w:r w:rsidRPr="00807795">
              <w:rPr>
                <w:rFonts w:ascii="Times New Roman" w:hAnsi="Times New Roman" w:cs="Times New Roman"/>
                <w:sz w:val="18"/>
                <w:szCs w:val="18"/>
              </w:rPr>
              <w:t>(0.000)</w:t>
            </w:r>
          </w:p>
        </w:tc>
        <w:tc>
          <w:tcPr>
            <w:tcW w:w="995" w:type="dxa"/>
            <w:tcBorders>
              <w:bottom w:val="dotted" w:sz="4" w:space="0" w:color="auto"/>
            </w:tcBorders>
          </w:tcPr>
          <w:p w14:paraId="58721F6B"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(0.001)</w:t>
            </w:r>
          </w:p>
        </w:tc>
        <w:tc>
          <w:tcPr>
            <w:tcW w:w="996" w:type="dxa"/>
            <w:tcBorders>
              <w:bottom w:val="dotted" w:sz="4" w:space="0" w:color="auto"/>
            </w:tcBorders>
          </w:tcPr>
          <w:p w14:paraId="2D2C26B0"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(0.011)</w:t>
            </w:r>
          </w:p>
        </w:tc>
      </w:tr>
      <w:tr w:rsidR="00C77FE3" w:rsidRPr="00D86FE3" w14:paraId="642F00C5" w14:textId="77777777" w:rsidTr="00CC2398">
        <w:tc>
          <w:tcPr>
            <w:tcW w:w="1664" w:type="dxa"/>
            <w:tcBorders>
              <w:top w:val="dotted" w:sz="4" w:space="0" w:color="auto"/>
            </w:tcBorders>
          </w:tcPr>
          <w:p w14:paraId="2FB2E75A" w14:textId="77777777" w:rsidR="00C77FE3" w:rsidRPr="00807795" w:rsidRDefault="00C77FE3" w:rsidP="00CC2398">
            <w:pPr>
              <w:pStyle w:val="Compact"/>
              <w:rPr>
                <w:rFonts w:ascii="Times New Roman" w:hAnsi="Times New Roman" w:cs="Times New Roman"/>
                <w:sz w:val="18"/>
                <w:szCs w:val="18"/>
              </w:rPr>
            </w:pPr>
            <w:r w:rsidRPr="00807795">
              <w:rPr>
                <w:rFonts w:ascii="Times New Roman" w:hAnsi="Times New Roman" w:cs="Times New Roman"/>
                <w:sz w:val="18"/>
                <w:szCs w:val="18"/>
              </w:rPr>
              <w:t>Profit margin</w:t>
            </w:r>
          </w:p>
        </w:tc>
        <w:tc>
          <w:tcPr>
            <w:tcW w:w="1262" w:type="dxa"/>
            <w:tcBorders>
              <w:top w:val="dotted" w:sz="4" w:space="0" w:color="auto"/>
            </w:tcBorders>
          </w:tcPr>
          <w:p w14:paraId="7D623ACA" w14:textId="77777777" w:rsidR="00C77FE3" w:rsidRPr="00807795" w:rsidRDefault="00C77FE3" w:rsidP="00CC2398">
            <w:pPr>
              <w:pStyle w:val="Compact"/>
              <w:rPr>
                <w:rFonts w:ascii="Times New Roman" w:hAnsi="Times New Roman" w:cs="Times New Roman"/>
                <w:sz w:val="18"/>
                <w:szCs w:val="18"/>
              </w:rPr>
            </w:pPr>
          </w:p>
        </w:tc>
        <w:tc>
          <w:tcPr>
            <w:tcW w:w="1034" w:type="dxa"/>
            <w:tcBorders>
              <w:top w:val="dotted" w:sz="4" w:space="0" w:color="auto"/>
            </w:tcBorders>
          </w:tcPr>
          <w:p w14:paraId="3C764215" w14:textId="77777777" w:rsidR="00C77FE3" w:rsidRPr="00807795" w:rsidRDefault="00C77FE3" w:rsidP="00CC2398">
            <w:pPr>
              <w:pStyle w:val="Compact"/>
              <w:rPr>
                <w:rFonts w:ascii="Times New Roman" w:hAnsi="Times New Roman" w:cs="Times New Roman"/>
                <w:sz w:val="18"/>
                <w:szCs w:val="18"/>
              </w:rPr>
            </w:pPr>
          </w:p>
        </w:tc>
        <w:tc>
          <w:tcPr>
            <w:tcW w:w="1181" w:type="dxa"/>
            <w:tcBorders>
              <w:top w:val="dotted" w:sz="4" w:space="0" w:color="auto"/>
            </w:tcBorders>
          </w:tcPr>
          <w:p w14:paraId="1FD1EC48" w14:textId="77777777" w:rsidR="00C77FE3" w:rsidRPr="00807795" w:rsidRDefault="00C77FE3" w:rsidP="00CC2398">
            <w:pPr>
              <w:pStyle w:val="Compact"/>
              <w:rPr>
                <w:rFonts w:ascii="Times New Roman" w:hAnsi="Times New Roman" w:cs="Times New Roman"/>
                <w:sz w:val="18"/>
                <w:szCs w:val="18"/>
              </w:rPr>
            </w:pPr>
          </w:p>
        </w:tc>
        <w:tc>
          <w:tcPr>
            <w:tcW w:w="988" w:type="dxa"/>
            <w:tcBorders>
              <w:top w:val="dotted" w:sz="4" w:space="0" w:color="auto"/>
            </w:tcBorders>
          </w:tcPr>
          <w:p w14:paraId="53625907" w14:textId="77777777" w:rsidR="00C77FE3" w:rsidRPr="00807795" w:rsidRDefault="00C77FE3" w:rsidP="00CC2398">
            <w:pPr>
              <w:pStyle w:val="Compact"/>
              <w:rPr>
                <w:rFonts w:ascii="Times New Roman" w:hAnsi="Times New Roman" w:cs="Times New Roman"/>
                <w:sz w:val="18"/>
                <w:szCs w:val="18"/>
              </w:rPr>
            </w:pPr>
          </w:p>
        </w:tc>
        <w:tc>
          <w:tcPr>
            <w:tcW w:w="1001" w:type="dxa"/>
            <w:tcBorders>
              <w:top w:val="dotted" w:sz="4" w:space="0" w:color="auto"/>
            </w:tcBorders>
          </w:tcPr>
          <w:p w14:paraId="7EFE3755" w14:textId="77777777" w:rsidR="00C77FE3" w:rsidRPr="00807795" w:rsidRDefault="00C77FE3" w:rsidP="00CC2398">
            <w:pPr>
              <w:pStyle w:val="Compact"/>
              <w:rPr>
                <w:rFonts w:ascii="Times New Roman" w:hAnsi="Times New Roman" w:cs="Times New Roman"/>
                <w:sz w:val="18"/>
                <w:szCs w:val="18"/>
              </w:rPr>
            </w:pPr>
          </w:p>
        </w:tc>
        <w:tc>
          <w:tcPr>
            <w:tcW w:w="1076" w:type="dxa"/>
            <w:tcBorders>
              <w:top w:val="dotted" w:sz="4" w:space="0" w:color="auto"/>
            </w:tcBorders>
          </w:tcPr>
          <w:p w14:paraId="799DB741" w14:textId="77777777" w:rsidR="00C77FE3" w:rsidRPr="00807795" w:rsidRDefault="00C77FE3" w:rsidP="00CC2398">
            <w:pPr>
              <w:pStyle w:val="Compact"/>
              <w:rPr>
                <w:rFonts w:ascii="Times New Roman" w:hAnsi="Times New Roman" w:cs="Times New Roman"/>
                <w:sz w:val="18"/>
                <w:szCs w:val="18"/>
              </w:rPr>
            </w:pPr>
          </w:p>
        </w:tc>
        <w:tc>
          <w:tcPr>
            <w:tcW w:w="1079" w:type="dxa"/>
            <w:tcBorders>
              <w:top w:val="dotted" w:sz="4" w:space="0" w:color="auto"/>
            </w:tcBorders>
          </w:tcPr>
          <w:p w14:paraId="328C30B9" w14:textId="77777777" w:rsidR="00C77FE3" w:rsidRPr="00807795" w:rsidRDefault="00C77FE3" w:rsidP="00CC2398">
            <w:pPr>
              <w:pStyle w:val="Compact"/>
              <w:rPr>
                <w:rFonts w:ascii="Times New Roman" w:hAnsi="Times New Roman" w:cs="Times New Roman"/>
                <w:sz w:val="18"/>
                <w:szCs w:val="18"/>
              </w:rPr>
            </w:pPr>
          </w:p>
        </w:tc>
        <w:tc>
          <w:tcPr>
            <w:tcW w:w="997" w:type="dxa"/>
            <w:tcBorders>
              <w:top w:val="dotted" w:sz="4" w:space="0" w:color="auto"/>
            </w:tcBorders>
          </w:tcPr>
          <w:p w14:paraId="473609A4" w14:textId="77777777" w:rsidR="00C77FE3" w:rsidRPr="00807795" w:rsidRDefault="00C77FE3" w:rsidP="00CC2398">
            <w:pPr>
              <w:pStyle w:val="Compact"/>
              <w:rPr>
                <w:rFonts w:ascii="Times New Roman" w:hAnsi="Times New Roman" w:cs="Times New Roman"/>
                <w:sz w:val="18"/>
                <w:szCs w:val="18"/>
              </w:rPr>
            </w:pPr>
          </w:p>
        </w:tc>
        <w:tc>
          <w:tcPr>
            <w:tcW w:w="1081" w:type="dxa"/>
            <w:tcBorders>
              <w:top w:val="dotted" w:sz="4" w:space="0" w:color="auto"/>
            </w:tcBorders>
          </w:tcPr>
          <w:p w14:paraId="7F1CA9A6" w14:textId="77777777" w:rsidR="00C77FE3" w:rsidRPr="00807795" w:rsidRDefault="00C77FE3" w:rsidP="00CC2398">
            <w:pPr>
              <w:pStyle w:val="Compact"/>
              <w:rPr>
                <w:rFonts w:ascii="Times New Roman" w:hAnsi="Times New Roman" w:cs="Times New Roman"/>
                <w:sz w:val="18"/>
                <w:szCs w:val="18"/>
              </w:rPr>
            </w:pPr>
          </w:p>
        </w:tc>
        <w:tc>
          <w:tcPr>
            <w:tcW w:w="1260" w:type="dxa"/>
            <w:tcBorders>
              <w:top w:val="dotted" w:sz="4" w:space="0" w:color="auto"/>
            </w:tcBorders>
          </w:tcPr>
          <w:p w14:paraId="09A533AD" w14:textId="77777777" w:rsidR="00C77FE3" w:rsidRPr="00807795" w:rsidRDefault="00C77FE3" w:rsidP="00CC2398">
            <w:pPr>
              <w:pStyle w:val="Compact"/>
              <w:rPr>
                <w:rFonts w:ascii="Times New Roman" w:hAnsi="Times New Roman" w:cs="Times New Roman"/>
                <w:sz w:val="18"/>
                <w:szCs w:val="18"/>
              </w:rPr>
            </w:pPr>
          </w:p>
        </w:tc>
        <w:tc>
          <w:tcPr>
            <w:tcW w:w="995" w:type="dxa"/>
            <w:tcBorders>
              <w:top w:val="dotted" w:sz="4" w:space="0" w:color="auto"/>
            </w:tcBorders>
          </w:tcPr>
          <w:p w14:paraId="21BC3CC1"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-0.003</w:t>
            </w:r>
          </w:p>
        </w:tc>
        <w:tc>
          <w:tcPr>
            <w:tcW w:w="996" w:type="dxa"/>
            <w:tcBorders>
              <w:top w:val="dotted" w:sz="4" w:space="0" w:color="auto"/>
            </w:tcBorders>
          </w:tcPr>
          <w:p w14:paraId="4D7387D6"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0.011***</w:t>
            </w:r>
          </w:p>
        </w:tc>
      </w:tr>
      <w:tr w:rsidR="00C77FE3" w:rsidRPr="00D86FE3" w14:paraId="52204BFC" w14:textId="77777777" w:rsidTr="00CC2398">
        <w:tc>
          <w:tcPr>
            <w:tcW w:w="1664" w:type="dxa"/>
            <w:tcBorders>
              <w:bottom w:val="dotted" w:sz="4" w:space="0" w:color="auto"/>
            </w:tcBorders>
          </w:tcPr>
          <w:p w14:paraId="7A3D7236" w14:textId="77777777" w:rsidR="00C77FE3" w:rsidRPr="00807795" w:rsidRDefault="00C77FE3" w:rsidP="00CC2398">
            <w:pPr>
              <w:pStyle w:val="Compact"/>
              <w:rPr>
                <w:rFonts w:ascii="Times New Roman" w:hAnsi="Times New Roman" w:cs="Times New Roman"/>
                <w:sz w:val="18"/>
                <w:szCs w:val="18"/>
              </w:rPr>
            </w:pPr>
          </w:p>
        </w:tc>
        <w:tc>
          <w:tcPr>
            <w:tcW w:w="1262" w:type="dxa"/>
            <w:tcBorders>
              <w:bottom w:val="dotted" w:sz="4" w:space="0" w:color="auto"/>
            </w:tcBorders>
          </w:tcPr>
          <w:p w14:paraId="225369FF" w14:textId="77777777" w:rsidR="00C77FE3" w:rsidRPr="00807795" w:rsidRDefault="00C77FE3" w:rsidP="00CC2398">
            <w:pPr>
              <w:pStyle w:val="Compact"/>
              <w:rPr>
                <w:rFonts w:ascii="Times New Roman" w:hAnsi="Times New Roman" w:cs="Times New Roman"/>
                <w:sz w:val="18"/>
                <w:szCs w:val="18"/>
              </w:rPr>
            </w:pPr>
          </w:p>
        </w:tc>
        <w:tc>
          <w:tcPr>
            <w:tcW w:w="1034" w:type="dxa"/>
            <w:tcBorders>
              <w:bottom w:val="dotted" w:sz="4" w:space="0" w:color="auto"/>
            </w:tcBorders>
          </w:tcPr>
          <w:p w14:paraId="75161029" w14:textId="77777777" w:rsidR="00C77FE3" w:rsidRPr="00807795" w:rsidRDefault="00C77FE3" w:rsidP="00CC2398">
            <w:pPr>
              <w:pStyle w:val="Compact"/>
              <w:rPr>
                <w:rFonts w:ascii="Times New Roman" w:hAnsi="Times New Roman" w:cs="Times New Roman"/>
                <w:sz w:val="18"/>
                <w:szCs w:val="18"/>
              </w:rPr>
            </w:pPr>
          </w:p>
        </w:tc>
        <w:tc>
          <w:tcPr>
            <w:tcW w:w="1181" w:type="dxa"/>
            <w:tcBorders>
              <w:bottom w:val="dotted" w:sz="4" w:space="0" w:color="auto"/>
            </w:tcBorders>
          </w:tcPr>
          <w:p w14:paraId="6A76DB65" w14:textId="77777777" w:rsidR="00C77FE3" w:rsidRPr="00807795" w:rsidRDefault="00C77FE3" w:rsidP="00CC2398">
            <w:pPr>
              <w:pStyle w:val="Compact"/>
              <w:rPr>
                <w:rFonts w:ascii="Times New Roman" w:hAnsi="Times New Roman" w:cs="Times New Roman"/>
                <w:sz w:val="18"/>
                <w:szCs w:val="18"/>
              </w:rPr>
            </w:pPr>
          </w:p>
        </w:tc>
        <w:tc>
          <w:tcPr>
            <w:tcW w:w="988" w:type="dxa"/>
            <w:tcBorders>
              <w:bottom w:val="dotted" w:sz="4" w:space="0" w:color="auto"/>
            </w:tcBorders>
          </w:tcPr>
          <w:p w14:paraId="6CCB9E1C" w14:textId="77777777" w:rsidR="00C77FE3" w:rsidRPr="00807795" w:rsidRDefault="00C77FE3" w:rsidP="00CC2398">
            <w:pPr>
              <w:pStyle w:val="Compact"/>
              <w:rPr>
                <w:rFonts w:ascii="Times New Roman" w:hAnsi="Times New Roman" w:cs="Times New Roman"/>
                <w:sz w:val="18"/>
                <w:szCs w:val="18"/>
              </w:rPr>
            </w:pPr>
          </w:p>
        </w:tc>
        <w:tc>
          <w:tcPr>
            <w:tcW w:w="1001" w:type="dxa"/>
            <w:tcBorders>
              <w:bottom w:val="dotted" w:sz="4" w:space="0" w:color="auto"/>
            </w:tcBorders>
          </w:tcPr>
          <w:p w14:paraId="5A7D9201" w14:textId="77777777" w:rsidR="00C77FE3" w:rsidRPr="00807795" w:rsidRDefault="00C77FE3" w:rsidP="00CC2398">
            <w:pPr>
              <w:pStyle w:val="Compact"/>
              <w:rPr>
                <w:rFonts w:ascii="Times New Roman" w:hAnsi="Times New Roman" w:cs="Times New Roman"/>
                <w:sz w:val="18"/>
                <w:szCs w:val="18"/>
              </w:rPr>
            </w:pPr>
          </w:p>
        </w:tc>
        <w:tc>
          <w:tcPr>
            <w:tcW w:w="1076" w:type="dxa"/>
            <w:tcBorders>
              <w:bottom w:val="dotted" w:sz="4" w:space="0" w:color="auto"/>
            </w:tcBorders>
          </w:tcPr>
          <w:p w14:paraId="1E57178B" w14:textId="77777777" w:rsidR="00C77FE3" w:rsidRPr="00807795" w:rsidRDefault="00C77FE3" w:rsidP="00CC2398">
            <w:pPr>
              <w:pStyle w:val="Compact"/>
              <w:rPr>
                <w:rFonts w:ascii="Times New Roman" w:hAnsi="Times New Roman" w:cs="Times New Roman"/>
                <w:sz w:val="18"/>
                <w:szCs w:val="18"/>
              </w:rPr>
            </w:pPr>
          </w:p>
        </w:tc>
        <w:tc>
          <w:tcPr>
            <w:tcW w:w="1079" w:type="dxa"/>
            <w:tcBorders>
              <w:bottom w:val="dotted" w:sz="4" w:space="0" w:color="auto"/>
            </w:tcBorders>
          </w:tcPr>
          <w:p w14:paraId="0E2EE78C" w14:textId="77777777" w:rsidR="00C77FE3" w:rsidRPr="00807795" w:rsidRDefault="00C77FE3" w:rsidP="00CC2398">
            <w:pPr>
              <w:pStyle w:val="Compact"/>
              <w:rPr>
                <w:rFonts w:ascii="Times New Roman" w:hAnsi="Times New Roman" w:cs="Times New Roman"/>
                <w:sz w:val="18"/>
                <w:szCs w:val="18"/>
              </w:rPr>
            </w:pPr>
          </w:p>
        </w:tc>
        <w:tc>
          <w:tcPr>
            <w:tcW w:w="997" w:type="dxa"/>
            <w:tcBorders>
              <w:bottom w:val="dotted" w:sz="4" w:space="0" w:color="auto"/>
            </w:tcBorders>
          </w:tcPr>
          <w:p w14:paraId="3875943E" w14:textId="77777777" w:rsidR="00C77FE3" w:rsidRPr="00807795" w:rsidRDefault="00C77FE3" w:rsidP="00CC2398">
            <w:pPr>
              <w:pStyle w:val="Compact"/>
              <w:rPr>
                <w:rFonts w:ascii="Times New Roman" w:hAnsi="Times New Roman" w:cs="Times New Roman"/>
                <w:sz w:val="18"/>
                <w:szCs w:val="18"/>
              </w:rPr>
            </w:pPr>
          </w:p>
        </w:tc>
        <w:tc>
          <w:tcPr>
            <w:tcW w:w="1081" w:type="dxa"/>
            <w:tcBorders>
              <w:bottom w:val="dotted" w:sz="4" w:space="0" w:color="auto"/>
            </w:tcBorders>
          </w:tcPr>
          <w:p w14:paraId="11C4D2B6" w14:textId="77777777" w:rsidR="00C77FE3" w:rsidRPr="00807795" w:rsidRDefault="00C77FE3" w:rsidP="00CC2398">
            <w:pPr>
              <w:pStyle w:val="Compact"/>
              <w:rPr>
                <w:rFonts w:ascii="Times New Roman" w:hAnsi="Times New Roman" w:cs="Times New Roman"/>
                <w:sz w:val="18"/>
                <w:szCs w:val="18"/>
              </w:rPr>
            </w:pPr>
          </w:p>
        </w:tc>
        <w:tc>
          <w:tcPr>
            <w:tcW w:w="1260" w:type="dxa"/>
            <w:tcBorders>
              <w:bottom w:val="dotted" w:sz="4" w:space="0" w:color="auto"/>
            </w:tcBorders>
          </w:tcPr>
          <w:p w14:paraId="46D44ED5" w14:textId="77777777" w:rsidR="00C77FE3" w:rsidRPr="00807795" w:rsidRDefault="00C77FE3" w:rsidP="00CC2398">
            <w:pPr>
              <w:pStyle w:val="Compact"/>
              <w:rPr>
                <w:rFonts w:ascii="Times New Roman" w:hAnsi="Times New Roman" w:cs="Times New Roman"/>
                <w:sz w:val="18"/>
                <w:szCs w:val="18"/>
              </w:rPr>
            </w:pPr>
          </w:p>
        </w:tc>
        <w:tc>
          <w:tcPr>
            <w:tcW w:w="995" w:type="dxa"/>
            <w:tcBorders>
              <w:bottom w:val="dotted" w:sz="4" w:space="0" w:color="auto"/>
            </w:tcBorders>
          </w:tcPr>
          <w:p w14:paraId="59E11C7E" w14:textId="77777777" w:rsidR="00C77FE3" w:rsidRPr="00807795" w:rsidRDefault="00C77FE3" w:rsidP="00CC2398">
            <w:pPr>
              <w:pStyle w:val="Compact"/>
              <w:tabs>
                <w:tab w:val="decimal" w:pos="234"/>
              </w:tabs>
              <w:rPr>
                <w:rFonts w:ascii="Times New Roman" w:hAnsi="Times New Roman" w:cs="Times New Roman"/>
                <w:sz w:val="18"/>
                <w:szCs w:val="18"/>
              </w:rPr>
            </w:pPr>
            <w:r w:rsidRPr="00807795">
              <w:rPr>
                <w:rFonts w:ascii="Times New Roman" w:hAnsi="Times New Roman" w:cs="Times New Roman"/>
                <w:sz w:val="18"/>
                <w:szCs w:val="18"/>
              </w:rPr>
              <w:t>(0.002)</w:t>
            </w:r>
          </w:p>
        </w:tc>
        <w:tc>
          <w:tcPr>
            <w:tcW w:w="996" w:type="dxa"/>
            <w:tcBorders>
              <w:bottom w:val="dotted" w:sz="4" w:space="0" w:color="auto"/>
            </w:tcBorders>
          </w:tcPr>
          <w:p w14:paraId="2C0EE2D2" w14:textId="77777777" w:rsidR="00C77FE3" w:rsidRPr="00807795" w:rsidRDefault="00C77FE3" w:rsidP="00CC2398">
            <w:pPr>
              <w:pStyle w:val="Compact"/>
              <w:tabs>
                <w:tab w:val="decimal" w:pos="222"/>
              </w:tabs>
              <w:rPr>
                <w:rFonts w:ascii="Times New Roman" w:hAnsi="Times New Roman" w:cs="Times New Roman"/>
                <w:sz w:val="18"/>
                <w:szCs w:val="18"/>
              </w:rPr>
            </w:pPr>
            <w:r w:rsidRPr="00807795">
              <w:rPr>
                <w:rFonts w:ascii="Times New Roman" w:hAnsi="Times New Roman" w:cs="Times New Roman"/>
                <w:sz w:val="18"/>
                <w:szCs w:val="18"/>
              </w:rPr>
              <w:t>(0.003)</w:t>
            </w:r>
          </w:p>
        </w:tc>
      </w:tr>
      <w:tr w:rsidR="00C77FE3" w:rsidRPr="00D86FE3" w14:paraId="5D4FFE5D" w14:textId="77777777" w:rsidTr="00CC2398">
        <w:tc>
          <w:tcPr>
            <w:tcW w:w="1664" w:type="dxa"/>
            <w:tcBorders>
              <w:top w:val="dotted" w:sz="4" w:space="0" w:color="auto"/>
            </w:tcBorders>
          </w:tcPr>
          <w:p w14:paraId="3C0FD724" w14:textId="77777777" w:rsidR="00C77FE3" w:rsidRPr="00807795" w:rsidRDefault="00C77FE3" w:rsidP="00CC2398">
            <w:pPr>
              <w:pStyle w:val="Compact"/>
              <w:widowControl w:val="0"/>
              <w:suppressAutoHyphens/>
              <w:rPr>
                <w:rFonts w:ascii="Times New Roman" w:hAnsi="Times New Roman" w:cs="Times New Roman"/>
                <w:sz w:val="18"/>
                <w:szCs w:val="18"/>
              </w:rPr>
            </w:pPr>
            <w:r w:rsidRPr="00807795">
              <w:rPr>
                <w:rFonts w:ascii="Times New Roman" w:hAnsi="Times New Roman" w:cs="Times New Roman"/>
                <w:sz w:val="18"/>
                <w:szCs w:val="18"/>
              </w:rPr>
              <w:t xml:space="preserve">No. </w:t>
            </w:r>
            <w:r>
              <w:rPr>
                <w:rFonts w:ascii="Times New Roman" w:hAnsi="Times New Roman" w:cs="Times New Roman"/>
                <w:sz w:val="18"/>
                <w:szCs w:val="18"/>
              </w:rPr>
              <w:t>o</w:t>
            </w:r>
            <w:r w:rsidRPr="00807795">
              <w:rPr>
                <w:rFonts w:ascii="Times New Roman" w:hAnsi="Times New Roman" w:cs="Times New Roman"/>
                <w:sz w:val="18"/>
                <w:szCs w:val="18"/>
              </w:rPr>
              <w:t>f obs. (firm-year-quarter)</w:t>
            </w:r>
          </w:p>
        </w:tc>
        <w:tc>
          <w:tcPr>
            <w:tcW w:w="1262" w:type="dxa"/>
            <w:tcBorders>
              <w:top w:val="dotted" w:sz="4" w:space="0" w:color="auto"/>
            </w:tcBorders>
          </w:tcPr>
          <w:p w14:paraId="46BD5CB0"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17,001</w:t>
            </w:r>
          </w:p>
        </w:tc>
        <w:tc>
          <w:tcPr>
            <w:tcW w:w="1034" w:type="dxa"/>
            <w:tcBorders>
              <w:top w:val="dotted" w:sz="4" w:space="0" w:color="auto"/>
            </w:tcBorders>
          </w:tcPr>
          <w:p w14:paraId="6999B941"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12,832</w:t>
            </w:r>
          </w:p>
        </w:tc>
        <w:tc>
          <w:tcPr>
            <w:tcW w:w="1181" w:type="dxa"/>
            <w:tcBorders>
              <w:top w:val="dotted" w:sz="4" w:space="0" w:color="auto"/>
            </w:tcBorders>
          </w:tcPr>
          <w:p w14:paraId="4964F357"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17,001</w:t>
            </w:r>
          </w:p>
        </w:tc>
        <w:tc>
          <w:tcPr>
            <w:tcW w:w="988" w:type="dxa"/>
            <w:tcBorders>
              <w:top w:val="dotted" w:sz="4" w:space="0" w:color="auto"/>
            </w:tcBorders>
          </w:tcPr>
          <w:p w14:paraId="40D82CB1"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17,001</w:t>
            </w:r>
          </w:p>
        </w:tc>
        <w:tc>
          <w:tcPr>
            <w:tcW w:w="1001" w:type="dxa"/>
            <w:tcBorders>
              <w:top w:val="dotted" w:sz="4" w:space="0" w:color="auto"/>
            </w:tcBorders>
          </w:tcPr>
          <w:p w14:paraId="40376535"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17,001</w:t>
            </w:r>
          </w:p>
        </w:tc>
        <w:tc>
          <w:tcPr>
            <w:tcW w:w="1076" w:type="dxa"/>
            <w:tcBorders>
              <w:top w:val="dotted" w:sz="4" w:space="0" w:color="auto"/>
            </w:tcBorders>
          </w:tcPr>
          <w:p w14:paraId="2832731A"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16,576</w:t>
            </w:r>
          </w:p>
        </w:tc>
        <w:tc>
          <w:tcPr>
            <w:tcW w:w="1079" w:type="dxa"/>
            <w:tcBorders>
              <w:top w:val="dotted" w:sz="4" w:space="0" w:color="auto"/>
            </w:tcBorders>
          </w:tcPr>
          <w:p w14:paraId="327685E9"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16,622</w:t>
            </w:r>
          </w:p>
        </w:tc>
        <w:tc>
          <w:tcPr>
            <w:tcW w:w="997" w:type="dxa"/>
            <w:tcBorders>
              <w:top w:val="dotted" w:sz="4" w:space="0" w:color="auto"/>
            </w:tcBorders>
          </w:tcPr>
          <w:p w14:paraId="07FC10D7"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17,001</w:t>
            </w:r>
          </w:p>
        </w:tc>
        <w:tc>
          <w:tcPr>
            <w:tcW w:w="1081" w:type="dxa"/>
            <w:tcBorders>
              <w:top w:val="dotted" w:sz="4" w:space="0" w:color="auto"/>
            </w:tcBorders>
          </w:tcPr>
          <w:p w14:paraId="6C1ECFBC"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16,973</w:t>
            </w:r>
          </w:p>
        </w:tc>
        <w:tc>
          <w:tcPr>
            <w:tcW w:w="1260" w:type="dxa"/>
            <w:tcBorders>
              <w:top w:val="dotted" w:sz="4" w:space="0" w:color="auto"/>
            </w:tcBorders>
          </w:tcPr>
          <w:p w14:paraId="75145202"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16,973</w:t>
            </w:r>
          </w:p>
        </w:tc>
        <w:tc>
          <w:tcPr>
            <w:tcW w:w="995" w:type="dxa"/>
            <w:tcBorders>
              <w:top w:val="dotted" w:sz="4" w:space="0" w:color="auto"/>
            </w:tcBorders>
          </w:tcPr>
          <w:p w14:paraId="279B1A87"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16,505</w:t>
            </w:r>
          </w:p>
        </w:tc>
        <w:tc>
          <w:tcPr>
            <w:tcW w:w="996" w:type="dxa"/>
            <w:tcBorders>
              <w:top w:val="dotted" w:sz="4" w:space="0" w:color="auto"/>
            </w:tcBorders>
          </w:tcPr>
          <w:p w14:paraId="04557401"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16,973</w:t>
            </w:r>
          </w:p>
        </w:tc>
      </w:tr>
      <w:tr w:rsidR="00C77FE3" w:rsidRPr="00D86FE3" w14:paraId="177793E2" w14:textId="77777777" w:rsidTr="00CC2398">
        <w:tc>
          <w:tcPr>
            <w:tcW w:w="1664" w:type="dxa"/>
          </w:tcPr>
          <w:p w14:paraId="60DE11DF" w14:textId="77777777" w:rsidR="00C77FE3" w:rsidRPr="00807795" w:rsidRDefault="00C77FE3" w:rsidP="00CC2398">
            <w:pPr>
              <w:pStyle w:val="Compact"/>
              <w:widowControl w:val="0"/>
              <w:suppressAutoHyphens/>
              <w:rPr>
                <w:rFonts w:ascii="Times New Roman" w:hAnsi="Times New Roman" w:cs="Times New Roman"/>
                <w:sz w:val="18"/>
                <w:szCs w:val="18"/>
              </w:rPr>
            </w:pPr>
            <w:r w:rsidRPr="00807795">
              <w:rPr>
                <w:rFonts w:ascii="Times New Roman" w:hAnsi="Times New Roman" w:cs="Times New Roman"/>
                <w:sz w:val="18"/>
                <w:szCs w:val="18"/>
              </w:rPr>
              <w:t>No. </w:t>
            </w:r>
            <w:r>
              <w:rPr>
                <w:rFonts w:ascii="Times New Roman" w:hAnsi="Times New Roman" w:cs="Times New Roman"/>
                <w:sz w:val="18"/>
                <w:szCs w:val="18"/>
              </w:rPr>
              <w:t>o</w:t>
            </w:r>
            <w:r w:rsidRPr="00807795">
              <w:rPr>
                <w:rFonts w:ascii="Times New Roman" w:hAnsi="Times New Roman" w:cs="Times New Roman"/>
                <w:sz w:val="18"/>
                <w:szCs w:val="18"/>
              </w:rPr>
              <w:t>f firms</w:t>
            </w:r>
          </w:p>
        </w:tc>
        <w:tc>
          <w:tcPr>
            <w:tcW w:w="1262" w:type="dxa"/>
          </w:tcPr>
          <w:p w14:paraId="42607AEB"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458</w:t>
            </w:r>
          </w:p>
        </w:tc>
        <w:tc>
          <w:tcPr>
            <w:tcW w:w="1034" w:type="dxa"/>
          </w:tcPr>
          <w:p w14:paraId="0A585A39"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449</w:t>
            </w:r>
          </w:p>
        </w:tc>
        <w:tc>
          <w:tcPr>
            <w:tcW w:w="1181" w:type="dxa"/>
          </w:tcPr>
          <w:p w14:paraId="7A89EFCE"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458</w:t>
            </w:r>
          </w:p>
        </w:tc>
        <w:tc>
          <w:tcPr>
            <w:tcW w:w="988" w:type="dxa"/>
          </w:tcPr>
          <w:p w14:paraId="18C1AD65"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458</w:t>
            </w:r>
          </w:p>
        </w:tc>
        <w:tc>
          <w:tcPr>
            <w:tcW w:w="1001" w:type="dxa"/>
          </w:tcPr>
          <w:p w14:paraId="5925C366"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458</w:t>
            </w:r>
          </w:p>
        </w:tc>
        <w:tc>
          <w:tcPr>
            <w:tcW w:w="1076" w:type="dxa"/>
          </w:tcPr>
          <w:p w14:paraId="18C5F361"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447</w:t>
            </w:r>
          </w:p>
        </w:tc>
        <w:tc>
          <w:tcPr>
            <w:tcW w:w="1079" w:type="dxa"/>
          </w:tcPr>
          <w:p w14:paraId="7D16831C"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448</w:t>
            </w:r>
          </w:p>
        </w:tc>
        <w:tc>
          <w:tcPr>
            <w:tcW w:w="997" w:type="dxa"/>
          </w:tcPr>
          <w:p w14:paraId="63B0D62F"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458</w:t>
            </w:r>
          </w:p>
        </w:tc>
        <w:tc>
          <w:tcPr>
            <w:tcW w:w="1081" w:type="dxa"/>
          </w:tcPr>
          <w:p w14:paraId="1215C36F"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458</w:t>
            </w:r>
          </w:p>
        </w:tc>
        <w:tc>
          <w:tcPr>
            <w:tcW w:w="1260" w:type="dxa"/>
          </w:tcPr>
          <w:p w14:paraId="67F7448D"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458</w:t>
            </w:r>
          </w:p>
        </w:tc>
        <w:tc>
          <w:tcPr>
            <w:tcW w:w="995" w:type="dxa"/>
          </w:tcPr>
          <w:p w14:paraId="140DBD27"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446</w:t>
            </w:r>
          </w:p>
        </w:tc>
        <w:tc>
          <w:tcPr>
            <w:tcW w:w="996" w:type="dxa"/>
          </w:tcPr>
          <w:p w14:paraId="6E1E322B"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458</w:t>
            </w:r>
          </w:p>
        </w:tc>
      </w:tr>
      <w:tr w:rsidR="00C77FE3" w:rsidRPr="00D86FE3" w14:paraId="70767E87" w14:textId="77777777" w:rsidTr="00CC2398">
        <w:tc>
          <w:tcPr>
            <w:tcW w:w="1664" w:type="dxa"/>
          </w:tcPr>
          <w:p w14:paraId="61710D1B" w14:textId="77777777" w:rsidR="00C77FE3" w:rsidRPr="00807795" w:rsidRDefault="00C77FE3" w:rsidP="00CC2398">
            <w:pPr>
              <w:pStyle w:val="Compact"/>
              <w:widowControl w:val="0"/>
              <w:suppressAutoHyphens/>
              <w:rPr>
                <w:rFonts w:ascii="Times New Roman" w:hAnsi="Times New Roman" w:cs="Times New Roman"/>
                <w:sz w:val="18"/>
                <w:szCs w:val="18"/>
              </w:rPr>
            </w:pPr>
            <w:r w:rsidRPr="00807795">
              <w:rPr>
                <w:rFonts w:ascii="Times New Roman" w:hAnsi="Times New Roman" w:cs="Times New Roman"/>
                <w:sz w:val="18"/>
                <w:szCs w:val="18"/>
              </w:rPr>
              <w:t xml:space="preserve">No. </w:t>
            </w:r>
            <w:r>
              <w:rPr>
                <w:rFonts w:ascii="Times New Roman" w:hAnsi="Times New Roman" w:cs="Times New Roman"/>
                <w:sz w:val="18"/>
                <w:szCs w:val="18"/>
              </w:rPr>
              <w:t>o</w:t>
            </w:r>
            <w:r w:rsidRPr="00807795">
              <w:rPr>
                <w:rFonts w:ascii="Times New Roman" w:hAnsi="Times New Roman" w:cs="Times New Roman"/>
                <w:sz w:val="18"/>
                <w:szCs w:val="18"/>
              </w:rPr>
              <w:t>f responses (</w:t>
            </w:r>
            <w:r w:rsidRPr="00807795">
              <w:rPr>
                <w:rFonts w:ascii="Times New Roman" w:hAnsi="Times New Roman" w:cs="Times New Roman"/>
                <w:i/>
                <w:iCs/>
                <w:sz w:val="18"/>
                <w:szCs w:val="18"/>
              </w:rPr>
              <w:t>million</w:t>
            </w:r>
            <w:r w:rsidRPr="00807795">
              <w:rPr>
                <w:rFonts w:ascii="Times New Roman" w:hAnsi="Times New Roman" w:cs="Times New Roman"/>
                <w:sz w:val="18"/>
                <w:szCs w:val="18"/>
              </w:rPr>
              <w:t>)</w:t>
            </w:r>
          </w:p>
        </w:tc>
        <w:tc>
          <w:tcPr>
            <w:tcW w:w="1262" w:type="dxa"/>
            <w:vAlign w:val="center"/>
          </w:tcPr>
          <w:p w14:paraId="4910B400"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285.28</w:t>
            </w:r>
          </w:p>
        </w:tc>
        <w:tc>
          <w:tcPr>
            <w:tcW w:w="1034" w:type="dxa"/>
            <w:vAlign w:val="center"/>
          </w:tcPr>
          <w:p w14:paraId="20D6531F"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226.23</w:t>
            </w:r>
          </w:p>
        </w:tc>
        <w:tc>
          <w:tcPr>
            <w:tcW w:w="1181" w:type="dxa"/>
            <w:vAlign w:val="center"/>
          </w:tcPr>
          <w:p w14:paraId="593F8E0C"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285.28</w:t>
            </w:r>
          </w:p>
        </w:tc>
        <w:tc>
          <w:tcPr>
            <w:tcW w:w="988" w:type="dxa"/>
            <w:vAlign w:val="center"/>
          </w:tcPr>
          <w:p w14:paraId="76394EA1"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285.28</w:t>
            </w:r>
          </w:p>
        </w:tc>
        <w:tc>
          <w:tcPr>
            <w:tcW w:w="1001" w:type="dxa"/>
            <w:vAlign w:val="center"/>
          </w:tcPr>
          <w:p w14:paraId="0F8A6263"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285.28</w:t>
            </w:r>
          </w:p>
        </w:tc>
        <w:tc>
          <w:tcPr>
            <w:tcW w:w="1076" w:type="dxa"/>
            <w:vAlign w:val="center"/>
          </w:tcPr>
          <w:p w14:paraId="4AED3905"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274.82</w:t>
            </w:r>
          </w:p>
        </w:tc>
        <w:tc>
          <w:tcPr>
            <w:tcW w:w="1079" w:type="dxa"/>
            <w:vAlign w:val="center"/>
          </w:tcPr>
          <w:p w14:paraId="09B1527B"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276.47</w:t>
            </w:r>
          </w:p>
        </w:tc>
        <w:tc>
          <w:tcPr>
            <w:tcW w:w="997" w:type="dxa"/>
            <w:vAlign w:val="center"/>
          </w:tcPr>
          <w:p w14:paraId="72B5EE1B"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285.28</w:t>
            </w:r>
          </w:p>
        </w:tc>
        <w:tc>
          <w:tcPr>
            <w:tcW w:w="1081" w:type="dxa"/>
            <w:vAlign w:val="center"/>
          </w:tcPr>
          <w:p w14:paraId="487C6F34"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284.92</w:t>
            </w:r>
          </w:p>
        </w:tc>
        <w:tc>
          <w:tcPr>
            <w:tcW w:w="1260" w:type="dxa"/>
            <w:vAlign w:val="center"/>
          </w:tcPr>
          <w:p w14:paraId="68C2FF38"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284.92</w:t>
            </w:r>
          </w:p>
        </w:tc>
        <w:tc>
          <w:tcPr>
            <w:tcW w:w="995" w:type="dxa"/>
            <w:vAlign w:val="center"/>
          </w:tcPr>
          <w:p w14:paraId="1BC605AD"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283.55</w:t>
            </w:r>
          </w:p>
        </w:tc>
        <w:tc>
          <w:tcPr>
            <w:tcW w:w="996" w:type="dxa"/>
            <w:vAlign w:val="center"/>
          </w:tcPr>
          <w:p w14:paraId="16D47AC4" w14:textId="77777777" w:rsidR="00C77FE3" w:rsidRPr="00807795" w:rsidRDefault="00C77FE3" w:rsidP="00CC2398">
            <w:pPr>
              <w:pStyle w:val="Compact"/>
              <w:widowControl w:val="0"/>
              <w:suppressAutoHyphens/>
              <w:jc w:val="center"/>
              <w:rPr>
                <w:rFonts w:ascii="Times New Roman" w:hAnsi="Times New Roman" w:cs="Times New Roman"/>
                <w:sz w:val="18"/>
                <w:szCs w:val="18"/>
              </w:rPr>
            </w:pPr>
            <w:r w:rsidRPr="00807795">
              <w:rPr>
                <w:rFonts w:ascii="Times New Roman" w:hAnsi="Times New Roman" w:cs="Times New Roman"/>
                <w:sz w:val="18"/>
                <w:szCs w:val="18"/>
              </w:rPr>
              <w:t>284.92</w:t>
            </w:r>
          </w:p>
        </w:tc>
      </w:tr>
      <w:tr w:rsidR="00C77FE3" w:rsidRPr="00D86FE3" w14:paraId="09D60E11" w14:textId="77777777" w:rsidTr="00CC2398">
        <w:tc>
          <w:tcPr>
            <w:tcW w:w="1664" w:type="dxa"/>
          </w:tcPr>
          <w:p w14:paraId="0CE0EC45" w14:textId="77777777" w:rsidR="00C77FE3" w:rsidRPr="00807795" w:rsidRDefault="00C77FE3" w:rsidP="00CC2398">
            <w:pPr>
              <w:pStyle w:val="Compact"/>
              <w:widowControl w:val="0"/>
              <w:suppressAutoHyphens/>
              <w:rPr>
                <w:rFonts w:ascii="Times New Roman" w:hAnsi="Times New Roman" w:cs="Times New Roman"/>
                <w:sz w:val="18"/>
                <w:szCs w:val="18"/>
              </w:rPr>
            </w:pPr>
            <w:r w:rsidRPr="00807795">
              <w:rPr>
                <w:rFonts w:ascii="Times New Roman" w:hAnsi="Times New Roman" w:cs="Times New Roman"/>
                <w:sz w:val="18"/>
                <w:szCs w:val="18"/>
              </w:rPr>
              <w:t>R</w:t>
            </w:r>
            <w:r w:rsidRPr="00807795">
              <w:rPr>
                <w:rFonts w:ascii="Times New Roman" w:hAnsi="Times New Roman" w:cs="Times New Roman"/>
                <w:sz w:val="18"/>
                <w:szCs w:val="18"/>
                <w:vertAlign w:val="superscript"/>
              </w:rPr>
              <w:t>2</w:t>
            </w:r>
            <w:r w:rsidRPr="00807795">
              <w:rPr>
                <w:rFonts w:ascii="Times New Roman" w:hAnsi="Times New Roman" w:cs="Times New Roman"/>
                <w:sz w:val="18"/>
                <w:szCs w:val="18"/>
              </w:rPr>
              <w:t xml:space="preserve"> </w:t>
            </w:r>
            <w:r>
              <w:rPr>
                <w:rFonts w:ascii="Times New Roman" w:hAnsi="Times New Roman" w:cs="Times New Roman"/>
                <w:sz w:val="18"/>
                <w:szCs w:val="18"/>
              </w:rPr>
              <w:t>m</w:t>
            </w:r>
            <w:r w:rsidRPr="00807795">
              <w:rPr>
                <w:rFonts w:ascii="Times New Roman" w:hAnsi="Times New Roman" w:cs="Times New Roman"/>
                <w:sz w:val="18"/>
                <w:szCs w:val="18"/>
              </w:rPr>
              <w:t>arginal</w:t>
            </w:r>
          </w:p>
        </w:tc>
        <w:tc>
          <w:tcPr>
            <w:tcW w:w="1262" w:type="dxa"/>
          </w:tcPr>
          <w:p w14:paraId="2BD4C3D9"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0.471</w:t>
            </w:r>
          </w:p>
        </w:tc>
        <w:tc>
          <w:tcPr>
            <w:tcW w:w="1034" w:type="dxa"/>
          </w:tcPr>
          <w:p w14:paraId="1C6A18D3"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0.642</w:t>
            </w:r>
          </w:p>
        </w:tc>
        <w:tc>
          <w:tcPr>
            <w:tcW w:w="1181" w:type="dxa"/>
          </w:tcPr>
          <w:p w14:paraId="2D472AF3"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0.368</w:t>
            </w:r>
          </w:p>
        </w:tc>
        <w:tc>
          <w:tcPr>
            <w:tcW w:w="988" w:type="dxa"/>
          </w:tcPr>
          <w:p w14:paraId="1E476D05"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0.009</w:t>
            </w:r>
          </w:p>
        </w:tc>
        <w:tc>
          <w:tcPr>
            <w:tcW w:w="1001" w:type="dxa"/>
          </w:tcPr>
          <w:p w14:paraId="352E09E5"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0.018</w:t>
            </w:r>
          </w:p>
        </w:tc>
        <w:tc>
          <w:tcPr>
            <w:tcW w:w="1076" w:type="dxa"/>
          </w:tcPr>
          <w:p w14:paraId="423E6F0E"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0.006</w:t>
            </w:r>
          </w:p>
        </w:tc>
        <w:tc>
          <w:tcPr>
            <w:tcW w:w="1079" w:type="dxa"/>
          </w:tcPr>
          <w:p w14:paraId="70375642"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0.003</w:t>
            </w:r>
          </w:p>
        </w:tc>
        <w:tc>
          <w:tcPr>
            <w:tcW w:w="997" w:type="dxa"/>
          </w:tcPr>
          <w:p w14:paraId="15F50A94"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0.166</w:t>
            </w:r>
          </w:p>
        </w:tc>
        <w:tc>
          <w:tcPr>
            <w:tcW w:w="1081" w:type="dxa"/>
          </w:tcPr>
          <w:p w14:paraId="74A3991E"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0.017</w:t>
            </w:r>
          </w:p>
        </w:tc>
        <w:tc>
          <w:tcPr>
            <w:tcW w:w="1260" w:type="dxa"/>
          </w:tcPr>
          <w:p w14:paraId="43360D6F"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0.130</w:t>
            </w:r>
          </w:p>
        </w:tc>
        <w:tc>
          <w:tcPr>
            <w:tcW w:w="995" w:type="dxa"/>
          </w:tcPr>
          <w:p w14:paraId="0BAE26A1"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0.001</w:t>
            </w:r>
          </w:p>
        </w:tc>
        <w:tc>
          <w:tcPr>
            <w:tcW w:w="996" w:type="dxa"/>
          </w:tcPr>
          <w:p w14:paraId="330CB705"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0.012</w:t>
            </w:r>
          </w:p>
        </w:tc>
      </w:tr>
      <w:tr w:rsidR="00C77FE3" w:rsidRPr="00D86FE3" w14:paraId="1C7FA9E0" w14:textId="77777777" w:rsidTr="00CC2398">
        <w:tc>
          <w:tcPr>
            <w:tcW w:w="1664" w:type="dxa"/>
            <w:tcBorders>
              <w:bottom w:val="single" w:sz="4" w:space="0" w:color="auto"/>
            </w:tcBorders>
          </w:tcPr>
          <w:p w14:paraId="73E64E15" w14:textId="77777777" w:rsidR="00C77FE3" w:rsidRPr="00807795" w:rsidRDefault="00C77FE3" w:rsidP="00CC2398">
            <w:pPr>
              <w:pStyle w:val="Compact"/>
              <w:widowControl w:val="0"/>
              <w:suppressAutoHyphens/>
              <w:rPr>
                <w:rFonts w:ascii="Times New Roman" w:hAnsi="Times New Roman" w:cs="Times New Roman"/>
                <w:sz w:val="18"/>
                <w:szCs w:val="18"/>
              </w:rPr>
            </w:pPr>
            <w:r w:rsidRPr="00807795">
              <w:rPr>
                <w:rFonts w:ascii="Times New Roman" w:hAnsi="Times New Roman" w:cs="Times New Roman"/>
                <w:sz w:val="18"/>
                <w:szCs w:val="18"/>
              </w:rPr>
              <w:t>R</w:t>
            </w:r>
            <w:r w:rsidRPr="00807795">
              <w:rPr>
                <w:rFonts w:ascii="Times New Roman" w:hAnsi="Times New Roman" w:cs="Times New Roman"/>
                <w:sz w:val="18"/>
                <w:szCs w:val="18"/>
                <w:vertAlign w:val="superscript"/>
              </w:rPr>
              <w:t>2</w:t>
            </w:r>
            <w:r w:rsidRPr="00807795">
              <w:rPr>
                <w:rFonts w:ascii="Times New Roman" w:hAnsi="Times New Roman" w:cs="Times New Roman"/>
                <w:sz w:val="18"/>
                <w:szCs w:val="18"/>
              </w:rPr>
              <w:t xml:space="preserve"> </w:t>
            </w:r>
            <w:r>
              <w:rPr>
                <w:rFonts w:ascii="Times New Roman" w:hAnsi="Times New Roman" w:cs="Times New Roman"/>
                <w:sz w:val="18"/>
                <w:szCs w:val="18"/>
              </w:rPr>
              <w:t>c</w:t>
            </w:r>
            <w:r w:rsidRPr="00807795">
              <w:rPr>
                <w:rFonts w:ascii="Times New Roman" w:hAnsi="Times New Roman" w:cs="Times New Roman"/>
                <w:sz w:val="18"/>
                <w:szCs w:val="18"/>
              </w:rPr>
              <w:t>onditional</w:t>
            </w:r>
          </w:p>
        </w:tc>
        <w:tc>
          <w:tcPr>
            <w:tcW w:w="1262" w:type="dxa"/>
            <w:tcBorders>
              <w:bottom w:val="single" w:sz="4" w:space="0" w:color="auto"/>
            </w:tcBorders>
          </w:tcPr>
          <w:p w14:paraId="654E6666"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0.987</w:t>
            </w:r>
          </w:p>
        </w:tc>
        <w:tc>
          <w:tcPr>
            <w:tcW w:w="1034" w:type="dxa"/>
            <w:tcBorders>
              <w:bottom w:val="single" w:sz="4" w:space="0" w:color="auto"/>
            </w:tcBorders>
          </w:tcPr>
          <w:p w14:paraId="0BBB511E"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0.977</w:t>
            </w:r>
          </w:p>
        </w:tc>
        <w:tc>
          <w:tcPr>
            <w:tcW w:w="1181" w:type="dxa"/>
            <w:tcBorders>
              <w:bottom w:val="single" w:sz="4" w:space="0" w:color="auto"/>
            </w:tcBorders>
          </w:tcPr>
          <w:p w14:paraId="2C239B41"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0.984</w:t>
            </w:r>
          </w:p>
        </w:tc>
        <w:tc>
          <w:tcPr>
            <w:tcW w:w="988" w:type="dxa"/>
            <w:tcBorders>
              <w:bottom w:val="single" w:sz="4" w:space="0" w:color="auto"/>
            </w:tcBorders>
          </w:tcPr>
          <w:p w14:paraId="6D07DEA8"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0.143</w:t>
            </w:r>
          </w:p>
        </w:tc>
        <w:tc>
          <w:tcPr>
            <w:tcW w:w="1001" w:type="dxa"/>
            <w:tcBorders>
              <w:bottom w:val="single" w:sz="4" w:space="0" w:color="auto"/>
            </w:tcBorders>
          </w:tcPr>
          <w:p w14:paraId="61F5CF43"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0.836</w:t>
            </w:r>
          </w:p>
        </w:tc>
        <w:tc>
          <w:tcPr>
            <w:tcW w:w="1076" w:type="dxa"/>
            <w:tcBorders>
              <w:bottom w:val="single" w:sz="4" w:space="0" w:color="auto"/>
            </w:tcBorders>
          </w:tcPr>
          <w:p w14:paraId="2E1D1D53"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0.129</w:t>
            </w:r>
          </w:p>
        </w:tc>
        <w:tc>
          <w:tcPr>
            <w:tcW w:w="1079" w:type="dxa"/>
            <w:tcBorders>
              <w:bottom w:val="single" w:sz="4" w:space="0" w:color="auto"/>
            </w:tcBorders>
          </w:tcPr>
          <w:p w14:paraId="2DFAC6C8"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0.012</w:t>
            </w:r>
          </w:p>
        </w:tc>
        <w:tc>
          <w:tcPr>
            <w:tcW w:w="997" w:type="dxa"/>
            <w:tcBorders>
              <w:bottom w:val="single" w:sz="4" w:space="0" w:color="auto"/>
            </w:tcBorders>
          </w:tcPr>
          <w:p w14:paraId="08A8A107"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0.941</w:t>
            </w:r>
          </w:p>
        </w:tc>
        <w:tc>
          <w:tcPr>
            <w:tcW w:w="1081" w:type="dxa"/>
            <w:tcBorders>
              <w:bottom w:val="single" w:sz="4" w:space="0" w:color="auto"/>
            </w:tcBorders>
          </w:tcPr>
          <w:p w14:paraId="48365020"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0.256</w:t>
            </w:r>
          </w:p>
        </w:tc>
        <w:tc>
          <w:tcPr>
            <w:tcW w:w="1260" w:type="dxa"/>
            <w:tcBorders>
              <w:bottom w:val="single" w:sz="4" w:space="0" w:color="auto"/>
            </w:tcBorders>
          </w:tcPr>
          <w:p w14:paraId="66ACB982"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0.639</w:t>
            </w:r>
          </w:p>
        </w:tc>
        <w:tc>
          <w:tcPr>
            <w:tcW w:w="995" w:type="dxa"/>
            <w:tcBorders>
              <w:bottom w:val="single" w:sz="4" w:space="0" w:color="auto"/>
            </w:tcBorders>
          </w:tcPr>
          <w:p w14:paraId="0B55A0EC"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0.015</w:t>
            </w:r>
          </w:p>
        </w:tc>
        <w:tc>
          <w:tcPr>
            <w:tcW w:w="996" w:type="dxa"/>
            <w:tcBorders>
              <w:bottom w:val="single" w:sz="4" w:space="0" w:color="auto"/>
            </w:tcBorders>
          </w:tcPr>
          <w:p w14:paraId="6F0B3867" w14:textId="77777777" w:rsidR="00C77FE3" w:rsidRPr="00807795" w:rsidRDefault="00C77FE3" w:rsidP="00CC2398">
            <w:pPr>
              <w:pStyle w:val="Compact"/>
              <w:jc w:val="center"/>
              <w:rPr>
                <w:rFonts w:ascii="Times New Roman" w:hAnsi="Times New Roman" w:cs="Times New Roman"/>
                <w:sz w:val="18"/>
                <w:szCs w:val="18"/>
              </w:rPr>
            </w:pPr>
            <w:r w:rsidRPr="00807795">
              <w:rPr>
                <w:rFonts w:ascii="Times New Roman" w:hAnsi="Times New Roman" w:cs="Times New Roman"/>
                <w:sz w:val="18"/>
                <w:szCs w:val="18"/>
              </w:rPr>
              <w:t>0.914</w:t>
            </w:r>
          </w:p>
        </w:tc>
      </w:tr>
    </w:tbl>
    <w:p w14:paraId="68A4C3C6" w14:textId="77777777" w:rsidR="00C77FE3" w:rsidRPr="000906E7" w:rsidRDefault="00C77FE3" w:rsidP="00C77FE3">
      <w:pPr>
        <w:widowControl w:val="0"/>
        <w:suppressAutoHyphens/>
        <w:rPr>
          <w:sz w:val="18"/>
          <w:szCs w:val="18"/>
        </w:rPr>
      </w:pPr>
      <w:r w:rsidRPr="007D305A">
        <w:rPr>
          <w:sz w:val="18"/>
          <w:szCs w:val="18"/>
        </w:rPr>
        <w:t>*</w:t>
      </w:r>
      <w:r w:rsidRPr="007D305A">
        <w:rPr>
          <w:i/>
          <w:iCs/>
          <w:sz w:val="18"/>
          <w:szCs w:val="18"/>
        </w:rPr>
        <w:t>p</w:t>
      </w:r>
      <w:r w:rsidRPr="00171788">
        <w:rPr>
          <w:sz w:val="18"/>
          <w:szCs w:val="18"/>
        </w:rPr>
        <w:t xml:space="preserve"> &lt; 0.1, **</w:t>
      </w:r>
      <w:r w:rsidRPr="007D305A">
        <w:rPr>
          <w:i/>
          <w:iCs/>
          <w:sz w:val="18"/>
          <w:szCs w:val="18"/>
        </w:rPr>
        <w:t>p</w:t>
      </w:r>
      <w:r w:rsidRPr="00171788">
        <w:rPr>
          <w:sz w:val="18"/>
          <w:szCs w:val="18"/>
        </w:rPr>
        <w:t xml:space="preserve"> &lt; 0.05, ***</w:t>
      </w:r>
      <w:r w:rsidRPr="007D305A">
        <w:rPr>
          <w:i/>
          <w:iCs/>
          <w:sz w:val="18"/>
          <w:szCs w:val="18"/>
        </w:rPr>
        <w:t>p</w:t>
      </w:r>
      <w:r>
        <w:rPr>
          <w:sz w:val="18"/>
          <w:szCs w:val="18"/>
        </w:rPr>
        <w:t xml:space="preserve"> </w:t>
      </w:r>
      <w:r w:rsidRPr="00171788">
        <w:rPr>
          <w:sz w:val="18"/>
          <w:szCs w:val="18"/>
        </w:rPr>
        <w:t>&lt; 0.01</w:t>
      </w:r>
      <w:r w:rsidRPr="007D305A">
        <w:rPr>
          <w:sz w:val="18"/>
          <w:szCs w:val="18"/>
        </w:rPr>
        <w:t>.</w:t>
      </w:r>
      <w:r w:rsidRPr="000906E7">
        <w:rPr>
          <w:sz w:val="18"/>
          <w:szCs w:val="18"/>
        </w:rPr>
        <w:t xml:space="preserve"> </w:t>
      </w:r>
      <w:r>
        <w:rPr>
          <w:sz w:val="18"/>
          <w:szCs w:val="18"/>
        </w:rPr>
        <w:t xml:space="preserve">Note: </w:t>
      </w:r>
      <w:r w:rsidRPr="000906E7">
        <w:rPr>
          <w:sz w:val="18"/>
          <w:szCs w:val="18"/>
        </w:rPr>
        <w:t xml:space="preserve">Standard errors are in parentheses. All the explanatory variables in the regression </w:t>
      </w:r>
      <w:r>
        <w:rPr>
          <w:sz w:val="18"/>
          <w:szCs w:val="18"/>
        </w:rPr>
        <w:t xml:space="preserve">with </w:t>
      </w:r>
      <w:r w:rsidRPr="000906E7">
        <w:rPr>
          <w:sz w:val="18"/>
          <w:szCs w:val="18"/>
        </w:rPr>
        <w:t xml:space="preserve">abnormal returns are unexpected changes in the respective variables estimated using </w:t>
      </w:r>
      <w:proofErr w:type="gramStart"/>
      <w:r w:rsidRPr="000906E7">
        <w:rPr>
          <w:sz w:val="18"/>
          <w:szCs w:val="18"/>
        </w:rPr>
        <w:t>AR(</w:t>
      </w:r>
      <w:proofErr w:type="gramEnd"/>
      <w:r w:rsidRPr="000906E7">
        <w:rPr>
          <w:sz w:val="18"/>
          <w:szCs w:val="18"/>
        </w:rPr>
        <w:t xml:space="preserve">1) models. Firm size is </w:t>
      </w:r>
      <w:r>
        <w:rPr>
          <w:sz w:val="18"/>
          <w:szCs w:val="18"/>
        </w:rPr>
        <w:t xml:space="preserve">the </w:t>
      </w:r>
      <w:r w:rsidRPr="000906E7">
        <w:rPr>
          <w:sz w:val="18"/>
          <w:szCs w:val="18"/>
        </w:rPr>
        <w:t xml:space="preserve">log of total assets for all the models except for abnormal returns and Tobin’s q. For these </w:t>
      </w:r>
      <w:r>
        <w:rPr>
          <w:sz w:val="18"/>
          <w:szCs w:val="18"/>
        </w:rPr>
        <w:t xml:space="preserve">two </w:t>
      </w:r>
      <w:r w:rsidRPr="000906E7">
        <w:rPr>
          <w:sz w:val="18"/>
          <w:szCs w:val="18"/>
        </w:rPr>
        <w:t xml:space="preserve">models, firm size is </w:t>
      </w:r>
      <w:r>
        <w:rPr>
          <w:sz w:val="18"/>
          <w:szCs w:val="18"/>
        </w:rPr>
        <w:t xml:space="preserve">the </w:t>
      </w:r>
      <w:r w:rsidRPr="000906E7">
        <w:rPr>
          <w:sz w:val="18"/>
          <w:szCs w:val="18"/>
        </w:rPr>
        <w:t xml:space="preserve">log of sales. The coefficients of </w:t>
      </w:r>
      <w:proofErr w:type="gramStart"/>
      <w:r>
        <w:rPr>
          <w:sz w:val="18"/>
          <w:szCs w:val="18"/>
        </w:rPr>
        <w:t>l</w:t>
      </w:r>
      <w:r w:rsidRPr="000906E7">
        <w:rPr>
          <w:sz w:val="18"/>
          <w:szCs w:val="18"/>
        </w:rPr>
        <w:t>og(</w:t>
      </w:r>
      <w:proofErr w:type="gramEnd"/>
      <w:r w:rsidRPr="000906E7">
        <w:rPr>
          <w:sz w:val="18"/>
          <w:szCs w:val="18"/>
        </w:rPr>
        <w:t xml:space="preserve">% </w:t>
      </w:r>
      <w:r>
        <w:rPr>
          <w:sz w:val="18"/>
          <w:szCs w:val="18"/>
        </w:rPr>
        <w:t>s</w:t>
      </w:r>
      <w:r w:rsidRPr="000906E7">
        <w:rPr>
          <w:sz w:val="18"/>
          <w:szCs w:val="18"/>
        </w:rPr>
        <w:t xml:space="preserve">atisfied </w:t>
      </w:r>
      <w:r>
        <w:rPr>
          <w:sz w:val="18"/>
          <w:szCs w:val="18"/>
        </w:rPr>
        <w:t>c</w:t>
      </w:r>
      <w:r w:rsidRPr="000906E7">
        <w:rPr>
          <w:sz w:val="18"/>
          <w:szCs w:val="18"/>
        </w:rPr>
        <w:t xml:space="preserve">ustomers) are random effects at the firm level. The </w:t>
      </w:r>
      <w:r>
        <w:rPr>
          <w:sz w:val="18"/>
          <w:szCs w:val="18"/>
        </w:rPr>
        <w:t>i</w:t>
      </w:r>
      <w:r w:rsidRPr="000906E7">
        <w:rPr>
          <w:sz w:val="18"/>
          <w:szCs w:val="18"/>
        </w:rPr>
        <w:t>ntercept has random effects at the year-quarter level. R</w:t>
      </w:r>
      <w:r w:rsidRPr="000906E7">
        <w:rPr>
          <w:sz w:val="18"/>
          <w:szCs w:val="18"/>
          <w:vertAlign w:val="superscript"/>
        </w:rPr>
        <w:t>2</w:t>
      </w:r>
      <w:r w:rsidRPr="000906E7">
        <w:rPr>
          <w:sz w:val="18"/>
          <w:szCs w:val="18"/>
        </w:rPr>
        <w:t xml:space="preserve"> </w:t>
      </w:r>
      <w:r>
        <w:rPr>
          <w:sz w:val="18"/>
          <w:szCs w:val="18"/>
        </w:rPr>
        <w:t>m</w:t>
      </w:r>
      <w:r w:rsidRPr="000906E7">
        <w:rPr>
          <w:sz w:val="18"/>
          <w:szCs w:val="18"/>
        </w:rPr>
        <w:t>arginal is the R</w:t>
      </w:r>
      <w:r w:rsidRPr="000906E7">
        <w:rPr>
          <w:sz w:val="18"/>
          <w:szCs w:val="18"/>
          <w:vertAlign w:val="superscript"/>
        </w:rPr>
        <w:t>2</w:t>
      </w:r>
      <w:r w:rsidRPr="000906E7">
        <w:rPr>
          <w:sz w:val="18"/>
          <w:szCs w:val="18"/>
        </w:rPr>
        <w:t xml:space="preserve"> without random effects</w:t>
      </w:r>
      <w:r>
        <w:rPr>
          <w:sz w:val="18"/>
          <w:szCs w:val="18"/>
        </w:rPr>
        <w:t>, and</w:t>
      </w:r>
      <w:r w:rsidRPr="000906E7">
        <w:rPr>
          <w:sz w:val="18"/>
          <w:szCs w:val="18"/>
        </w:rPr>
        <w:t xml:space="preserve"> R</w:t>
      </w:r>
      <w:r w:rsidRPr="000906E7">
        <w:rPr>
          <w:sz w:val="18"/>
          <w:szCs w:val="18"/>
          <w:vertAlign w:val="superscript"/>
        </w:rPr>
        <w:t>2</w:t>
      </w:r>
      <w:r w:rsidRPr="000906E7">
        <w:rPr>
          <w:sz w:val="18"/>
          <w:szCs w:val="18"/>
        </w:rPr>
        <w:t xml:space="preserve"> </w:t>
      </w:r>
      <w:r>
        <w:rPr>
          <w:sz w:val="18"/>
          <w:szCs w:val="18"/>
        </w:rPr>
        <w:t>c</w:t>
      </w:r>
      <w:r w:rsidRPr="000906E7">
        <w:rPr>
          <w:sz w:val="18"/>
          <w:szCs w:val="18"/>
        </w:rPr>
        <w:t>onditional is the overall R</w:t>
      </w:r>
      <w:r w:rsidRPr="000906E7">
        <w:rPr>
          <w:sz w:val="18"/>
          <w:szCs w:val="18"/>
          <w:vertAlign w:val="superscript"/>
        </w:rPr>
        <w:t>2</w:t>
      </w:r>
      <w:r w:rsidRPr="000906E7">
        <w:rPr>
          <w:sz w:val="18"/>
          <w:szCs w:val="18"/>
        </w:rPr>
        <w:t xml:space="preserve"> including random effects.</w:t>
      </w:r>
      <w:r w:rsidRPr="00BD2910">
        <w:rPr>
          <w:sz w:val="18"/>
          <w:szCs w:val="18"/>
        </w:rPr>
        <w:t xml:space="preserve"> </w:t>
      </w:r>
      <w:r>
        <w:rPr>
          <w:sz w:val="18"/>
          <w:szCs w:val="18"/>
        </w:rPr>
        <w:t xml:space="preserve">HHI = </w:t>
      </w:r>
      <w:r w:rsidRPr="00BD2910">
        <w:rPr>
          <w:sz w:val="18"/>
          <w:szCs w:val="18"/>
        </w:rPr>
        <w:t xml:space="preserve">Herfindahl-Hirschman </w:t>
      </w:r>
      <w:r>
        <w:rPr>
          <w:sz w:val="18"/>
          <w:szCs w:val="18"/>
        </w:rPr>
        <w:t>i</w:t>
      </w:r>
      <w:r w:rsidRPr="00BD2910">
        <w:rPr>
          <w:sz w:val="18"/>
          <w:szCs w:val="18"/>
        </w:rPr>
        <w:t>ndex</w:t>
      </w:r>
      <w:r>
        <w:rPr>
          <w:sz w:val="18"/>
          <w:szCs w:val="18"/>
        </w:rPr>
        <w:t>.</w:t>
      </w:r>
    </w:p>
    <w:p w14:paraId="13F77520" w14:textId="77777777" w:rsidR="00C77FE3" w:rsidRPr="00D86FE3" w:rsidRDefault="00C77FE3" w:rsidP="00C77FE3">
      <w:pPr>
        <w:rPr>
          <w:sz w:val="18"/>
          <w:szCs w:val="18"/>
        </w:rPr>
      </w:pPr>
    </w:p>
    <w:p w14:paraId="1754F936" w14:textId="77777777" w:rsidR="00C77FE3" w:rsidRDefault="00C77FE3" w:rsidP="00C77FE3">
      <w:pPr>
        <w:pStyle w:val="p1"/>
        <w:spacing w:line="480" w:lineRule="auto"/>
        <w:rPr>
          <w:sz w:val="23"/>
          <w:szCs w:val="23"/>
        </w:rPr>
        <w:sectPr w:rsidR="00C77FE3" w:rsidSect="00C77FE3">
          <w:pgSz w:w="15840" w:h="12240" w:orient="landscape"/>
          <w:pgMar w:top="1440" w:right="1440" w:bottom="1440" w:left="1440" w:header="720" w:footer="720" w:gutter="0"/>
          <w:cols w:space="720"/>
          <w:docGrid w:linePitch="360"/>
        </w:sectPr>
      </w:pPr>
    </w:p>
    <w:p w14:paraId="31E94304" w14:textId="77777777" w:rsidR="00C77FE3" w:rsidRPr="00BA0363" w:rsidRDefault="00C77FE3" w:rsidP="00C77FE3">
      <w:pPr>
        <w:pStyle w:val="p1"/>
        <w:spacing w:before="0" w:beforeAutospacing="0" w:after="0" w:afterAutospacing="0" w:line="480" w:lineRule="auto"/>
        <w:rPr>
          <w:b/>
          <w:bCs/>
          <w:sz w:val="23"/>
          <w:szCs w:val="23"/>
          <w:vertAlign w:val="superscript"/>
        </w:rPr>
      </w:pPr>
      <w:r w:rsidRPr="00BA0363">
        <w:rPr>
          <w:b/>
          <w:bCs/>
          <w:sz w:val="23"/>
          <w:szCs w:val="23"/>
        </w:rPr>
        <w:lastRenderedPageBreak/>
        <w:t>References</w:t>
      </w:r>
    </w:p>
    <w:p w14:paraId="5CBCC558" w14:textId="77777777" w:rsidR="00C77FE3" w:rsidRPr="007C41FC" w:rsidRDefault="00C77FE3" w:rsidP="00C77FE3">
      <w:pPr>
        <w:spacing w:line="276" w:lineRule="auto"/>
        <w:ind w:left="360" w:hanging="360"/>
        <w:rPr>
          <w:sz w:val="23"/>
          <w:szCs w:val="23"/>
        </w:rPr>
      </w:pPr>
      <w:r w:rsidRPr="007C41FC">
        <w:rPr>
          <w:sz w:val="23"/>
          <w:szCs w:val="23"/>
        </w:rPr>
        <w:t xml:space="preserve">Anderson, E. W., Fornell, C., &amp; </w:t>
      </w:r>
      <w:proofErr w:type="spellStart"/>
      <w:r w:rsidRPr="007C41FC">
        <w:rPr>
          <w:sz w:val="23"/>
          <w:szCs w:val="23"/>
        </w:rPr>
        <w:t>Mazvancheryl</w:t>
      </w:r>
      <w:proofErr w:type="spellEnd"/>
      <w:r w:rsidRPr="007C41FC">
        <w:rPr>
          <w:sz w:val="23"/>
          <w:szCs w:val="23"/>
        </w:rPr>
        <w:t>, S. K. (2004). Customer satisfaction and shareholder value. </w:t>
      </w:r>
      <w:r w:rsidRPr="007C41FC">
        <w:rPr>
          <w:i/>
          <w:iCs/>
          <w:sz w:val="23"/>
          <w:szCs w:val="23"/>
        </w:rPr>
        <w:t>Journal of Marketing</w:t>
      </w:r>
      <w:r w:rsidRPr="007C41FC">
        <w:rPr>
          <w:sz w:val="23"/>
          <w:szCs w:val="23"/>
        </w:rPr>
        <w:t>, </w:t>
      </w:r>
      <w:r w:rsidRPr="007C41FC">
        <w:rPr>
          <w:i/>
          <w:iCs/>
          <w:sz w:val="23"/>
          <w:szCs w:val="23"/>
        </w:rPr>
        <w:t>68</w:t>
      </w:r>
      <w:r w:rsidRPr="007C41FC">
        <w:rPr>
          <w:sz w:val="23"/>
          <w:szCs w:val="23"/>
        </w:rPr>
        <w:t>(4), 172–185.</w:t>
      </w:r>
    </w:p>
    <w:p w14:paraId="50EBB974" w14:textId="77777777" w:rsidR="00C77FE3" w:rsidRPr="007C41FC" w:rsidRDefault="00C77FE3" w:rsidP="00C77FE3">
      <w:pPr>
        <w:spacing w:line="276" w:lineRule="auto"/>
        <w:ind w:left="360" w:hanging="360"/>
        <w:rPr>
          <w:sz w:val="23"/>
          <w:szCs w:val="23"/>
        </w:rPr>
      </w:pPr>
      <w:r w:rsidRPr="007C41FC">
        <w:rPr>
          <w:sz w:val="23"/>
          <w:szCs w:val="23"/>
        </w:rPr>
        <w:t>Carhart, M. M. (1997). On persistence in mutual fund performance. </w:t>
      </w:r>
      <w:r w:rsidRPr="007C41FC">
        <w:rPr>
          <w:i/>
          <w:iCs/>
          <w:sz w:val="23"/>
          <w:szCs w:val="23"/>
        </w:rPr>
        <w:t>Journal of Finance</w:t>
      </w:r>
      <w:r w:rsidRPr="007C41FC">
        <w:rPr>
          <w:sz w:val="23"/>
          <w:szCs w:val="23"/>
        </w:rPr>
        <w:t>, </w:t>
      </w:r>
      <w:r w:rsidRPr="007C41FC">
        <w:rPr>
          <w:i/>
          <w:iCs/>
          <w:sz w:val="23"/>
          <w:szCs w:val="23"/>
        </w:rPr>
        <w:t>52</w:t>
      </w:r>
      <w:r w:rsidRPr="007C41FC">
        <w:rPr>
          <w:sz w:val="23"/>
          <w:szCs w:val="23"/>
        </w:rPr>
        <w:t>(1), 57–82.</w:t>
      </w:r>
    </w:p>
    <w:p w14:paraId="7E3673F9" w14:textId="77777777" w:rsidR="00C77FE3" w:rsidRPr="007C41FC" w:rsidRDefault="00C77FE3" w:rsidP="00C77FE3">
      <w:pPr>
        <w:spacing w:line="276" w:lineRule="auto"/>
        <w:ind w:left="360" w:hanging="360"/>
        <w:rPr>
          <w:sz w:val="23"/>
          <w:szCs w:val="23"/>
        </w:rPr>
      </w:pPr>
      <w:r w:rsidRPr="007C41FC">
        <w:rPr>
          <w:sz w:val="23"/>
          <w:szCs w:val="23"/>
        </w:rPr>
        <w:t>Chung, K. H., &amp; Pruitt, S. W. (1994). A simple approximation of Tobin's q. </w:t>
      </w:r>
      <w:r w:rsidRPr="007C41FC">
        <w:rPr>
          <w:i/>
          <w:iCs/>
          <w:sz w:val="23"/>
          <w:szCs w:val="23"/>
        </w:rPr>
        <w:t>Financial Management, 23</w:t>
      </w:r>
      <w:r w:rsidRPr="007C41FC">
        <w:rPr>
          <w:sz w:val="23"/>
          <w:szCs w:val="23"/>
        </w:rPr>
        <w:t>(3), 70–74.</w:t>
      </w:r>
    </w:p>
    <w:p w14:paraId="0A0C19B0" w14:textId="77777777" w:rsidR="00C77FE3" w:rsidRPr="007C41FC" w:rsidRDefault="00C77FE3" w:rsidP="00C77FE3">
      <w:pPr>
        <w:spacing w:line="276" w:lineRule="auto"/>
        <w:ind w:left="360" w:hanging="360"/>
        <w:rPr>
          <w:sz w:val="23"/>
          <w:szCs w:val="23"/>
        </w:rPr>
      </w:pPr>
      <w:r w:rsidRPr="007C41FC">
        <w:rPr>
          <w:sz w:val="23"/>
          <w:szCs w:val="23"/>
        </w:rPr>
        <w:t>Han, K., Mittal, V., &amp; Zhang, Y. (2017). Relative strategic emphasis and firm-idiosyncratic risk: The moderating role of relative performance and demand instability. </w:t>
      </w:r>
      <w:r w:rsidRPr="007C41FC">
        <w:rPr>
          <w:i/>
          <w:iCs/>
          <w:sz w:val="23"/>
          <w:szCs w:val="23"/>
        </w:rPr>
        <w:t>Journal of Marketing</w:t>
      </w:r>
      <w:r w:rsidRPr="007C41FC">
        <w:rPr>
          <w:sz w:val="23"/>
          <w:szCs w:val="23"/>
        </w:rPr>
        <w:t>, </w:t>
      </w:r>
      <w:r w:rsidRPr="007C41FC">
        <w:rPr>
          <w:i/>
          <w:iCs/>
          <w:sz w:val="23"/>
          <w:szCs w:val="23"/>
        </w:rPr>
        <w:t>81</w:t>
      </w:r>
      <w:r w:rsidRPr="007C41FC">
        <w:rPr>
          <w:sz w:val="23"/>
          <w:szCs w:val="23"/>
        </w:rPr>
        <w:t>(4), 25–44.</w:t>
      </w:r>
    </w:p>
    <w:p w14:paraId="0D421C94" w14:textId="77777777" w:rsidR="00C77FE3" w:rsidRPr="007C41FC" w:rsidRDefault="00C77FE3" w:rsidP="00C77FE3">
      <w:pPr>
        <w:spacing w:line="276" w:lineRule="auto"/>
        <w:ind w:left="360" w:hanging="360"/>
        <w:rPr>
          <w:sz w:val="23"/>
          <w:szCs w:val="23"/>
        </w:rPr>
      </w:pPr>
      <w:r w:rsidRPr="007C41FC">
        <w:rPr>
          <w:sz w:val="23"/>
          <w:szCs w:val="23"/>
        </w:rPr>
        <w:t xml:space="preserve">Homburg, C., </w:t>
      </w:r>
      <w:proofErr w:type="spellStart"/>
      <w:r w:rsidRPr="007C41FC">
        <w:rPr>
          <w:sz w:val="23"/>
          <w:szCs w:val="23"/>
        </w:rPr>
        <w:t>Koschate</w:t>
      </w:r>
      <w:proofErr w:type="spellEnd"/>
      <w:r w:rsidRPr="007C41FC">
        <w:rPr>
          <w:sz w:val="23"/>
          <w:szCs w:val="23"/>
        </w:rPr>
        <w:t xml:space="preserve">, N., &amp; Hoyer, W. D. (2005). Do satisfied customers really pay more? A study of the relationship between customer satisfaction and willingness to pay. </w:t>
      </w:r>
      <w:r w:rsidRPr="007C41FC">
        <w:rPr>
          <w:i/>
          <w:iCs/>
          <w:sz w:val="23"/>
          <w:szCs w:val="23"/>
        </w:rPr>
        <w:t>Journal of Marketing</w:t>
      </w:r>
      <w:r w:rsidRPr="007C41FC">
        <w:rPr>
          <w:sz w:val="23"/>
          <w:szCs w:val="23"/>
        </w:rPr>
        <w:t xml:space="preserve">, </w:t>
      </w:r>
      <w:r w:rsidRPr="007C41FC">
        <w:rPr>
          <w:i/>
          <w:iCs/>
          <w:sz w:val="23"/>
          <w:szCs w:val="23"/>
        </w:rPr>
        <w:t>69</w:t>
      </w:r>
      <w:r w:rsidRPr="007C41FC">
        <w:rPr>
          <w:sz w:val="23"/>
          <w:szCs w:val="23"/>
        </w:rPr>
        <w:t>(2), 84–96. https://doi.org/10.1509/jmkg.69.2.84.60760</w:t>
      </w:r>
    </w:p>
    <w:p w14:paraId="3C4F109D" w14:textId="77777777" w:rsidR="00C77FE3" w:rsidRPr="007C41FC" w:rsidRDefault="00C77FE3" w:rsidP="00C77FE3">
      <w:pPr>
        <w:pStyle w:val="Bibliography"/>
        <w:rPr>
          <w:sz w:val="23"/>
          <w:szCs w:val="23"/>
        </w:rPr>
      </w:pPr>
      <w:r w:rsidRPr="007C41FC">
        <w:rPr>
          <w:sz w:val="23"/>
          <w:szCs w:val="23"/>
        </w:rPr>
        <w:t xml:space="preserve">Lim, L. G., Tuli, K. R., &amp; Grewal, R. (2020). Customer satisfaction and its impact on the future costs of selling. </w:t>
      </w:r>
      <w:r w:rsidRPr="007C41FC">
        <w:rPr>
          <w:i/>
          <w:iCs/>
          <w:sz w:val="23"/>
          <w:szCs w:val="23"/>
        </w:rPr>
        <w:t>Journal of Marketing</w:t>
      </w:r>
      <w:r w:rsidRPr="007C41FC">
        <w:rPr>
          <w:sz w:val="23"/>
          <w:szCs w:val="23"/>
        </w:rPr>
        <w:t xml:space="preserve">, </w:t>
      </w:r>
      <w:r w:rsidRPr="007C41FC">
        <w:rPr>
          <w:i/>
          <w:iCs/>
          <w:sz w:val="23"/>
          <w:szCs w:val="23"/>
        </w:rPr>
        <w:t>84</w:t>
      </w:r>
      <w:r w:rsidRPr="007C41FC">
        <w:rPr>
          <w:sz w:val="23"/>
          <w:szCs w:val="23"/>
        </w:rPr>
        <w:t>(4), 23–44. https://doi.org/10.1177/0022242920923307</w:t>
      </w:r>
    </w:p>
    <w:p w14:paraId="403D2F60" w14:textId="77777777" w:rsidR="00C77FE3" w:rsidRPr="00171788" w:rsidRDefault="00C77FE3" w:rsidP="00C77FE3">
      <w:pPr>
        <w:spacing w:line="276" w:lineRule="auto"/>
        <w:ind w:left="360" w:hanging="360"/>
        <w:rPr>
          <w:sz w:val="23"/>
          <w:szCs w:val="23"/>
        </w:rPr>
      </w:pPr>
      <w:r w:rsidRPr="00171788">
        <w:rPr>
          <w:sz w:val="23"/>
          <w:szCs w:val="23"/>
        </w:rPr>
        <w:t xml:space="preserve">Malshe, A., &amp; Agarwal, M. K. (2015). From finance to marketing: The impact of financial leverage on customer satisfaction. </w:t>
      </w:r>
      <w:r w:rsidRPr="00171788">
        <w:rPr>
          <w:i/>
          <w:iCs/>
          <w:sz w:val="23"/>
          <w:szCs w:val="23"/>
        </w:rPr>
        <w:t>Journal of Marketing, 79</w:t>
      </w:r>
      <w:r w:rsidRPr="00171788">
        <w:rPr>
          <w:sz w:val="23"/>
          <w:szCs w:val="23"/>
        </w:rPr>
        <w:t>(5), 21–38.</w:t>
      </w:r>
    </w:p>
    <w:p w14:paraId="064F55A3" w14:textId="77777777" w:rsidR="00C77FE3" w:rsidRPr="007C41FC" w:rsidRDefault="00C77FE3" w:rsidP="00C77FE3">
      <w:pPr>
        <w:pStyle w:val="Bibliography"/>
        <w:rPr>
          <w:sz w:val="23"/>
          <w:szCs w:val="23"/>
        </w:rPr>
      </w:pPr>
      <w:r w:rsidRPr="007C41FC">
        <w:rPr>
          <w:sz w:val="23"/>
          <w:szCs w:val="23"/>
        </w:rPr>
        <w:t xml:space="preserve">Park, S., &amp; Gupta, S. (2012). Handling endogenous regressors by joint estimation using copulas. </w:t>
      </w:r>
      <w:r w:rsidRPr="007C41FC">
        <w:rPr>
          <w:i/>
          <w:iCs/>
          <w:sz w:val="23"/>
          <w:szCs w:val="23"/>
        </w:rPr>
        <w:t>Marketing Science</w:t>
      </w:r>
      <w:r w:rsidRPr="007C41FC">
        <w:rPr>
          <w:sz w:val="23"/>
          <w:szCs w:val="23"/>
        </w:rPr>
        <w:t xml:space="preserve">, </w:t>
      </w:r>
      <w:r w:rsidRPr="007C41FC">
        <w:rPr>
          <w:i/>
          <w:iCs/>
          <w:sz w:val="23"/>
          <w:szCs w:val="23"/>
        </w:rPr>
        <w:t>31</w:t>
      </w:r>
      <w:r w:rsidRPr="007C41FC">
        <w:rPr>
          <w:sz w:val="23"/>
          <w:szCs w:val="23"/>
        </w:rPr>
        <w:t>(4), 567–586.</w:t>
      </w:r>
    </w:p>
    <w:p w14:paraId="2C9506F0" w14:textId="77777777" w:rsidR="00C77FE3" w:rsidRPr="007C41FC" w:rsidRDefault="00C77FE3" w:rsidP="00C77FE3">
      <w:pPr>
        <w:pStyle w:val="Bibliography"/>
        <w:rPr>
          <w:sz w:val="23"/>
          <w:szCs w:val="23"/>
        </w:rPr>
      </w:pPr>
      <w:r w:rsidRPr="007C41FC">
        <w:rPr>
          <w:sz w:val="23"/>
          <w:szCs w:val="23"/>
        </w:rPr>
        <w:t xml:space="preserve">Rego, L. L., Morgan, N. A., &amp; Fornell, C. (2013). Reexamining the market share–customer satisfaction relationship. </w:t>
      </w:r>
      <w:r w:rsidRPr="007C41FC">
        <w:rPr>
          <w:i/>
          <w:iCs/>
          <w:sz w:val="23"/>
          <w:szCs w:val="23"/>
        </w:rPr>
        <w:t>Journal of Marketing</w:t>
      </w:r>
      <w:r w:rsidRPr="007C41FC">
        <w:rPr>
          <w:sz w:val="23"/>
          <w:szCs w:val="23"/>
        </w:rPr>
        <w:t xml:space="preserve">, </w:t>
      </w:r>
      <w:r w:rsidRPr="007C41FC">
        <w:rPr>
          <w:i/>
          <w:iCs/>
          <w:sz w:val="23"/>
          <w:szCs w:val="23"/>
        </w:rPr>
        <w:t>77</w:t>
      </w:r>
      <w:r w:rsidRPr="007C41FC">
        <w:rPr>
          <w:sz w:val="23"/>
          <w:szCs w:val="23"/>
        </w:rPr>
        <w:t>(5), 1–20.</w:t>
      </w:r>
    </w:p>
    <w:p w14:paraId="6C37EBEB" w14:textId="77777777" w:rsidR="00C77FE3" w:rsidRPr="007C41FC" w:rsidRDefault="00C77FE3" w:rsidP="00C77FE3">
      <w:pPr>
        <w:ind w:left="360" w:hanging="360"/>
        <w:rPr>
          <w:sz w:val="23"/>
          <w:szCs w:val="23"/>
        </w:rPr>
      </w:pPr>
    </w:p>
    <w:p w14:paraId="38628232" w14:textId="77777777" w:rsidR="00C77FE3" w:rsidRDefault="00C77FE3" w:rsidP="00C77FE3">
      <w:r>
        <w:br w:type="page"/>
      </w:r>
    </w:p>
    <w:p w14:paraId="36297A54" w14:textId="77777777" w:rsidR="00C77FE3" w:rsidRPr="00A73304" w:rsidRDefault="00C77FE3" w:rsidP="00C77FE3">
      <w:pPr>
        <w:spacing w:line="480" w:lineRule="auto"/>
        <w:ind w:left="360" w:hanging="360"/>
        <w:jc w:val="center"/>
        <w:rPr>
          <w:b/>
          <w:bCs/>
        </w:rPr>
      </w:pPr>
      <w:r w:rsidRPr="00A73304">
        <w:rPr>
          <w:b/>
          <w:bCs/>
        </w:rPr>
        <w:lastRenderedPageBreak/>
        <w:t>Web Appendix E: Economic Impact Analysis</w:t>
      </w:r>
    </w:p>
    <w:p w14:paraId="7046AAE6" w14:textId="77777777" w:rsidR="00C77FE3" w:rsidRPr="00A73304" w:rsidRDefault="00C77FE3" w:rsidP="00C77FE3">
      <w:pPr>
        <w:pStyle w:val="p1"/>
        <w:spacing w:before="0" w:beforeAutospacing="0" w:after="0" w:afterAutospacing="0" w:line="480" w:lineRule="auto"/>
      </w:pPr>
      <w:r w:rsidRPr="00A73304">
        <w:t xml:space="preserve">We evaluated the economic impact of CSAT using four firm performance variables: cash flow, sales, operating profits, and market value. </w:t>
      </w:r>
      <w:r>
        <w:t>W</w:t>
      </w:r>
      <w:r w:rsidRPr="00A73304">
        <w:t xml:space="preserve">e analyzed </w:t>
      </w:r>
      <w:r>
        <w:t>o</w:t>
      </w:r>
      <w:r w:rsidRPr="00A73304">
        <w:t xml:space="preserve">perating profits using profit margin regressions and assessed market value with Tobin’s </w:t>
      </w:r>
      <w:r>
        <w:t>q</w:t>
      </w:r>
      <w:r w:rsidRPr="00A73304">
        <w:t>. For illustration, we considered a representative firm with average values approximated from our sample: cash flow of $1.5 billion, sales of $10 billion, operating profits of $1.5 billion, and total assets of $125 billion. A one</w:t>
      </w:r>
      <w:r>
        <w:t>-</w:t>
      </w:r>
      <w:r w:rsidRPr="00A73304">
        <w:t>percentage</w:t>
      </w:r>
      <w:r>
        <w:t>-</w:t>
      </w:r>
      <w:r w:rsidRPr="00A73304">
        <w:t>point increase in CSAT corresponds to a 6.35% relative increase, given an average satisfaction level of 15.75%. To estimate the economic impact, we multiplied the firm averages by 0.0635 and the corresponding regression coefficients. For example, w</w:t>
      </w:r>
      <w:r>
        <w:t>e</w:t>
      </w:r>
      <w:r w:rsidRPr="00A73304">
        <w:t xml:space="preserve"> calculated the effect on cash flow as</w:t>
      </w:r>
    </w:p>
    <w:p w14:paraId="62173735" w14:textId="77777777" w:rsidR="00C77FE3" w:rsidRPr="00A73304" w:rsidRDefault="00C77FE3" w:rsidP="00C77FE3">
      <w:pPr>
        <w:pStyle w:val="p2"/>
        <w:spacing w:before="0" w:beforeAutospacing="0" w:after="0" w:afterAutospacing="0" w:line="480" w:lineRule="auto"/>
      </w:pPr>
      <m:oMathPara>
        <m:oMath>
          <m:r>
            <m:rPr>
              <m:sty m:val="p"/>
            </m:rPr>
            <w:rPr>
              <w:rFonts w:ascii="Cambria Math" w:hAnsi="Cambria Math"/>
            </w:rPr>
            <m:t>Δ</m:t>
          </m:r>
          <m:r>
            <m:rPr>
              <m:nor/>
            </m:rPr>
            <w:rPr>
              <w:rFonts w:ascii="Cambria Math" w:hAnsi="Cambria Math"/>
            </w:rPr>
            <m:t>Cash flow</m:t>
          </m:r>
          <m:r>
            <w:rPr>
              <w:rFonts w:ascii="Cambria Math" w:hAnsi="Cambria Math"/>
            </w:rPr>
            <m:t>=$1.5</m:t>
          </m:r>
          <m:r>
            <m:rPr>
              <m:nor/>
            </m:rPr>
            <w:rPr>
              <w:rFonts w:ascii="Cambria Math" w:hAnsi="Cambria Math"/>
            </w:rPr>
            <m:t xml:space="preserve"> billion</m:t>
          </m:r>
          <m:r>
            <m:rPr>
              <m:sty m:val="p"/>
            </m:rPr>
            <w:rPr>
              <w:rFonts w:ascii="Cambria Math" w:hAnsi="Cambria Math"/>
            </w:rPr>
            <m:t>×</m:t>
          </m:r>
          <m:r>
            <w:rPr>
              <w:rFonts w:ascii="Cambria Math" w:hAnsi="Cambria Math"/>
            </w:rPr>
            <m:t>0.0635</m:t>
          </m:r>
          <m:r>
            <m:rPr>
              <m:sty m:val="p"/>
            </m:rPr>
            <w:rPr>
              <w:rFonts w:ascii="Cambria Math" w:hAnsi="Cambria Math"/>
            </w:rPr>
            <m:t>×</m:t>
          </m:r>
          <m:r>
            <w:rPr>
              <w:rFonts w:ascii="Cambria Math" w:hAnsi="Cambria Math"/>
            </w:rPr>
            <m:t>0.112=$10.7</m:t>
          </m:r>
          <m:r>
            <m:rPr>
              <m:nor/>
            </m:rPr>
            <w:rPr>
              <w:rFonts w:ascii="Cambria Math" w:hAnsi="Cambria Math"/>
            </w:rPr>
            <m:t xml:space="preserve"> million.</m:t>
          </m:r>
        </m:oMath>
      </m:oMathPara>
    </w:p>
    <w:p w14:paraId="2FADDD9F" w14:textId="77777777" w:rsidR="00C77FE3" w:rsidRPr="00A73304" w:rsidRDefault="00C77FE3" w:rsidP="00C77FE3">
      <w:pPr>
        <w:pStyle w:val="p1"/>
        <w:spacing w:before="0" w:beforeAutospacing="0" w:after="0" w:afterAutospacing="0" w:line="480" w:lineRule="auto"/>
      </w:pPr>
      <w:r>
        <w:t>We applied the</w:t>
      </w:r>
      <w:r w:rsidRPr="00A73304">
        <w:t xml:space="preserve"> same procedure to the remaining variables, except for sales, </w:t>
      </w:r>
      <w:r>
        <w:t>for which</w:t>
      </w:r>
      <w:r w:rsidRPr="00A73304">
        <w:t xml:space="preserve"> the log–log specification required interpreting the coefficient as an elasticity of sales with respect to CSAT.</w:t>
      </w:r>
    </w:p>
    <w:p w14:paraId="3C1BEFC8" w14:textId="77777777" w:rsidR="00C77FE3" w:rsidRDefault="00C77FE3" w:rsidP="00C77FE3">
      <w:pPr>
        <w:pStyle w:val="p1"/>
        <w:spacing w:before="0" w:beforeAutospacing="0" w:after="0" w:afterAutospacing="0" w:line="480" w:lineRule="auto"/>
        <w:ind w:firstLine="720"/>
      </w:pPr>
      <w:r w:rsidRPr="00A73304">
        <w:t xml:space="preserve">We repeated these calculations for Apple, Home Depot, McDonald’s, Procter &amp; Gamble, and Walmart. Because our models incorporated firm-level random effects for CSAT, the estimated </w:t>
      </w:r>
      <w:r>
        <w:t>effects</w:t>
      </w:r>
      <w:r w:rsidRPr="00A73304">
        <w:t xml:space="preserve"> varied acros</w:t>
      </w:r>
      <w:r>
        <w:t>s firms, capturing substantial heterogeneity in the impact of satisfaction on cash flow, sales, operating profits, and market value.</w:t>
      </w:r>
    </w:p>
    <w:p w14:paraId="3DF6FD21" w14:textId="77777777" w:rsidR="00094EE0" w:rsidRDefault="00094EE0" w:rsidP="00C77FE3">
      <w:pPr>
        <w:pStyle w:val="NoSpacing"/>
      </w:pPr>
    </w:p>
    <w:sectPr w:rsidR="00094E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40162"/>
    <w:multiLevelType w:val="multilevel"/>
    <w:tmpl w:val="822895E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DC548DF"/>
    <w:multiLevelType w:val="hybridMultilevel"/>
    <w:tmpl w:val="6BD438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3676E7D"/>
    <w:multiLevelType w:val="multilevel"/>
    <w:tmpl w:val="1558309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24797E"/>
    <w:multiLevelType w:val="multilevel"/>
    <w:tmpl w:val="671C1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0F4411"/>
    <w:multiLevelType w:val="multilevel"/>
    <w:tmpl w:val="210088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380C0D"/>
    <w:multiLevelType w:val="multilevel"/>
    <w:tmpl w:val="650610B4"/>
    <w:lvl w:ilvl="0">
      <w:start w:val="10"/>
      <w:numFmt w:val="decimal"/>
      <w:lvlText w:val="%1."/>
      <w:lvlJc w:val="left"/>
      <w:pPr>
        <w:tabs>
          <w:tab w:val="num" w:pos="720"/>
        </w:tabs>
        <w:ind w:left="720" w:hanging="360"/>
      </w:pPr>
    </w:lvl>
    <w:lvl w:ilvl="1">
      <w:start w:val="4"/>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AC6124"/>
    <w:multiLevelType w:val="multilevel"/>
    <w:tmpl w:val="CA64F59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682077"/>
    <w:multiLevelType w:val="multilevel"/>
    <w:tmpl w:val="69AC67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B110F7"/>
    <w:multiLevelType w:val="multilevel"/>
    <w:tmpl w:val="0046DC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2B3EBB"/>
    <w:multiLevelType w:val="multilevel"/>
    <w:tmpl w:val="9C4A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611AB8"/>
    <w:multiLevelType w:val="multilevel"/>
    <w:tmpl w:val="7BD4114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12047A"/>
    <w:multiLevelType w:val="multilevel"/>
    <w:tmpl w:val="4DC25CAA"/>
    <w:lvl w:ilvl="0">
      <w:start w:val="13"/>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694043"/>
    <w:multiLevelType w:val="hybridMultilevel"/>
    <w:tmpl w:val="DC509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6055020">
    <w:abstractNumId w:val="2"/>
  </w:num>
  <w:num w:numId="2" w16cid:durableId="270283303">
    <w:abstractNumId w:val="10"/>
  </w:num>
  <w:num w:numId="3" w16cid:durableId="255872311">
    <w:abstractNumId w:val="5"/>
  </w:num>
  <w:num w:numId="4" w16cid:durableId="953561155">
    <w:abstractNumId w:val="9"/>
  </w:num>
  <w:num w:numId="5" w16cid:durableId="929972752">
    <w:abstractNumId w:val="11"/>
  </w:num>
  <w:num w:numId="6" w16cid:durableId="102455353">
    <w:abstractNumId w:val="7"/>
  </w:num>
  <w:num w:numId="7" w16cid:durableId="535897872">
    <w:abstractNumId w:val="0"/>
  </w:num>
  <w:num w:numId="8" w16cid:durableId="963386545">
    <w:abstractNumId w:val="4"/>
  </w:num>
  <w:num w:numId="9" w16cid:durableId="699361628">
    <w:abstractNumId w:val="8"/>
  </w:num>
  <w:num w:numId="10" w16cid:durableId="1091050303">
    <w:abstractNumId w:val="6"/>
  </w:num>
  <w:num w:numId="11" w16cid:durableId="681056164">
    <w:abstractNumId w:val="12"/>
  </w:num>
  <w:num w:numId="12" w16cid:durableId="18046645">
    <w:abstractNumId w:val="3"/>
  </w:num>
  <w:num w:numId="13" w16cid:durableId="1412775538">
    <w:abstractNumId w:val="13"/>
  </w:num>
  <w:num w:numId="14" w16cid:durableId="523979737">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FE3"/>
    <w:rsid w:val="00094EE0"/>
    <w:rsid w:val="0083119C"/>
    <w:rsid w:val="00BC40C9"/>
    <w:rsid w:val="00C77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DF9FA5"/>
  <w15:chartTrackingRefBased/>
  <w15:docId w15:val="{05586BC3-F381-B548-B15F-6C5A5BA3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FE3"/>
    <w:pPr>
      <w:spacing w:after="0" w:line="240" w:lineRule="auto"/>
    </w:pPr>
    <w:rPr>
      <w:rFonts w:eastAsia="Times New Roman"/>
      <w:kern w:val="0"/>
      <w14:ligatures w14:val="none"/>
    </w:rPr>
  </w:style>
  <w:style w:type="paragraph" w:styleId="Heading1">
    <w:name w:val="heading 1"/>
    <w:basedOn w:val="Normal"/>
    <w:next w:val="Normal"/>
    <w:link w:val="Heading1Char"/>
    <w:uiPriority w:val="9"/>
    <w:qFormat/>
    <w:rsid w:val="00C77F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77F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7F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7F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77FE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77FE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77FE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77FE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77FE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F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77F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FE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FE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77FE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77F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77F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77F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77F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77F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F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FE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FE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77FE3"/>
    <w:pPr>
      <w:spacing w:before="160"/>
      <w:jc w:val="center"/>
    </w:pPr>
    <w:rPr>
      <w:i/>
      <w:iCs/>
      <w:color w:val="404040" w:themeColor="text1" w:themeTint="BF"/>
    </w:rPr>
  </w:style>
  <w:style w:type="character" w:customStyle="1" w:styleId="QuoteChar">
    <w:name w:val="Quote Char"/>
    <w:basedOn w:val="DefaultParagraphFont"/>
    <w:link w:val="Quote"/>
    <w:uiPriority w:val="29"/>
    <w:rsid w:val="00C77FE3"/>
    <w:rPr>
      <w:i/>
      <w:iCs/>
      <w:color w:val="404040" w:themeColor="text1" w:themeTint="BF"/>
    </w:rPr>
  </w:style>
  <w:style w:type="paragraph" w:styleId="ListParagraph">
    <w:name w:val="List Paragraph"/>
    <w:basedOn w:val="Normal"/>
    <w:uiPriority w:val="34"/>
    <w:qFormat/>
    <w:rsid w:val="00C77FE3"/>
    <w:pPr>
      <w:ind w:left="720"/>
      <w:contextualSpacing/>
    </w:pPr>
  </w:style>
  <w:style w:type="character" w:styleId="IntenseEmphasis">
    <w:name w:val="Intense Emphasis"/>
    <w:basedOn w:val="DefaultParagraphFont"/>
    <w:uiPriority w:val="21"/>
    <w:qFormat/>
    <w:rsid w:val="00C77FE3"/>
    <w:rPr>
      <w:i/>
      <w:iCs/>
      <w:color w:val="0F4761" w:themeColor="accent1" w:themeShade="BF"/>
    </w:rPr>
  </w:style>
  <w:style w:type="paragraph" w:styleId="IntenseQuote">
    <w:name w:val="Intense Quote"/>
    <w:basedOn w:val="Normal"/>
    <w:next w:val="Normal"/>
    <w:link w:val="IntenseQuoteChar"/>
    <w:uiPriority w:val="30"/>
    <w:qFormat/>
    <w:rsid w:val="00C77F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FE3"/>
    <w:rPr>
      <w:i/>
      <w:iCs/>
      <w:color w:val="0F4761" w:themeColor="accent1" w:themeShade="BF"/>
    </w:rPr>
  </w:style>
  <w:style w:type="character" w:styleId="IntenseReference">
    <w:name w:val="Intense Reference"/>
    <w:basedOn w:val="DefaultParagraphFont"/>
    <w:uiPriority w:val="32"/>
    <w:qFormat/>
    <w:rsid w:val="00C77FE3"/>
    <w:rPr>
      <w:b/>
      <w:bCs/>
      <w:smallCaps/>
      <w:color w:val="0F4761" w:themeColor="accent1" w:themeShade="BF"/>
      <w:spacing w:val="5"/>
    </w:rPr>
  </w:style>
  <w:style w:type="paragraph" w:styleId="NoSpacing">
    <w:name w:val="No Spacing"/>
    <w:aliases w:val="No Spacing-TNR"/>
    <w:uiPriority w:val="1"/>
    <w:qFormat/>
    <w:rsid w:val="00C77FE3"/>
    <w:pPr>
      <w:spacing w:after="0" w:line="240" w:lineRule="auto"/>
    </w:pPr>
  </w:style>
  <w:style w:type="paragraph" w:styleId="Bibliography">
    <w:name w:val="Bibliography"/>
    <w:basedOn w:val="Normal"/>
    <w:next w:val="Normal"/>
    <w:uiPriority w:val="37"/>
    <w:unhideWhenUsed/>
    <w:rsid w:val="00C77FE3"/>
  </w:style>
  <w:style w:type="character" w:styleId="CommentReference">
    <w:name w:val="annotation reference"/>
    <w:basedOn w:val="DefaultParagraphFont"/>
    <w:uiPriority w:val="99"/>
    <w:semiHidden/>
    <w:unhideWhenUsed/>
    <w:rsid w:val="00C77FE3"/>
    <w:rPr>
      <w:sz w:val="16"/>
      <w:szCs w:val="16"/>
    </w:rPr>
  </w:style>
  <w:style w:type="paragraph" w:styleId="CommentText">
    <w:name w:val="annotation text"/>
    <w:basedOn w:val="Normal"/>
    <w:link w:val="CommentTextChar"/>
    <w:uiPriority w:val="99"/>
    <w:unhideWhenUsed/>
    <w:rsid w:val="00C77FE3"/>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C77FE3"/>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C77FE3"/>
    <w:rPr>
      <w:b/>
      <w:bCs/>
    </w:rPr>
  </w:style>
  <w:style w:type="character" w:customStyle="1" w:styleId="CommentSubjectChar">
    <w:name w:val="Comment Subject Char"/>
    <w:basedOn w:val="CommentTextChar"/>
    <w:link w:val="CommentSubject"/>
    <w:uiPriority w:val="99"/>
    <w:semiHidden/>
    <w:rsid w:val="00C77FE3"/>
    <w:rPr>
      <w:rFonts w:asciiTheme="minorHAnsi" w:hAnsiTheme="minorHAnsi" w:cstheme="minorBidi"/>
      <w:b/>
      <w:bCs/>
      <w:sz w:val="20"/>
      <w:szCs w:val="20"/>
    </w:rPr>
  </w:style>
  <w:style w:type="paragraph" w:styleId="FootnoteText">
    <w:name w:val="footnote text"/>
    <w:basedOn w:val="Normal"/>
    <w:link w:val="FootnoteTextChar"/>
    <w:uiPriority w:val="99"/>
    <w:semiHidden/>
    <w:unhideWhenUsed/>
    <w:rsid w:val="00C77FE3"/>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C77FE3"/>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C77FE3"/>
    <w:rPr>
      <w:vertAlign w:val="superscript"/>
    </w:rPr>
  </w:style>
  <w:style w:type="character" w:styleId="Hyperlink">
    <w:name w:val="Hyperlink"/>
    <w:basedOn w:val="DefaultParagraphFont"/>
    <w:uiPriority w:val="99"/>
    <w:unhideWhenUsed/>
    <w:rsid w:val="00C77FE3"/>
    <w:rPr>
      <w:color w:val="467886" w:themeColor="hyperlink"/>
      <w:u w:val="single"/>
    </w:rPr>
  </w:style>
  <w:style w:type="character" w:styleId="UnresolvedMention">
    <w:name w:val="Unresolved Mention"/>
    <w:basedOn w:val="DefaultParagraphFont"/>
    <w:uiPriority w:val="99"/>
    <w:semiHidden/>
    <w:unhideWhenUsed/>
    <w:rsid w:val="00C77FE3"/>
    <w:rPr>
      <w:color w:val="605E5C"/>
      <w:shd w:val="clear" w:color="auto" w:fill="E1DFDD"/>
    </w:rPr>
  </w:style>
  <w:style w:type="paragraph" w:styleId="Header">
    <w:name w:val="header"/>
    <w:basedOn w:val="Normal"/>
    <w:link w:val="HeaderChar"/>
    <w:uiPriority w:val="99"/>
    <w:unhideWhenUsed/>
    <w:rsid w:val="00C77FE3"/>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C77FE3"/>
    <w:rPr>
      <w:rFonts w:asciiTheme="minorHAnsi" w:hAnsiTheme="minorHAnsi" w:cstheme="minorBidi"/>
    </w:rPr>
  </w:style>
  <w:style w:type="paragraph" w:styleId="Footer">
    <w:name w:val="footer"/>
    <w:basedOn w:val="Normal"/>
    <w:link w:val="FooterChar"/>
    <w:uiPriority w:val="99"/>
    <w:unhideWhenUsed/>
    <w:rsid w:val="00C77FE3"/>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C77FE3"/>
    <w:rPr>
      <w:rFonts w:asciiTheme="minorHAnsi" w:hAnsiTheme="minorHAnsi" w:cstheme="minorBidi"/>
    </w:rPr>
  </w:style>
  <w:style w:type="table" w:styleId="TableGrid">
    <w:name w:val="Table Grid"/>
    <w:basedOn w:val="TableNormal"/>
    <w:uiPriority w:val="59"/>
    <w:rsid w:val="00C77FE3"/>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77FE3"/>
    <w:pPr>
      <w:spacing w:after="160" w:line="278" w:lineRule="auto"/>
    </w:pPr>
    <w:rPr>
      <w:rFonts w:eastAsiaTheme="minorHAnsi"/>
      <w:kern w:val="2"/>
      <w14:ligatures w14:val="standardContextual"/>
    </w:rPr>
  </w:style>
  <w:style w:type="paragraph" w:customStyle="1" w:styleId="p1">
    <w:name w:val="p1"/>
    <w:basedOn w:val="Normal"/>
    <w:rsid w:val="00C77FE3"/>
    <w:pPr>
      <w:spacing w:before="100" w:beforeAutospacing="1" w:after="100" w:afterAutospacing="1"/>
    </w:pPr>
  </w:style>
  <w:style w:type="character" w:styleId="EndnoteReference">
    <w:name w:val="endnote reference"/>
    <w:basedOn w:val="DefaultParagraphFont"/>
    <w:uiPriority w:val="99"/>
    <w:semiHidden/>
    <w:unhideWhenUsed/>
    <w:rsid w:val="00C77FE3"/>
    <w:rPr>
      <w:vertAlign w:val="superscript"/>
    </w:rPr>
  </w:style>
  <w:style w:type="paragraph" w:customStyle="1" w:styleId="Compact">
    <w:name w:val="Compact"/>
    <w:basedOn w:val="BodyText"/>
    <w:qFormat/>
    <w:rsid w:val="00C77FE3"/>
    <w:pPr>
      <w:spacing w:before="36" w:after="36" w:line="240" w:lineRule="auto"/>
    </w:pPr>
    <w:rPr>
      <w:kern w:val="0"/>
      <w14:ligatures w14:val="none"/>
    </w:rPr>
  </w:style>
  <w:style w:type="table" w:customStyle="1" w:styleId="Table">
    <w:name w:val="Table"/>
    <w:semiHidden/>
    <w:unhideWhenUsed/>
    <w:qFormat/>
    <w:rsid w:val="00C77FE3"/>
    <w:pPr>
      <w:spacing w:after="200" w:line="240" w:lineRule="auto"/>
    </w:pPr>
    <w:rPr>
      <w:rFonts w:asciiTheme="minorHAnsi" w:hAnsiTheme="minorHAnsi" w:cstheme="minorBidi"/>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odyText">
    <w:name w:val="Body Text"/>
    <w:basedOn w:val="Normal"/>
    <w:link w:val="BodyTextChar"/>
    <w:uiPriority w:val="99"/>
    <w:semiHidden/>
    <w:unhideWhenUsed/>
    <w:rsid w:val="00C77FE3"/>
    <w:pPr>
      <w:spacing w:after="120" w:line="278" w:lineRule="auto"/>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77FE3"/>
    <w:rPr>
      <w:rFonts w:asciiTheme="minorHAnsi" w:hAnsiTheme="minorHAnsi" w:cstheme="minorBidi"/>
    </w:rPr>
  </w:style>
  <w:style w:type="paragraph" w:styleId="Revision">
    <w:name w:val="Revision"/>
    <w:hidden/>
    <w:uiPriority w:val="99"/>
    <w:semiHidden/>
    <w:rsid w:val="00C77FE3"/>
    <w:pPr>
      <w:spacing w:after="0" w:line="240" w:lineRule="auto"/>
    </w:pPr>
    <w:rPr>
      <w:rFonts w:asciiTheme="minorHAnsi" w:hAnsiTheme="minorHAnsi" w:cstheme="minorBidi"/>
    </w:rPr>
  </w:style>
  <w:style w:type="paragraph" w:customStyle="1" w:styleId="p2">
    <w:name w:val="p2"/>
    <w:basedOn w:val="Normal"/>
    <w:rsid w:val="00C77FE3"/>
    <w:pPr>
      <w:spacing w:before="100" w:beforeAutospacing="1" w:after="100" w:afterAutospacing="1"/>
    </w:pPr>
  </w:style>
  <w:style w:type="paragraph" w:customStyle="1" w:styleId="p3">
    <w:name w:val="p3"/>
    <w:basedOn w:val="Normal"/>
    <w:rsid w:val="00C77FE3"/>
    <w:pPr>
      <w:spacing w:before="100" w:beforeAutospacing="1" w:after="100" w:afterAutospacing="1"/>
    </w:pPr>
  </w:style>
  <w:style w:type="character" w:customStyle="1" w:styleId="s1">
    <w:name w:val="s1"/>
    <w:basedOn w:val="DefaultParagraphFont"/>
    <w:rsid w:val="00C77FE3"/>
  </w:style>
  <w:style w:type="character" w:styleId="PlaceholderText">
    <w:name w:val="Placeholder Text"/>
    <w:basedOn w:val="DefaultParagraphFont"/>
    <w:uiPriority w:val="99"/>
    <w:semiHidden/>
    <w:rsid w:val="00C77FE3"/>
    <w:rPr>
      <w:color w:val="666666"/>
    </w:rPr>
  </w:style>
  <w:style w:type="paragraph" w:customStyle="1" w:styleId="Default">
    <w:name w:val="Default"/>
    <w:rsid w:val="00C77FE3"/>
    <w:pPr>
      <w:autoSpaceDE w:val="0"/>
      <w:autoSpaceDN w:val="0"/>
      <w:adjustRightInd w:val="0"/>
      <w:spacing w:after="0" w:line="240" w:lineRule="auto"/>
    </w:pPr>
    <w:rPr>
      <w:rFonts w:eastAsiaTheme="minorEastAsia"/>
      <w:color w:val="000000"/>
      <w:kern w:val="0"/>
      <w:lang w:eastAsia="ko-KR"/>
      <w14:ligatures w14:val="none"/>
    </w:rPr>
  </w:style>
  <w:style w:type="character" w:styleId="Strong">
    <w:name w:val="Strong"/>
    <w:basedOn w:val="DefaultParagraphFont"/>
    <w:uiPriority w:val="22"/>
    <w:qFormat/>
    <w:rsid w:val="00C77FE3"/>
    <w:rPr>
      <w:b/>
      <w:bCs/>
    </w:rPr>
  </w:style>
  <w:style w:type="numbering" w:customStyle="1" w:styleId="Singlepunch">
    <w:name w:val="Single punch"/>
    <w:rsid w:val="00C77FE3"/>
    <w:pPr>
      <w:numPr>
        <w:numId w:val="14"/>
      </w:numPr>
    </w:pPr>
  </w:style>
  <w:style w:type="paragraph" w:styleId="PlainText">
    <w:name w:val="Plain Text"/>
    <w:basedOn w:val="Normal"/>
    <w:link w:val="PlainTextChar"/>
    <w:uiPriority w:val="99"/>
    <w:semiHidden/>
    <w:unhideWhenUsed/>
    <w:rsid w:val="00C77FE3"/>
    <w:rPr>
      <w:rFonts w:ascii="Consolas" w:hAnsi="Consolas"/>
      <w:sz w:val="21"/>
      <w:szCs w:val="21"/>
    </w:rPr>
  </w:style>
  <w:style w:type="character" w:customStyle="1" w:styleId="PlainTextChar">
    <w:name w:val="Plain Text Char"/>
    <w:basedOn w:val="DefaultParagraphFont"/>
    <w:link w:val="PlainText"/>
    <w:uiPriority w:val="99"/>
    <w:semiHidden/>
    <w:rsid w:val="00C77FE3"/>
    <w:rPr>
      <w:rFonts w:ascii="Consolas" w:eastAsia="Times New Roman" w:hAnsi="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77/0022243780017004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509/jmr.15.0044" TargetMode="External"/><Relationship Id="rId5" Type="http://schemas.openxmlformats.org/officeDocument/2006/relationships/hyperlink" Target="https://doi.org/10.1177/00222437800170040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6142</Words>
  <Characters>35010</Characters>
  <Application>Microsoft Office Word</Application>
  <DocSecurity>0</DocSecurity>
  <Lines>291</Lines>
  <Paragraphs>82</Paragraphs>
  <ScaleCrop>false</ScaleCrop>
  <Company/>
  <LinksUpToDate>false</LinksUpToDate>
  <CharactersWithSpaces>41070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Ashwin Malshe</dc:creator>
  <cp:keywords/>
  <dc:description/>
  <cp:lastModifiedBy>Ashwin Malshe</cp:lastModifiedBy>
  <cp:revision>1</cp:revision>
  <dcterms:created xsi:type="dcterms:W3CDTF">2026-06-01T19:41:00Z</dcterms:created>
  <dcterms:modified xsi:type="dcterms:W3CDTF">2026-06-01T19:43:00Z</dcterms:modified>
</cp:coreProperties>
</file>