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75C5" w14:textId="7AF9D016" w:rsidR="002A7C6E" w:rsidRDefault="00F04F1E" w:rsidP="00F04F1E">
      <w:pPr>
        <w:pStyle w:val="MDPI63Notes"/>
        <w:rPr>
          <w:sz w:val="24"/>
        </w:rPr>
      </w:pPr>
      <w:r>
        <w:rPr>
          <w:b/>
          <w:sz w:val="24"/>
        </w:rPr>
        <w:t xml:space="preserve">Appendix B: </w:t>
      </w:r>
      <w:r w:rsidRPr="00FD12F1">
        <w:rPr>
          <w:b/>
          <w:sz w:val="24"/>
        </w:rPr>
        <w:t xml:space="preserve">Supplementary </w:t>
      </w:r>
      <w:r w:rsidR="00266076">
        <w:rPr>
          <w:b/>
          <w:sz w:val="24"/>
        </w:rPr>
        <w:t>m</w:t>
      </w:r>
      <w:r w:rsidRPr="00FD12F1">
        <w:rPr>
          <w:b/>
          <w:sz w:val="24"/>
        </w:rPr>
        <w:t>aterials</w:t>
      </w:r>
      <w:r w:rsidR="00266076">
        <w:rPr>
          <w:sz w:val="24"/>
        </w:rPr>
        <w:t>: Figures</w:t>
      </w:r>
    </w:p>
    <w:p w14:paraId="166390F1" w14:textId="432AED7F" w:rsidR="002A7C6E" w:rsidRDefault="009C680F" w:rsidP="002A7C6E">
      <w:pPr>
        <w:spacing w:after="160" w:line="259" w:lineRule="auto"/>
        <w:jc w:val="left"/>
        <w:rPr>
          <w:rFonts w:eastAsia="Times New Roman"/>
          <w:b/>
          <w:noProof w:val="0"/>
          <w:snapToGrid w:val="0"/>
          <w:color w:val="auto"/>
          <w:lang w:eastAsia="de-DE" w:bidi="en-US"/>
        </w:rPr>
      </w:pPr>
      <w:r>
        <w:rPr>
          <w:rFonts w:eastAsia="Times New Roman"/>
          <w:b/>
          <w:color w:val="auto"/>
          <w:lang w:eastAsia="de-DE" w:bidi="en-US"/>
        </w:rPr>
        <w:drawing>
          <wp:anchor distT="0" distB="0" distL="114300" distR="114300" simplePos="0" relativeHeight="251662336" behindDoc="0" locked="0" layoutInCell="1" allowOverlap="1" wp14:anchorId="2308285C" wp14:editId="3ED485F3">
            <wp:simplePos x="0" y="0"/>
            <wp:positionH relativeFrom="margin">
              <wp:align>right</wp:align>
            </wp:positionH>
            <wp:positionV relativeFrom="paragraph">
              <wp:posOffset>333375</wp:posOffset>
            </wp:positionV>
            <wp:extent cx="608330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510" y="21512"/>
                <wp:lineTo x="2151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0" b="25925"/>
                    <a:stretch/>
                  </pic:blipFill>
                  <pic:spPr bwMode="auto">
                    <a:xfrm>
                      <a:off x="0" y="0"/>
                      <a:ext cx="608330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C5626" w14:textId="60BCB9A6" w:rsidR="002A7C6E" w:rsidRPr="002A7C6E" w:rsidRDefault="002A7C6E" w:rsidP="002A7C6E">
      <w:pPr>
        <w:spacing w:after="160" w:line="259" w:lineRule="auto"/>
        <w:jc w:val="left"/>
        <w:rPr>
          <w:rFonts w:eastAsia="Times New Roman"/>
          <w:i/>
          <w:iCs/>
          <w:noProof w:val="0"/>
          <w:color w:val="auto"/>
          <w:szCs w:val="24"/>
          <w:u w:color="000000"/>
          <w:lang w:eastAsia="de-DE"/>
        </w:rPr>
      </w:pPr>
      <w:r w:rsidRPr="002A7C6E">
        <w:rPr>
          <w:rFonts w:eastAsia="Times New Roman"/>
          <w:i/>
          <w:iCs/>
          <w:noProof w:val="0"/>
          <w:color w:val="auto"/>
          <w:szCs w:val="24"/>
          <w:u w:color="000000"/>
          <w:lang w:eastAsia="de-DE"/>
        </w:rPr>
        <w:t>*</w:t>
      </w:r>
      <w:proofErr w:type="gramStart"/>
      <w:r w:rsidRPr="002A7C6E">
        <w:rPr>
          <w:rFonts w:eastAsia="Times New Roman"/>
          <w:i/>
          <w:iCs/>
          <w:noProof w:val="0"/>
          <w:color w:val="auto"/>
          <w:szCs w:val="24"/>
          <w:u w:color="000000"/>
          <w:lang w:eastAsia="de-DE"/>
        </w:rPr>
        <w:t>outlier</w:t>
      </w:r>
      <w:proofErr w:type="gramEnd"/>
    </w:p>
    <w:p w14:paraId="4E6F50C9" w14:textId="2E966274" w:rsidR="002A7C6E" w:rsidRPr="002A7C6E" w:rsidRDefault="002A7C6E" w:rsidP="002A7C6E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noProof w:val="0"/>
          <w:color w:val="auto"/>
        </w:rPr>
      </w:pPr>
      <w:r w:rsidRPr="002A7C6E">
        <w:rPr>
          <w:b/>
          <w:color w:val="auto"/>
        </w:rPr>
        <w:t xml:space="preserve">Figure </w:t>
      </w:r>
      <w:r>
        <w:rPr>
          <w:b/>
          <w:color w:val="auto"/>
        </w:rPr>
        <w:t>A</w:t>
      </w:r>
      <w:r w:rsidR="00FD5CE1">
        <w:rPr>
          <w:b/>
          <w:color w:val="auto"/>
        </w:rPr>
        <w:t>1</w:t>
      </w:r>
      <w:r w:rsidRPr="002A7C6E">
        <w:rPr>
          <w:b/>
          <w:color w:val="auto"/>
        </w:rPr>
        <w:t xml:space="preserve">. </w:t>
      </w:r>
      <w:r w:rsidRPr="002A7C6E">
        <w:rPr>
          <w:color w:val="auto"/>
        </w:rPr>
        <w:t xml:space="preserve">Changes in different food groups (HEI-EPIC). </w:t>
      </w:r>
    </w:p>
    <w:p w14:paraId="7E49FE34" w14:textId="712883F6" w:rsidR="002A7C6E" w:rsidRDefault="002A7C6E">
      <w:pPr>
        <w:spacing w:after="160" w:line="259" w:lineRule="auto"/>
        <w:jc w:val="left"/>
        <w:rPr>
          <w:noProof w:val="0"/>
          <w:snapToGrid w:val="0"/>
          <w:sz w:val="24"/>
          <w:lang w:eastAsia="en-US" w:bidi="en-US"/>
        </w:rPr>
      </w:pPr>
      <w:r>
        <w:rPr>
          <w:sz w:val="24"/>
        </w:rPr>
        <w:br w:type="page"/>
      </w:r>
    </w:p>
    <w:p w14:paraId="36E4F8FC" w14:textId="65CE37D5" w:rsidR="00F04F1E" w:rsidRPr="002A7C6E" w:rsidRDefault="002A7C6E" w:rsidP="002A7C6E">
      <w:pPr>
        <w:pStyle w:val="MDPI63Notes"/>
        <w:rPr>
          <w:sz w:val="20"/>
        </w:rPr>
      </w:pPr>
      <w:r w:rsidRPr="002A7C6E">
        <w:rPr>
          <w:b/>
          <w:noProof/>
          <w:sz w:val="20"/>
          <w:lang w:val="de-DE" w:bidi="ar-SA"/>
        </w:rPr>
        <w:lastRenderedPageBreak/>
        <w:drawing>
          <wp:anchor distT="0" distB="0" distL="114300" distR="114300" simplePos="0" relativeHeight="251659264" behindDoc="0" locked="0" layoutInCell="1" allowOverlap="1" wp14:anchorId="209BC4E7" wp14:editId="17F4960D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7215412" cy="2433282"/>
            <wp:effectExtent l="0" t="0" r="5080" b="571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arrieren_2.em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367" r="489" b="39538"/>
                    <a:stretch/>
                  </pic:blipFill>
                  <pic:spPr bwMode="auto">
                    <a:xfrm>
                      <a:off x="0" y="0"/>
                      <a:ext cx="7215412" cy="2433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F1E" w:rsidRPr="002A7C6E">
        <w:rPr>
          <w:b/>
          <w:sz w:val="20"/>
        </w:rPr>
        <w:t>Figure A</w:t>
      </w:r>
      <w:r w:rsidR="00FD5CE1">
        <w:rPr>
          <w:b/>
          <w:sz w:val="20"/>
        </w:rPr>
        <w:t>2</w:t>
      </w:r>
      <w:r w:rsidR="00F04F1E" w:rsidRPr="002A7C6E">
        <w:rPr>
          <w:b/>
          <w:sz w:val="20"/>
        </w:rPr>
        <w:t xml:space="preserve">. </w:t>
      </w:r>
      <w:r w:rsidR="00F04F1E" w:rsidRPr="0073023A">
        <w:rPr>
          <w:bCs/>
          <w:sz w:val="20"/>
        </w:rPr>
        <w:t>Barriers and facilitators.</w:t>
      </w:r>
    </w:p>
    <w:p w14:paraId="09309D1D" w14:textId="77777777" w:rsidR="00F04F1E" w:rsidRDefault="00F04F1E" w:rsidP="002A7C6E">
      <w:pPr>
        <w:pStyle w:val="MDPI51figurecaption"/>
        <w:spacing w:line="480" w:lineRule="auto"/>
        <w:ind w:left="0"/>
        <w:rPr>
          <w:sz w:val="20"/>
          <w:szCs w:val="24"/>
        </w:rPr>
      </w:pPr>
      <w:r w:rsidRPr="00E8259B">
        <w:rPr>
          <w:rFonts w:eastAsia="SimSun"/>
          <w:noProof/>
          <w:sz w:val="20"/>
          <w:szCs w:val="24"/>
          <w:lang w:eastAsia="zh-CN" w:bidi="ar-SA"/>
        </w:rPr>
        <w:t>T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he median of the ten barriers and </w:t>
      </w:r>
      <w:r w:rsidRPr="00E8259B">
        <w:rPr>
          <w:rFonts w:eastAsia="SimSun"/>
          <w:noProof/>
          <w:sz w:val="20"/>
          <w:szCs w:val="24"/>
          <w:lang w:eastAsia="zh-CN" w:bidi="ar-SA"/>
        </w:rPr>
        <w:t>facilitators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 decreased in IG and CG at T3 </w:t>
      </w:r>
      <w:r w:rsidRPr="00E8259B">
        <w:rPr>
          <w:rFonts w:eastAsia="SimSun"/>
          <w:noProof/>
          <w:sz w:val="20"/>
          <w:szCs w:val="24"/>
          <w:lang w:eastAsia="zh-CN" w:bidi="ar-SA"/>
        </w:rPr>
        <w:t>(Table 4). T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o the question 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If I eat a healthy diet, i.e. a varied diet with a high proportion of plant foods...</w:t>
      </w:r>
      <w:r w:rsidRPr="00E8259B">
        <w:rPr>
          <w:rFonts w:eastAsia="SimSun"/>
          <w:noProof/>
          <w:sz w:val="20"/>
          <w:szCs w:val="24"/>
          <w:lang w:eastAsia="zh-CN" w:bidi="ar-SA"/>
        </w:rPr>
        <w:t>", the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 three most commonly reported (extremely and very important) facilitators that increased to T3 (both groups) were on the mental basis: 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 simply feel better mentally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, 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 will be happier and more balanced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 and 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 have more energy</w:t>
      </w:r>
      <w:r w:rsidRPr="00E8259B">
        <w:rPr>
          <w:rFonts w:eastAsia="SimSun"/>
          <w:noProof/>
          <w:sz w:val="20"/>
          <w:szCs w:val="24"/>
          <w:lang w:eastAsia="zh-CN" w:bidi="ar-SA"/>
        </w:rPr>
        <w:t>".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 The three most commonly reported barriers that decreased to T3 (both </w:t>
      </w:r>
      <w:r w:rsidRPr="00E8259B">
        <w:rPr>
          <w:rFonts w:eastAsia="SimSun"/>
          <w:iCs/>
          <w:noProof/>
          <w:color w:val="auto"/>
          <w:sz w:val="20"/>
          <w:szCs w:val="24"/>
          <w:lang w:eastAsia="zh-CN" w:bidi="ar-SA"/>
        </w:rPr>
        <w:t xml:space="preserve">groups) 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were on the physical basis: 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 feel very restricted when eating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, 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 don`t get really full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 xml:space="preserve"> and 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 have to eat things I don’t like</w:t>
      </w:r>
      <w:r w:rsidRPr="00E8259B">
        <w:rPr>
          <w:rFonts w:eastAsia="SimSun"/>
          <w:noProof/>
          <w:sz w:val="20"/>
          <w:szCs w:val="24"/>
          <w:lang w:eastAsia="zh-CN" w:bidi="ar-SA"/>
        </w:rPr>
        <w:t>"</w:t>
      </w:r>
      <w:r w:rsidRPr="00E8259B">
        <w:rPr>
          <w:rFonts w:eastAsia="SimSun"/>
          <w:iCs/>
          <w:noProof/>
          <w:color w:val="auto"/>
          <w:sz w:val="20"/>
          <w:szCs w:val="24"/>
          <w:lang w:eastAsia="zh-CN" w:bidi="ar-SA"/>
        </w:rPr>
        <w:t xml:space="preserve">. Facilitators and barriers decreased slightly more in the IG, as reflected </w:t>
      </w:r>
      <w:r w:rsidRPr="00E8259B">
        <w:rPr>
          <w:rFonts w:eastAsia="SimSun"/>
          <w:iCs/>
          <w:noProof/>
          <w:sz w:val="20"/>
          <w:szCs w:val="24"/>
          <w:lang w:eastAsia="zh-CN" w:bidi="ar-SA"/>
        </w:rPr>
        <w:t>in the median.</w:t>
      </w:r>
      <w:r w:rsidRPr="00E8259B">
        <w:rPr>
          <w:sz w:val="20"/>
          <w:szCs w:val="24"/>
        </w:rPr>
        <w:t xml:space="preserve"> </w:t>
      </w:r>
    </w:p>
    <w:p w14:paraId="2908128A" w14:textId="77777777" w:rsidR="00F04F1E" w:rsidRDefault="00F04F1E" w:rsidP="00F04F1E">
      <w:pPr>
        <w:spacing w:after="160" w:line="259" w:lineRule="auto"/>
        <w:jc w:val="left"/>
        <w:rPr>
          <w:rFonts w:eastAsia="Times New Roman"/>
          <w:noProof w:val="0"/>
          <w:szCs w:val="24"/>
          <w:lang w:eastAsia="de-DE" w:bidi="en-US"/>
        </w:rPr>
      </w:pPr>
      <w:r>
        <w:rPr>
          <w:szCs w:val="24"/>
        </w:rPr>
        <w:br w:type="page"/>
      </w:r>
    </w:p>
    <w:p w14:paraId="35BC0A08" w14:textId="3F00B652" w:rsidR="00F04F1E" w:rsidRPr="002A7C6E" w:rsidRDefault="00F04F1E" w:rsidP="002F03EC">
      <w:pPr>
        <w:pStyle w:val="MDPI51figurecaption"/>
        <w:ind w:left="0"/>
        <w:rPr>
          <w:rFonts w:ascii="Times New Roman" w:hAnsi="Times New Roman"/>
          <w:color w:val="auto"/>
          <w:sz w:val="20"/>
        </w:rPr>
      </w:pPr>
      <w:r w:rsidRPr="00832694">
        <w:rPr>
          <w:iCs/>
          <w:noProof/>
          <w:color w:val="FF0000"/>
          <w:sz w:val="24"/>
          <w:szCs w:val="24"/>
          <w:lang w:val="de-DE" w:bidi="ar-SA"/>
        </w:rPr>
        <w:lastRenderedPageBreak/>
        <w:drawing>
          <wp:anchor distT="0" distB="0" distL="114300" distR="114300" simplePos="0" relativeHeight="251660288" behindDoc="0" locked="0" layoutInCell="1" allowOverlap="1" wp14:anchorId="57CEDFCD" wp14:editId="376D8B36">
            <wp:simplePos x="0" y="0"/>
            <wp:positionH relativeFrom="margin">
              <wp:posOffset>-313055</wp:posOffset>
            </wp:positionH>
            <wp:positionV relativeFrom="paragraph">
              <wp:posOffset>635</wp:posOffset>
            </wp:positionV>
            <wp:extent cx="6084000" cy="2392678"/>
            <wp:effectExtent l="0" t="0" r="0" b="8255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TM_Stages.em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9" t="28905" r="4558" b="12233"/>
                    <a:stretch/>
                  </pic:blipFill>
                  <pic:spPr bwMode="auto">
                    <a:xfrm>
                      <a:off x="0" y="0"/>
                      <a:ext cx="6084000" cy="2392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3EC">
        <w:rPr>
          <w:b/>
          <w:sz w:val="20"/>
        </w:rPr>
        <w:t>F</w:t>
      </w:r>
      <w:r w:rsidRPr="002A7C6E">
        <w:rPr>
          <w:b/>
          <w:sz w:val="20"/>
        </w:rPr>
        <w:t>igure A</w:t>
      </w:r>
      <w:r w:rsidR="00FD5CE1">
        <w:rPr>
          <w:b/>
          <w:sz w:val="20"/>
        </w:rPr>
        <w:t>3</w:t>
      </w:r>
      <w:r w:rsidRPr="002A7C6E">
        <w:rPr>
          <w:b/>
          <w:sz w:val="20"/>
        </w:rPr>
        <w:t xml:space="preserve">. </w:t>
      </w:r>
      <w:r w:rsidRPr="0073023A">
        <w:rPr>
          <w:bCs/>
          <w:sz w:val="20"/>
        </w:rPr>
        <w:t>TTM-Stages.</w:t>
      </w:r>
    </w:p>
    <w:p w14:paraId="09D99CD7" w14:textId="1FC57721" w:rsidR="00F04F1E" w:rsidRPr="00B52FD0" w:rsidRDefault="00F04F1E" w:rsidP="002A7C6E">
      <w:pPr>
        <w:pStyle w:val="MDPI51figurecaption"/>
        <w:spacing w:line="480" w:lineRule="auto"/>
        <w:ind w:left="0"/>
        <w:rPr>
          <w:iCs/>
          <w:sz w:val="20"/>
          <w:szCs w:val="24"/>
        </w:rPr>
      </w:pPr>
      <w:r w:rsidRPr="00B871E2">
        <w:rPr>
          <w:iCs/>
          <w:color w:val="auto"/>
          <w:sz w:val="20"/>
          <w:szCs w:val="24"/>
        </w:rPr>
        <w:t xml:space="preserve">The TTM-stages were also assessed. For the question </w:t>
      </w:r>
      <w:r w:rsidRPr="00B871E2">
        <w:rPr>
          <w:sz w:val="20"/>
          <w:szCs w:val="24"/>
        </w:rPr>
        <w:t>"</w:t>
      </w:r>
      <w:r w:rsidRPr="00B871E2">
        <w:rPr>
          <w:iCs/>
          <w:color w:val="auto"/>
          <w:sz w:val="20"/>
          <w:szCs w:val="24"/>
        </w:rPr>
        <w:t xml:space="preserve">Do you eat a healthy diet most of the time, </w:t>
      </w:r>
      <w:proofErr w:type="gramStart"/>
      <w:r w:rsidRPr="00B871E2">
        <w:rPr>
          <w:iCs/>
          <w:color w:val="auto"/>
          <w:sz w:val="20"/>
          <w:szCs w:val="24"/>
        </w:rPr>
        <w:t>i.e.</w:t>
      </w:r>
      <w:proofErr w:type="gramEnd"/>
      <w:r w:rsidRPr="00B871E2">
        <w:rPr>
          <w:iCs/>
          <w:color w:val="auto"/>
          <w:sz w:val="20"/>
          <w:szCs w:val="24"/>
        </w:rPr>
        <w:t xml:space="preserve"> a varied diet with a high proportion of plant foods?</w:t>
      </w:r>
      <w:r w:rsidRPr="00B871E2">
        <w:rPr>
          <w:sz w:val="20"/>
          <w:szCs w:val="24"/>
        </w:rPr>
        <w:t>"</w:t>
      </w:r>
      <w:r w:rsidRPr="00B871E2">
        <w:rPr>
          <w:iCs/>
          <w:color w:val="auto"/>
          <w:sz w:val="20"/>
          <w:szCs w:val="24"/>
        </w:rPr>
        <w:t xml:space="preserve">, the most common stage in IG and CG at T1 and T3 was at the highest stage 5 (Maintenance). In the IG, the proportions (with 54.8% and 67.9%) were higher at T1 and </w:t>
      </w:r>
      <w:r w:rsidRPr="0065395E">
        <w:rPr>
          <w:iCs/>
          <w:color w:val="auto"/>
          <w:sz w:val="20"/>
          <w:szCs w:val="24"/>
        </w:rPr>
        <w:t>T3 than in the CG (with 37.6 and 54.7). Both groups could improve their maintains with the respect to T1 to T3 (Figure 3). No significant i</w:t>
      </w:r>
      <w:r w:rsidRPr="0065395E">
        <w:rPr>
          <w:iCs/>
          <w:sz w:val="20"/>
          <w:szCs w:val="24"/>
        </w:rPr>
        <w:t>mprovements between the group could be found at T3 (</w:t>
      </w:r>
      <w:r w:rsidR="00B52FD0" w:rsidRPr="0065395E">
        <w:rPr>
          <w:i/>
          <w:sz w:val="20"/>
          <w:szCs w:val="24"/>
        </w:rPr>
        <w:t xml:space="preserve">p </w:t>
      </w:r>
      <w:r w:rsidRPr="0065395E">
        <w:rPr>
          <w:iCs/>
          <w:sz w:val="20"/>
          <w:szCs w:val="24"/>
        </w:rPr>
        <w:t xml:space="preserve">= </w:t>
      </w:r>
      <w:r w:rsidR="00B52FD0" w:rsidRPr="0065395E">
        <w:rPr>
          <w:iCs/>
          <w:sz w:val="20"/>
          <w:szCs w:val="24"/>
        </w:rPr>
        <w:t>0</w:t>
      </w:r>
      <w:r w:rsidRPr="0065395E">
        <w:rPr>
          <w:iCs/>
          <w:sz w:val="20"/>
          <w:szCs w:val="24"/>
        </w:rPr>
        <w:t>.454). In more detail, the improvements from T1 to T3 (</w:t>
      </w:r>
      <w:r w:rsidR="00B52FD0" w:rsidRPr="0065395E">
        <w:rPr>
          <w:i/>
          <w:sz w:val="20"/>
          <w:szCs w:val="24"/>
        </w:rPr>
        <w:t>p</w:t>
      </w:r>
      <w:r w:rsidRPr="0065395E">
        <w:rPr>
          <w:iCs/>
          <w:sz w:val="20"/>
          <w:szCs w:val="24"/>
        </w:rPr>
        <w:t xml:space="preserve"> = </w:t>
      </w:r>
      <w:r w:rsidR="00B52FD0" w:rsidRPr="0065395E">
        <w:rPr>
          <w:iCs/>
          <w:sz w:val="20"/>
          <w:szCs w:val="24"/>
        </w:rPr>
        <w:t>0</w:t>
      </w:r>
      <w:r w:rsidRPr="0065395E">
        <w:rPr>
          <w:iCs/>
          <w:sz w:val="20"/>
          <w:szCs w:val="24"/>
        </w:rPr>
        <w:t>.033) and from T2 to T3 (</w:t>
      </w:r>
      <w:r w:rsidR="00B52FD0" w:rsidRPr="0065395E">
        <w:rPr>
          <w:i/>
          <w:sz w:val="20"/>
          <w:szCs w:val="24"/>
        </w:rPr>
        <w:t>p</w:t>
      </w:r>
      <w:r w:rsidRPr="0065395E">
        <w:rPr>
          <w:iCs/>
          <w:sz w:val="20"/>
          <w:szCs w:val="24"/>
        </w:rPr>
        <w:t xml:space="preserve"> = </w:t>
      </w:r>
      <w:r w:rsidR="00B52FD0" w:rsidRPr="0065395E">
        <w:rPr>
          <w:iCs/>
          <w:sz w:val="20"/>
          <w:szCs w:val="24"/>
        </w:rPr>
        <w:t>0</w:t>
      </w:r>
      <w:r w:rsidRPr="0065395E">
        <w:rPr>
          <w:iCs/>
          <w:sz w:val="20"/>
          <w:szCs w:val="24"/>
        </w:rPr>
        <w:t>.013) in CG and from T1 to T3 (</w:t>
      </w:r>
      <w:r w:rsidR="00B52FD0" w:rsidRPr="0065395E">
        <w:rPr>
          <w:i/>
          <w:sz w:val="20"/>
          <w:szCs w:val="24"/>
        </w:rPr>
        <w:t>p</w:t>
      </w:r>
      <w:r w:rsidRPr="0065395E">
        <w:rPr>
          <w:iCs/>
          <w:sz w:val="20"/>
          <w:szCs w:val="24"/>
        </w:rPr>
        <w:t xml:space="preserve"> = </w:t>
      </w:r>
      <w:r w:rsidR="00B52FD0" w:rsidRPr="0065395E">
        <w:rPr>
          <w:iCs/>
          <w:sz w:val="20"/>
          <w:szCs w:val="24"/>
        </w:rPr>
        <w:t>0</w:t>
      </w:r>
      <w:r w:rsidRPr="0065395E">
        <w:rPr>
          <w:iCs/>
          <w:sz w:val="20"/>
          <w:szCs w:val="24"/>
        </w:rPr>
        <w:t>.009) in the IG were statistically significant.</w:t>
      </w:r>
      <w:r w:rsidRPr="00B871E2">
        <w:rPr>
          <w:iCs/>
          <w:color w:val="auto"/>
          <w:sz w:val="20"/>
          <w:szCs w:val="24"/>
        </w:rPr>
        <w:t xml:space="preserve">  </w:t>
      </w:r>
    </w:p>
    <w:p w14:paraId="7C62A5F7" w14:textId="77777777" w:rsidR="00F04F1E" w:rsidRDefault="00F04F1E" w:rsidP="00F04F1E">
      <w:pPr>
        <w:pStyle w:val="MDPI51figurecaption"/>
        <w:tabs>
          <w:tab w:val="left" w:pos="3686"/>
        </w:tabs>
        <w:ind w:left="0"/>
        <w:rPr>
          <w:sz w:val="24"/>
          <w:szCs w:val="24"/>
        </w:rPr>
      </w:pPr>
    </w:p>
    <w:p w14:paraId="6F85E7F8" w14:textId="77777777" w:rsidR="00F04F1E" w:rsidRDefault="00F04F1E" w:rsidP="00F04F1E">
      <w:pPr>
        <w:spacing w:after="160" w:line="259" w:lineRule="auto"/>
        <w:jc w:val="left"/>
        <w:rPr>
          <w:rFonts w:eastAsia="Times New Roman"/>
          <w:noProof w:val="0"/>
          <w:sz w:val="18"/>
          <w:lang w:eastAsia="de-DE" w:bidi="en-US"/>
        </w:rPr>
      </w:pPr>
      <w:r>
        <w:br w:type="page"/>
      </w:r>
    </w:p>
    <w:p w14:paraId="7F20FD04" w14:textId="195F503E" w:rsidR="00F04F1E" w:rsidRPr="002A7C6E" w:rsidRDefault="00F04F1E" w:rsidP="00F04F1E">
      <w:pPr>
        <w:pStyle w:val="MDPI51figurecaption"/>
        <w:tabs>
          <w:tab w:val="left" w:pos="1762"/>
        </w:tabs>
        <w:ind w:left="0"/>
        <w:rPr>
          <w:sz w:val="20"/>
        </w:rPr>
      </w:pPr>
      <w:r w:rsidRPr="00A23E78">
        <w:rPr>
          <w:rFonts w:ascii="Times New Roman" w:hAnsi="Times New Roman"/>
          <w:noProof/>
          <w:color w:val="auto"/>
          <w:sz w:val="24"/>
          <w:szCs w:val="24"/>
          <w:lang w:val="de-DE" w:bidi="ar-SA"/>
        </w:rPr>
        <w:lastRenderedPageBreak/>
        <w:drawing>
          <wp:anchor distT="0" distB="0" distL="114300" distR="114300" simplePos="0" relativeHeight="251661312" behindDoc="0" locked="0" layoutInCell="1" allowOverlap="1" wp14:anchorId="00C8374C" wp14:editId="5B7A9144">
            <wp:simplePos x="0" y="0"/>
            <wp:positionH relativeFrom="margin">
              <wp:align>left</wp:align>
            </wp:positionH>
            <wp:positionV relativeFrom="paragraph">
              <wp:posOffset>37</wp:posOffset>
            </wp:positionV>
            <wp:extent cx="6084000" cy="3356261"/>
            <wp:effectExtent l="0" t="0" r="0" b="0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lie1.EM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4" t="29089" r="30877" b="31973"/>
                    <a:stretch/>
                  </pic:blipFill>
                  <pic:spPr bwMode="auto">
                    <a:xfrm>
                      <a:off x="0" y="0"/>
                      <a:ext cx="6084000" cy="3356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C6E">
        <w:rPr>
          <w:b/>
          <w:sz w:val="20"/>
        </w:rPr>
        <w:t>Figure A</w:t>
      </w:r>
      <w:r w:rsidR="00FD5CE1">
        <w:rPr>
          <w:b/>
          <w:sz w:val="20"/>
        </w:rPr>
        <w:t>4</w:t>
      </w:r>
      <w:r w:rsidRPr="002A7C6E">
        <w:rPr>
          <w:b/>
          <w:sz w:val="20"/>
        </w:rPr>
        <w:t xml:space="preserve">. </w:t>
      </w:r>
      <w:r w:rsidRPr="002A7C6E">
        <w:rPr>
          <w:sz w:val="20"/>
        </w:rPr>
        <w:t>Satisfaction with the CFC-nutrition module (T3).</w:t>
      </w:r>
    </w:p>
    <w:p w14:paraId="2F978042" w14:textId="77777777" w:rsidR="00F04F1E" w:rsidRDefault="00F04F1E" w:rsidP="00F04F1E">
      <w:pPr>
        <w:pStyle w:val="MDPI51figurecaption"/>
        <w:tabs>
          <w:tab w:val="left" w:pos="2751"/>
        </w:tabs>
        <w:ind w:left="0"/>
      </w:pPr>
    </w:p>
    <w:p w14:paraId="62203CEA" w14:textId="77777777" w:rsidR="00F04F1E" w:rsidRPr="00692D8E" w:rsidRDefault="00F04F1E" w:rsidP="00F04F1E">
      <w:pPr>
        <w:rPr>
          <w:lang w:eastAsia="de-DE" w:bidi="en-US"/>
        </w:rPr>
      </w:pPr>
    </w:p>
    <w:p w14:paraId="09CDCE27" w14:textId="77777777" w:rsidR="00F04F1E" w:rsidRPr="00692D8E" w:rsidRDefault="00F04F1E" w:rsidP="00F04F1E">
      <w:pPr>
        <w:rPr>
          <w:lang w:eastAsia="de-DE" w:bidi="en-US"/>
        </w:rPr>
      </w:pPr>
    </w:p>
    <w:p w14:paraId="376A6C49" w14:textId="77777777" w:rsidR="00F04F1E" w:rsidRPr="00692D8E" w:rsidRDefault="00F04F1E" w:rsidP="00F04F1E">
      <w:pPr>
        <w:rPr>
          <w:lang w:eastAsia="de-DE" w:bidi="en-US"/>
        </w:rPr>
      </w:pPr>
    </w:p>
    <w:p w14:paraId="08C8F641" w14:textId="77777777" w:rsidR="00327280" w:rsidRDefault="007632B1"/>
    <w:sectPr w:rsidR="003272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F361" w14:textId="77777777" w:rsidR="00F04F1E" w:rsidRDefault="00F04F1E" w:rsidP="00F04F1E">
      <w:pPr>
        <w:spacing w:line="240" w:lineRule="auto"/>
      </w:pPr>
      <w:r>
        <w:separator/>
      </w:r>
    </w:p>
  </w:endnote>
  <w:endnote w:type="continuationSeparator" w:id="0">
    <w:p w14:paraId="596E8C9E" w14:textId="77777777" w:rsidR="00F04F1E" w:rsidRDefault="00F04F1E" w:rsidP="00F04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9DC7C" w14:textId="77777777" w:rsidR="00F04F1E" w:rsidRDefault="00F04F1E" w:rsidP="00F04F1E">
      <w:pPr>
        <w:spacing w:line="240" w:lineRule="auto"/>
      </w:pPr>
      <w:r>
        <w:separator/>
      </w:r>
    </w:p>
  </w:footnote>
  <w:footnote w:type="continuationSeparator" w:id="0">
    <w:p w14:paraId="3F219192" w14:textId="77777777" w:rsidR="00F04F1E" w:rsidRDefault="00F04F1E" w:rsidP="00F04F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F1E"/>
    <w:rsid w:val="00087BAA"/>
    <w:rsid w:val="001252F5"/>
    <w:rsid w:val="00171C4A"/>
    <w:rsid w:val="00266076"/>
    <w:rsid w:val="002A7C6E"/>
    <w:rsid w:val="002F03EC"/>
    <w:rsid w:val="002F2200"/>
    <w:rsid w:val="00516C28"/>
    <w:rsid w:val="0065395E"/>
    <w:rsid w:val="0073023A"/>
    <w:rsid w:val="009C680F"/>
    <w:rsid w:val="00B52FD0"/>
    <w:rsid w:val="00CB7CF8"/>
    <w:rsid w:val="00D33B18"/>
    <w:rsid w:val="00F04F1E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94C1"/>
  <w15:chartTrackingRefBased/>
  <w15:docId w15:val="{EB64EA90-3DB4-493D-9A02-9EE4D076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4F1E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51figurecaption">
    <w:name w:val="MDPI_5.1_figure_caption"/>
    <w:qFormat/>
    <w:rsid w:val="00F04F1E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Kopfzeile">
    <w:name w:val="header"/>
    <w:basedOn w:val="Standard"/>
    <w:link w:val="KopfzeileZchn"/>
    <w:uiPriority w:val="99"/>
    <w:unhideWhenUsed/>
    <w:rsid w:val="00F04F1E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4F1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F04F1E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4F1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customStyle="1" w:styleId="MDPI63Notes">
    <w:name w:val="MDPI_6.3_Notes"/>
    <w:link w:val="MDPI63NotesZchn"/>
    <w:qFormat/>
    <w:rsid w:val="00F04F1E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val="en-US" w:bidi="en-US"/>
    </w:rPr>
  </w:style>
  <w:style w:type="character" w:customStyle="1" w:styleId="MDPI63NotesZchn">
    <w:name w:val="MDPI_6.3_Notes Zchn"/>
    <w:basedOn w:val="Absatz-Standardschriftart"/>
    <w:link w:val="MDPI63Notes"/>
    <w:rsid w:val="00F04F1E"/>
    <w:rPr>
      <w:rFonts w:ascii="Palatino Linotype" w:eastAsia="SimSun" w:hAnsi="Palatino Linotype" w:cs="Times New Roman"/>
      <w:snapToGrid w:val="0"/>
      <w:color w:val="000000"/>
      <w:sz w:val="18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UKE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Grundherr, Julia</dc:creator>
  <cp:keywords/>
  <dc:description/>
  <cp:lastModifiedBy>von Grundherr, Julia</cp:lastModifiedBy>
  <cp:revision>2</cp:revision>
  <dcterms:created xsi:type="dcterms:W3CDTF">2025-12-30T17:05:00Z</dcterms:created>
  <dcterms:modified xsi:type="dcterms:W3CDTF">2025-12-30T17:05:00Z</dcterms:modified>
</cp:coreProperties>
</file>