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media/image1.tif" ContentType="image/tif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b/>
          <w:bCs/>
          <w:color w:themeColor="text1" w:val="000000"/>
          <w:kern w:val="0"/>
          <w14:ligatures w14:val="none"/>
        </w:rPr>
        <w:t>Article Title:</w:t>
      </w:r>
      <w:bookmarkStart w:id="0" w:name="_Hlk201127603"/>
      <w:r>
        <w:rPr>
          <w:rFonts w:eastAsia="Calibri" w:cs="Times New Roman" w:ascii="Times New Roman" w:hAnsi="Times New Roman"/>
          <w:color w:themeColor="text1" w:val="000000"/>
          <w:kern w:val="0"/>
          <w14:ligatures w14:val="none"/>
        </w:rPr>
        <w:tab/>
      </w:r>
      <w:r>
        <w:rPr>
          <w:rFonts w:eastAsia="Calibri" w:cs="Times New Roman" w:ascii="Times New Roman" w:hAnsi="Times New Roman"/>
          <w:kern w:val="0"/>
          <w14:ligatures w14:val="none"/>
        </w:rPr>
        <w:t>Health behaviors among young adult cancer survivors and the importance of behavior-specific self-efficacy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themeColor="text1" w:val="000000"/>
          <w:kern w:val="0"/>
          <w14:ligatures w14:val="none"/>
        </w:rPr>
      </w:pPr>
      <w:r>
        <w:rPr>
          <w:rFonts w:eastAsia="Calibri" w:cs="Times New Roman" w:ascii="Times New Roman" w:hAnsi="Times New Roman"/>
          <w:color w:themeColor="text1" w:val="000000"/>
          <w:kern w:val="0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Cs/>
          <w:color w:themeColor="text1" w:val="000000"/>
          <w:kern w:val="0"/>
          <w14:ligatures w14:val="none"/>
        </w:rPr>
      </w:pPr>
      <w:r>
        <w:rPr>
          <w:rFonts w:eastAsia="Calibri" w:cs="Times New Roman" w:ascii="Times New Roman" w:hAnsi="Times New Roman"/>
          <w:b/>
          <w:bCs/>
          <w:color w:themeColor="text1" w:val="000000"/>
          <w:kern w:val="0"/>
          <w14:ligatures w14:val="none"/>
        </w:rPr>
        <w:t xml:space="preserve">Journal name: </w:t>
        <w:tab/>
      </w:r>
      <w:r>
        <w:rPr>
          <w:rFonts w:eastAsia="Calibri" w:cs="Times New Roman" w:ascii="Times New Roman" w:hAnsi="Times New Roman"/>
          <w:color w:themeColor="text1" w:val="000000"/>
          <w:kern w:val="0"/>
          <w14:ligatures w14:val="none"/>
        </w:rPr>
        <w:t>Journal of Cancer Survivorship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Cs/>
          <w:color w:themeColor="text1" w:val="000000"/>
          <w:kern w:val="0"/>
          <w14:ligatures w14:val="none"/>
        </w:rPr>
      </w:pPr>
      <w:r>
        <w:rPr>
          <w:rFonts w:eastAsia="Calibri" w:cs="Times New Roman" w:ascii="Times New Roman" w:hAnsi="Times New Roman"/>
          <w:b/>
          <w:bCs/>
          <w:color w:themeColor="text1" w:val="000000"/>
          <w:kern w:val="0"/>
          <w14:ligatures w14:val="none"/>
        </w:rPr>
      </w:r>
    </w:p>
    <w:p>
      <w:pPr>
        <w:pStyle w:val="Normal"/>
        <w:spacing w:lineRule="auto" w:line="240" w:before="0" w:after="0"/>
        <w:ind w:hanging="2160" w:start="2160"/>
        <w:rPr>
          <w:rFonts w:ascii="Calibri" w:hAnsi="Calibri" w:eastAsia="Calibri" w:cs="Calibri"/>
          <w:kern w:val="0"/>
          <w14:ligatures w14:val="none"/>
        </w:rPr>
      </w:pPr>
      <w:r>
        <w:rPr>
          <w:rFonts w:eastAsia="Calibri" w:cs="Times New Roman" w:ascii="Times New Roman" w:hAnsi="Times New Roman"/>
          <w:b/>
          <w:bCs/>
          <w:color w:themeColor="text1" w:val="000000"/>
          <w:kern w:val="0"/>
          <w14:ligatures w14:val="none"/>
        </w:rPr>
        <w:t xml:space="preserve">Authors: </w:t>
        <w:tab/>
      </w:r>
      <w:r>
        <w:rPr>
          <w:rFonts w:eastAsia="Calibri" w:cs="Times New Roman" w:ascii="Times New Roman" w:hAnsi="Times New Roman"/>
          <w:kern w:val="0"/>
          <w14:ligatures w14:val="none"/>
        </w:rPr>
        <w:t>Brianna N. Leitzelar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a</w:t>
      </w:r>
      <w:r>
        <w:rPr>
          <w:rFonts w:eastAsia="Calibri" w:cs="Times New Roman" w:ascii="Times New Roman" w:hAnsi="Times New Roman"/>
          <w:kern w:val="0"/>
          <w14:ligatures w14:val="none"/>
        </w:rPr>
        <w:t>, Justin B. Moore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b</w:t>
      </w:r>
      <w:r>
        <w:rPr>
          <w:rFonts w:eastAsia="Calibri" w:cs="Times New Roman" w:ascii="Times New Roman" w:hAnsi="Times New Roman"/>
          <w:kern w:val="0"/>
          <w14:ligatures w14:val="none"/>
        </w:rPr>
        <w:t>, Greg Russell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c</w:t>
      </w:r>
      <w:r>
        <w:rPr>
          <w:rFonts w:eastAsia="Calibri" w:cs="Times New Roman" w:ascii="Times New Roman" w:hAnsi="Times New Roman"/>
          <w:kern w:val="0"/>
          <w14:ligatures w14:val="none"/>
        </w:rPr>
        <w:t>, Carmina G. Valle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d</w:t>
      </w:r>
      <w:r>
        <w:rPr>
          <w:rFonts w:eastAsia="Calibri" w:cs="Times New Roman" w:ascii="Times New Roman" w:hAnsi="Times New Roman"/>
          <w:kern w:val="0"/>
          <w14:ligatures w14:val="none"/>
        </w:rPr>
        <w:t>, David Victorson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e, f, g</w:t>
      </w:r>
      <w:r>
        <w:rPr>
          <w:rFonts w:eastAsia="Calibri" w:cs="Times New Roman" w:ascii="Times New Roman" w:hAnsi="Times New Roman"/>
          <w:kern w:val="0"/>
          <w14:ligatures w14:val="none"/>
        </w:rPr>
        <w:t>, Betina Yanez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e, f</w:t>
      </w:r>
      <w:r>
        <w:rPr>
          <w:rFonts w:eastAsia="Calibri" w:cs="Times New Roman" w:ascii="Times New Roman" w:hAnsi="Times New Roman"/>
          <w:kern w:val="0"/>
          <w14:ligatures w14:val="none"/>
        </w:rPr>
        <w:t>, Stacy D. Sanford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e, f, h</w:t>
      </w:r>
      <w:r>
        <w:rPr>
          <w:rFonts w:eastAsia="Calibri" w:cs="Times New Roman" w:ascii="Times New Roman" w:hAnsi="Times New Roman"/>
          <w:kern w:val="0"/>
          <w14:ligatures w14:val="none"/>
        </w:rPr>
        <w:t>, Mallory A. Snyder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i</w:t>
      </w:r>
      <w:r>
        <w:rPr>
          <w:rFonts w:eastAsia="Calibri" w:cs="Times New Roman" w:ascii="Times New Roman" w:hAnsi="Times New Roman"/>
          <w:kern w:val="0"/>
          <w14:ligatures w14:val="none"/>
        </w:rPr>
        <w:t>, Sofia F. Garcia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e, f, h</w:t>
      </w:r>
      <w:r>
        <w:rPr>
          <w:rFonts w:eastAsia="Calibri" w:cs="Times New Roman" w:ascii="Times New Roman" w:hAnsi="Times New Roman"/>
          <w:kern w:val="0"/>
          <w14:ligatures w14:val="none"/>
        </w:rPr>
        <w:t>, John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 xml:space="preserve"> </w:t>
      </w:r>
      <w:r>
        <w:rPr>
          <w:rFonts w:eastAsia="Calibri" w:cs="Times New Roman" w:ascii="Times New Roman" w:hAnsi="Times New Roman"/>
          <w:kern w:val="0"/>
          <w14:ligatures w14:val="none"/>
        </w:rPr>
        <w:t>M. Salsman</w:t>
      </w: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j</w:t>
      </w:r>
      <w:r>
        <w:rPr>
          <w:rFonts w:eastAsia="Calibri" w:cs="Times New Roman" w:ascii="Times New Roman" w:hAnsi="Times New Roman"/>
          <w:kern w:val="0"/>
          <w14:ligatures w14:val="none"/>
        </w:rPr>
        <w:t>,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Cs/>
          <w:color w:themeColor="text1" w:val="000000"/>
          <w:kern w:val="0"/>
          <w14:ligatures w14:val="none"/>
        </w:rPr>
      </w:pPr>
      <w:r>
        <w:rPr>
          <w:rFonts w:eastAsia="Calibri" w:cs="Times New Roman" w:ascii="Times New Roman" w:hAnsi="Times New Roman"/>
          <w:b/>
          <w:bCs/>
          <w:color w:themeColor="text1" w:val="000000"/>
          <w:kern w:val="0"/>
          <w14:ligatures w14:val="none"/>
        </w:rPr>
      </w:r>
    </w:p>
    <w:p>
      <w:pPr>
        <w:pStyle w:val="Normal"/>
        <w:spacing w:lineRule="auto" w:line="240" w:before="0" w:after="0"/>
        <w:rPr>
          <w:rFonts w:ascii="Calibri" w:hAnsi="Calibri" w:eastAsia="Calibri" w:cs="Calibri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 xml:space="preserve">a </w:t>
      </w:r>
      <w:r>
        <w:rPr>
          <w:rFonts w:eastAsia="Times New Roman" w:cs="Times New Roman" w:ascii="Times New Roman" w:hAnsi="Times New Roman"/>
          <w:color w:themeColor="text1" w:val="000000"/>
          <w:kern w:val="0"/>
          <w14:ligatures w14:val="none"/>
        </w:rPr>
        <w:t>School of Kinesiology, University of Minnesota-Twin Cities, Minneapolis, MN, USA</w:t>
      </w:r>
      <w:r>
        <w:rPr>
          <w:rFonts w:eastAsia="Calibri" w:cs="Calibri" w:ascii="Calibri" w:hAnsi="Calibri"/>
          <w:kern w:val="0"/>
          <w14:ligatures w14:val="none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 xml:space="preserve">b </w:t>
      </w:r>
      <w:r>
        <w:rPr>
          <w:rFonts w:eastAsia="Times New Roman" w:cs="Times New Roman" w:ascii="Times New Roman" w:hAnsi="Times New Roman"/>
          <w:color w:themeColor="text1" w:val="000000"/>
          <w:kern w:val="0"/>
          <w14:ligatures w14:val="none"/>
        </w:rPr>
        <w:t xml:space="preserve">Department of Implementation Science, Division of Public Health Sciences, Wake Forest University School of Medicine, Winston-Salem, USA;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 xml:space="preserve">c </w:t>
      </w:r>
      <w:r>
        <w:rPr>
          <w:rFonts w:eastAsia="Times New Roman" w:cs="Times New Roman" w:ascii="Times New Roman" w:hAnsi="Times New Roman"/>
          <w:color w:themeColor="text1" w:val="000000"/>
          <w:kern w:val="0"/>
          <w14:ligatures w14:val="none"/>
        </w:rPr>
        <w:t>Department of Biostatistics and Data Science, Wake Forest University School of Medicine, Winston-Salem, NC, USA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 xml:space="preserve">d </w:t>
      </w:r>
      <w:r>
        <w:rPr>
          <w:rFonts w:eastAsia="Calibri" w:cs="Times New Roman" w:ascii="Times New Roman" w:hAnsi="Times New Roman"/>
          <w:kern w:val="0"/>
          <w14:ligatures w14:val="none"/>
        </w:rPr>
        <w:t>Department of Nutrition, UNC Gillings School of Global Public Health and School of Medicine, University of North Carolina at Chapel Hill, Chapel Hill, NC, USA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 xml:space="preserve">e </w:t>
      </w:r>
      <w:r>
        <w:rPr>
          <w:rFonts w:eastAsia="Calibri" w:cs="Times New Roman" w:ascii="Times New Roman" w:hAnsi="Times New Roman"/>
          <w:kern w:val="0"/>
          <w14:ligatures w14:val="none"/>
        </w:rPr>
        <w:t>Department of Medical Social Sciences, Northwestern University Feinberg School of Medicine, Chicago, IL, USA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f</w:t>
      </w:r>
      <w:r>
        <w:rPr>
          <w:rFonts w:eastAsia="Calibri" w:cs="Times New Roman" w:ascii="Times New Roman" w:hAnsi="Times New Roman"/>
          <w:kern w:val="0"/>
          <w14:ligatures w14:val="none"/>
        </w:rPr>
        <w:t xml:space="preserve"> The Robert H. Lurie Comprehensive Cancer Center of Northwestern University, Chicago, IL, USA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g</w:t>
      </w:r>
      <w:r>
        <w:rPr>
          <w:rFonts w:eastAsia="Calibri" w:cs="Times New Roman" w:ascii="Times New Roman" w:hAnsi="Times New Roman"/>
          <w:kern w:val="0"/>
          <w14:ligatures w14:val="none"/>
        </w:rPr>
        <w:t xml:space="preserve"> Osher Center for Integrative Health at Northwestern University, Northwestern University Feinberg School of Medicine, Chicago, IL, USA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>h</w:t>
      </w:r>
      <w:r>
        <w:rPr>
          <w:rFonts w:eastAsia="Calibri" w:cs="Times New Roman" w:ascii="Times New Roman" w:hAnsi="Times New Roman"/>
          <w:kern w:val="0"/>
          <w14:ligatures w14:val="none"/>
        </w:rPr>
        <w:t xml:space="preserve"> Department of Psychiatry and Behavioral Sciences, Northwestern University Feinberg School of Medicine, Chicago, IL, USA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 xml:space="preserve">i </w:t>
      </w:r>
      <w:r>
        <w:rPr>
          <w:rFonts w:eastAsia="Calibri" w:cs="Times New Roman" w:ascii="Times New Roman" w:hAnsi="Times New Roman"/>
          <w:kern w:val="0"/>
          <w14:ligatures w14:val="none"/>
        </w:rPr>
        <w:t>Office of Research, The University of Chicago, Chicago, IL, USA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:vertAlign w:val="superscript"/>
          <w14:ligatures w14:val="none"/>
        </w:rPr>
        <w:t xml:space="preserve">j </w:t>
      </w:r>
      <w:r>
        <w:rPr>
          <w:rFonts w:eastAsia="Times New Roman" w:cs="Times New Roman" w:ascii="Times New Roman" w:hAnsi="Times New Roman"/>
          <w:color w:themeColor="text1" w:val="000000"/>
          <w:kern w:val="0"/>
          <w14:ligatures w14:val="none"/>
        </w:rPr>
        <w:t>Department of Social Sciences and Health Policy, Division of Public Health Sciences, Wake Forest University School of Medicine, Winston-Salem, NC, USA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14:ligatures w14:val="none"/>
        </w:rPr>
        <w:t xml:space="preserve">Corresponding author: 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eastAsia="Times New Roman" w:cs="Times New Roman"/>
          <w:color w:themeColor="text1" w:val="000000"/>
          <w:kern w:val="0"/>
          <w14:ligatures w14:val="none"/>
        </w:rPr>
      </w:pPr>
      <w:r>
        <w:rPr>
          <w:rFonts w:eastAsia="Times New Roman" w:cs="Times New Roman" w:ascii="Times New Roman" w:hAnsi="Times New Roman"/>
          <w:color w:themeColor="text1" w:val="000000"/>
          <w:kern w:val="0"/>
          <w14:ligatures w14:val="none"/>
        </w:rPr>
        <w:t>Brianna N. Leitzelar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eastAsia="Calibri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color w:themeColor="text1" w:val="000000"/>
          <w:kern w:val="0"/>
          <w14:ligatures w14:val="none"/>
        </w:rPr>
        <w:t xml:space="preserve">email: </w:t>
      </w:r>
      <w:r>
        <w:rPr>
          <w:rFonts w:eastAsia="Calibri" w:cs="Times New Roman" w:ascii="Times New Roman" w:hAnsi="Times New Roman"/>
          <w:kern w:val="0"/>
          <w14:ligatures w14:val="none"/>
        </w:rPr>
        <w:t>leitz025@umn.edu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eastAsia="Times New Roman" w:cs="Times New Roman"/>
          <w:color w:themeColor="text1" w:val="000000"/>
          <w:kern w:val="0"/>
          <w14:ligatures w14:val="none"/>
        </w:rPr>
      </w:pPr>
      <w:r>
        <w:rPr>
          <w:rFonts w:eastAsia="Calibri" w:cs="Times New Roman" w:ascii="Times New Roman" w:hAnsi="Times New Roman"/>
          <w:kern w:val="0"/>
          <w14:ligatures w14:val="none"/>
        </w:rPr>
        <w:t>phone: (612) 624-8549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Online Resource Captions Online Resource 1. Supplementary tables summarizing the classifications for healthy lifestyle behaviors (Table S1), self-efficacy items (Table S2), odds ratios for adhering to healthy lifestyle behavior recommendations by case/control status and sociodemographic factor (Table S3), and interaction effects of case/control status by level of self-efficacy on adherence to health lifestyle behavior recommendations (Table S4). </w:t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Table S1</w:t>
      </w:r>
      <w:r>
        <w:rPr>
          <w:rFonts w:cs="Times New Roman" w:ascii="Times New Roman" w:hAnsi="Times New Roman"/>
          <w:bCs/>
          <w:iCs/>
          <w:sz w:val="20"/>
          <w:szCs w:val="20"/>
        </w:rPr>
        <w:t>. Classifications for healthy lifestyle behaviors.</w:t>
      </w:r>
    </w:p>
    <w:tbl>
      <w:tblPr>
        <w:tblW w:w="918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663"/>
        <w:gridCol w:w="3130"/>
        <w:gridCol w:w="4387"/>
      </w:tblGrid>
      <w:tr>
        <w:trPr/>
        <w:tc>
          <w:tcPr>
            <w:tcW w:w="16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Behavior</w:t>
            </w:r>
          </w:p>
        </w:tc>
        <w:tc>
          <w:tcPr>
            <w:tcW w:w="3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iCs/>
              </w:rPr>
              <w:t>Question</w:t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Definition</w:t>
            </w:r>
          </w:p>
        </w:tc>
      </w:tr>
      <w:tr>
        <w:trPr/>
        <w:tc>
          <w:tcPr>
            <w:tcW w:w="166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Cigarette or Tobacco Use</w:t>
            </w:r>
          </w:p>
        </w:tc>
        <w:tc>
          <w:tcPr>
            <w:tcW w:w="3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“</w:t>
            </w:r>
            <w:r>
              <w:rPr>
                <w:rFonts w:ascii="Times New Roman" w:hAnsi="Times New Roman"/>
                <w:bCs/>
                <w:iCs/>
              </w:rPr>
              <w:t>use of cigarettes or tobacco products”</w:t>
            </w:r>
            <w:r>
              <w:rPr>
                <w:rFonts w:ascii="Times New Roman" w:hAnsi="Times New Roman"/>
                <w:vertAlign w:val="superscript"/>
              </w:rPr>
              <w:t xml:space="preserve"> b</w:t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Meets recommendations: </w:t>
            </w:r>
          </w:p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abstaining from cigarettes or tobacco products</w:t>
            </w:r>
          </w:p>
        </w:tc>
      </w:tr>
      <w:tr>
        <w:trPr/>
        <w:tc>
          <w:tcPr>
            <w:tcW w:w="166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3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Does not meet recommendations: </w:t>
            </w:r>
          </w:p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any smoking</w:t>
            </w:r>
          </w:p>
        </w:tc>
      </w:tr>
      <w:tr>
        <w:trPr/>
        <w:tc>
          <w:tcPr>
            <w:tcW w:w="166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Fruit and Vegetable Intake </w:t>
            </w:r>
          </w:p>
        </w:tc>
        <w:tc>
          <w:tcPr>
            <w:tcW w:w="3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“</w:t>
            </w:r>
            <w:r>
              <w:rPr>
                <w:rFonts w:ascii="Times New Roman" w:hAnsi="Times New Roman"/>
                <w:bCs/>
                <w:iCs/>
              </w:rPr>
              <w:t>I eat five to nine servings of fruits and vegetables”</w:t>
            </w:r>
            <w:r>
              <w:rPr>
                <w:rFonts w:ascii="Times New Roman" w:hAnsi="Times New Roman"/>
                <w:vertAlign w:val="superscript"/>
              </w:rPr>
              <w:t xml:space="preserve"> b</w:t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Meets recommendations: </w:t>
            </w:r>
          </w:p>
          <w:p>
            <w:pPr>
              <w:pStyle w:val="PlainText"/>
              <w:ind w:star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 servings of fruits and vegetables per day daily or more than daily</w:t>
            </w:r>
          </w:p>
        </w:tc>
      </w:tr>
      <w:tr>
        <w:trPr/>
        <w:tc>
          <w:tcPr>
            <w:tcW w:w="166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Does not meet recommendations: </w:t>
            </w:r>
          </w:p>
          <w:p>
            <w:pPr>
              <w:pStyle w:val="PlainText"/>
              <w:ind w:star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 servings of fruits and vegetables per day never, rarely, couple times a week</w:t>
            </w:r>
          </w:p>
        </w:tc>
      </w:tr>
      <w:tr>
        <w:trPr/>
        <w:tc>
          <w:tcPr>
            <w:tcW w:w="166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Exercise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3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iCs/>
                <w:sz w:val="20"/>
                <w:szCs w:val="20"/>
              </w:rPr>
              <w:t>“</w:t>
            </w:r>
            <w:r>
              <w:rPr>
                <w:rFonts w:cs="Times New Roman" w:ascii="Times New Roman" w:hAnsi="Times New Roman"/>
                <w:bCs/>
                <w:iCs/>
                <w:sz w:val="20"/>
                <w:szCs w:val="20"/>
              </w:rPr>
              <w:t>I engage in strenuous exercise for more than 30 minutes during my free time” and “I engage in moderate exercise for more than 30 minutes during my free time”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Meets recommendations: </w:t>
            </w:r>
          </w:p>
          <w:p>
            <w:pPr>
              <w:pStyle w:val="PlainText"/>
              <w:ind w:star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moderate or vigorous exercise for 30 minutes for ≥5 days/week</w:t>
            </w:r>
          </w:p>
        </w:tc>
      </w:tr>
      <w:tr>
        <w:trPr/>
        <w:tc>
          <w:tcPr>
            <w:tcW w:w="166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Does not meet recommendations:</w:t>
            </w:r>
          </w:p>
          <w:p>
            <w:pPr>
              <w:pStyle w:val="PlainText"/>
              <w:ind w:star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moderate or vigorous exercise for 30 minutes for &lt;5 days/week</w:t>
            </w:r>
          </w:p>
        </w:tc>
      </w:tr>
      <w:tr>
        <w:trPr/>
        <w:tc>
          <w:tcPr>
            <w:tcW w:w="166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Alcohol Use</w:t>
            </w:r>
          </w:p>
        </w:tc>
        <w:tc>
          <w:tcPr>
            <w:tcW w:w="3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“</w:t>
            </w:r>
            <w:r>
              <w:rPr>
                <w:rFonts w:ascii="Times New Roman" w:hAnsi="Times New Roman"/>
                <w:bCs/>
                <w:iCs/>
              </w:rPr>
              <w:t>I drink alcoholic beverages”</w:t>
            </w:r>
            <w:r>
              <w:rPr>
                <w:rFonts w:ascii="Times New Roman" w:hAnsi="Times New Roman"/>
                <w:vertAlign w:val="superscript"/>
              </w:rPr>
              <w:t xml:space="preserve"> b</w:t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Meets recommendations: </w:t>
            </w:r>
          </w:p>
          <w:p>
            <w:pPr>
              <w:pStyle w:val="PlainText"/>
              <w:ind w:star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abstains from alcohol</w:t>
            </w:r>
          </w:p>
        </w:tc>
      </w:tr>
      <w:tr>
        <w:trPr/>
        <w:tc>
          <w:tcPr>
            <w:tcW w:w="166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Does not meet recommendations: </w:t>
            </w:r>
          </w:p>
          <w:p>
            <w:pPr>
              <w:pStyle w:val="PlainText"/>
              <w:ind w:star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any consumption</w:t>
            </w:r>
          </w:p>
        </w:tc>
      </w:tr>
      <w:tr>
        <w:trPr/>
        <w:tc>
          <w:tcPr>
            <w:tcW w:w="9180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 xml:space="preserve">a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Although the American Cancer Society guidelines focus on physical activity recommendations (i.e., a minimum of 150 minutes of moderate-to-vigorous intensity physical activity per week),</w:t>
            </w:r>
            <w:r>
              <w:fldChar w:fldCharType="begin"/>
            </w:r>
            <w:r>
              <w:rPr>
                <w:sz w:val="20"/>
                <w:szCs w:val="20"/>
                <w:rFonts w:cs="Times New Roman" w:ascii="Times New Roman" w:hAnsi="Times New Roman"/>
              </w:rPr>
              <w:instrText xml:space="preserve">ADDIN ZOTERO_ITEM CSL_CITATION {"citationID":"MA2sd2vu","properties":{"formattedCitation":"\\super 21\\nosupersub{}","plainCitation":"21","noteIndex":0},"citationItems":[{"id":2554,"uris":["http://zotero.org/users/8851022/items/AMFXI3GL"],"itemData":{"id":2554,"type":"article-journal","container-title":"CA: A Cancer Journal for Clinicians","ISSN":"0007-9235","issue":"3","page":"230-262","title":"American Cancer Society nutrition and physical activity guideline for cancer survivors","volume":"72","author":[{"family":"Rock","given":"Cheryl L."},{"family":"Thomson","given":"Cynthia A."},{"family":"Sullivan","given":"Kristen R."},{"family":"Howe","given":"Carol L."},{"family":"Kushi","given":"Lawrence H."},{"family":"Caan","given":"Bette J."},{"family":"Neuhouser","given":"Marian L."},{"family":"Bandera","given":"Elisa V."},{"family":"Wang","given":"Ying"},{"family":"Robien","given":"Kimberly"}],"issued":{"date-parts":[["2022"]]}}}],"schema":"https://github.com/citation-style-language/schema/raw/master/csl-citation.json"}</w:instrText>
            </w:r>
            <w:r>
              <w:rPr>
                <w:rFonts w:cs="Times New Roman" w:ascii="Times New Roman" w:hAnsi="Times New Roman"/>
                <w:sz w:val="20"/>
                <w:szCs w:val="20"/>
              </w:rPr>
            </w:r>
            <w:r>
              <w:rPr>
                <w:sz w:val="20"/>
                <w:szCs w:val="20"/>
                <w:rFonts w:cs="Times New Roman" w:ascii="Times New Roman" w:hAnsi="Times New Roman"/>
              </w:rPr>
              <w:fldChar w:fldCharType="separate"/>
            </w:r>
            <w:r>
              <w:rPr>
                <w:rFonts w:cs="Times New Roman" w:ascii="Times New Roman" w:hAnsi="Times New Roman"/>
                <w:sz w:val="20"/>
                <w:szCs w:val="20"/>
              </w:rPr>
            </w:r>
            <w:r>
              <w:rPr>
                <w:rFonts w:cs="Times New Roman" w:ascii="Times New Roman" w:hAnsi="Times New Roman"/>
                <w:sz w:val="20"/>
                <w:vertAlign w:val="superscript"/>
              </w:rPr>
              <w:t>21</w:t>
            </w:r>
            <w:r>
              <w:rPr>
                <w:rFonts w:cs="Times New Roman" w:ascii="Times New Roman" w:hAnsi="Times New Roman"/>
                <w:sz w:val="20"/>
                <w:szCs w:val="20"/>
              </w:rPr>
            </w:r>
            <w:r>
              <w:rPr>
                <w:sz w:val="20"/>
                <w:szCs w:val="20"/>
                <w:rFonts w:cs="Times New Roman" w:ascii="Times New Roman" w:hAnsi="Times New Roman"/>
              </w:rPr>
              <w:fldChar w:fldCharType="end"/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our items were specific to exercise. Exercise is a subset of physical activity behavior which focuses on choice-based physical activity during leisure-time, which does not capture other physical activity behaviors that contribute to achieving the guidelines such as occupational, transportation, and household/caregiving-related physical activities. </w:t>
            </w:r>
          </w:p>
        </w:tc>
      </w:tr>
      <w:tr>
        <w:trPr/>
        <w:tc>
          <w:tcPr>
            <w:tcW w:w="9180" w:type="dxa"/>
            <w:gridSpan w:val="3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 xml:space="preserve">b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participants reported frequency using the following response options: never, rarely, couple times a week, daily, and more than once a day</w:t>
            </w:r>
          </w:p>
        </w:tc>
      </w:tr>
      <w:tr>
        <w:trPr/>
        <w:tc>
          <w:tcPr>
            <w:tcW w:w="9180" w:type="dxa"/>
            <w:gridSpan w:val="3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 xml:space="preserve">c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participants reported the number of times per week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18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09"/>
        <w:gridCol w:w="6570"/>
      </w:tblGrid>
      <w:tr>
        <w:trPr/>
        <w:tc>
          <w:tcPr>
            <w:tcW w:w="9179" w:type="dxa"/>
            <w:gridSpan w:val="2"/>
            <w:tcBorders>
              <w:bottom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/>
              </w:rPr>
              <w:t>Table S2</w:t>
            </w:r>
            <w:r>
              <w:rPr>
                <w:rFonts w:ascii="Times New Roman" w:hAnsi="Times New Roman"/>
                <w:bCs/>
              </w:rPr>
              <w:t>. Self-efficacy items.</w:t>
            </w:r>
          </w:p>
        </w:tc>
      </w:tr>
      <w:tr>
        <w:trPr/>
        <w:tc>
          <w:tcPr>
            <w:tcW w:w="2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Behavior</w:t>
            </w:r>
          </w:p>
        </w:tc>
        <w:tc>
          <w:tcPr>
            <w:tcW w:w="6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  <w:iCs/>
              </w:rPr>
              <w:t>Item</w:t>
            </w:r>
          </w:p>
        </w:tc>
      </w:tr>
      <w:tr>
        <w:trPr>
          <w:trHeight w:val="230" w:hRule="atLeast"/>
        </w:trPr>
        <w:tc>
          <w:tcPr>
            <w:tcW w:w="26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Cigarette or Tobacco Use</w:t>
            </w:r>
          </w:p>
        </w:tc>
        <w:tc>
          <w:tcPr>
            <w:tcW w:w="65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“</w:t>
            </w:r>
            <w:r>
              <w:rPr>
                <w:rFonts w:ascii="Times New Roman" w:hAnsi="Times New Roman"/>
                <w:bCs/>
                <w:iCs/>
              </w:rPr>
              <w:t>I am confident in my ability to abstain from cigarette or use of tobacco products”</w:t>
            </w:r>
          </w:p>
        </w:tc>
      </w:tr>
      <w:tr>
        <w:trPr>
          <w:trHeight w:val="230" w:hRule="atLeast"/>
        </w:trPr>
        <w:tc>
          <w:tcPr>
            <w:tcW w:w="260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65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</w:r>
          </w:p>
        </w:tc>
      </w:tr>
      <w:tr>
        <w:trPr>
          <w:trHeight w:val="230" w:hRule="atLeast"/>
        </w:trPr>
        <w:tc>
          <w:tcPr>
            <w:tcW w:w="26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Fruit and Vegetable Intake </w:t>
            </w:r>
          </w:p>
        </w:tc>
        <w:tc>
          <w:tcPr>
            <w:tcW w:w="65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I am confident in my ability to maintain a healthy diet”</w:t>
            </w:r>
          </w:p>
        </w:tc>
      </w:tr>
      <w:tr>
        <w:trPr>
          <w:trHeight w:val="230" w:hRule="atLeast"/>
        </w:trPr>
        <w:tc>
          <w:tcPr>
            <w:tcW w:w="260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30" w:hRule="atLeast"/>
        </w:trPr>
        <w:tc>
          <w:tcPr>
            <w:tcW w:w="26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Exercise</w:t>
            </w:r>
          </w:p>
        </w:tc>
        <w:tc>
          <w:tcPr>
            <w:tcW w:w="657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“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I am confident in my ability to maintain a physically active lifestyle”</w:t>
            </w:r>
          </w:p>
        </w:tc>
      </w:tr>
      <w:tr>
        <w:trPr>
          <w:trHeight w:val="230" w:hRule="atLeast"/>
        </w:trPr>
        <w:tc>
          <w:tcPr>
            <w:tcW w:w="260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57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30" w:hRule="atLeast"/>
        </w:trPr>
        <w:tc>
          <w:tcPr>
            <w:tcW w:w="2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Alcohol Use</w:t>
            </w:r>
          </w:p>
        </w:tc>
        <w:tc>
          <w:tcPr>
            <w:tcW w:w="6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I am confident in my ability to drink in moderation or abstain from drinking altogether”</w:t>
            </w:r>
          </w:p>
        </w:tc>
      </w:tr>
      <w:tr>
        <w:trPr>
          <w:trHeight w:val="230" w:hRule="atLeast"/>
        </w:trPr>
        <w:tc>
          <w:tcPr>
            <w:tcW w:w="9179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PlainTex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Note. Items were rated on a 5-point Likert scale (</w:t>
            </w:r>
            <w:r>
              <w:rPr>
                <w:rFonts w:ascii="Times New Roman" w:hAnsi="Times New Roman"/>
                <w:bCs/>
                <w:iCs/>
              </w:rPr>
              <w:t>not at all, a little bit, somewhat, quite a bit, very much).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Style w:val="TableGrid"/>
        <w:tblW w:w="759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338"/>
        <w:gridCol w:w="1822"/>
        <w:gridCol w:w="946"/>
        <w:gridCol w:w="2483"/>
        <w:gridCol w:w="7"/>
      </w:tblGrid>
      <w:tr>
        <w:trPr/>
        <w:tc>
          <w:tcPr>
            <w:tcW w:w="7596" w:type="dxa"/>
            <w:gridSpan w:val="5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pageBreakBefore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en-US" w:bidi="ar-SA"/>
              </w:rPr>
              <w:t>Table S3.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ar-SA"/>
              </w:rPr>
              <w:t xml:space="preserve"> Odds ratios for adhering to healthy lifestyle behavior recommendations by case/control status and sociodemographic predictor. </w:t>
            </w:r>
          </w:p>
        </w:tc>
      </w:tr>
      <w:tr>
        <w:trPr/>
        <w:tc>
          <w:tcPr>
            <w:tcW w:w="2338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Outcome</w:t>
            </w:r>
          </w:p>
        </w:tc>
        <w:tc>
          <w:tcPr>
            <w:tcW w:w="1822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Covariate</w:t>
            </w:r>
          </w:p>
        </w:tc>
        <w:tc>
          <w:tcPr>
            <w:tcW w:w="946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val="en-US" w:eastAsia="en-US" w:bidi="ar-SA"/>
              </w:rPr>
              <w:t>p</w:t>
            </w: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-value</w:t>
            </w:r>
          </w:p>
        </w:tc>
        <w:tc>
          <w:tcPr>
            <w:tcW w:w="2483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OR (95% CI)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restart"/>
            <w:tcBorders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Cigarette/Tobacco Use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0.048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0.70 (0.49, 0.997)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Age (per 5 years)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0.59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0.051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0.70 (0.49, 1.002)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Sex 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0.78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0.045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0.70 (0.49, 0.99)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Education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0.49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0.044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0.70 (0.49, 0.99)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Marital status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0.93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0.064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0.72 (0.50, 1.02)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Employment Status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0.55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restart"/>
            <w:tcBorders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FV Intake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0.011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1.60 (1.12, 2.31)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Age (per 5 years)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0.21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0.010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1.61 (1.12, 2.31)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Sex 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0.17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0.012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1.60 (1.11, 2.30)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Education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0.99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0.0077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1.64 (1.14, 2.36)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Marital status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0.99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0.012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1.61 (1.11, 2.33)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Employment Status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0.69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restart"/>
            <w:tcBorders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Exercise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&lt;0.001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1.87 (1.37, 2.56)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Age (per 5 years)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0.32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&lt;0.0001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1.85 (1.35, 2.53)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Sex 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0.23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&lt;0.001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1.92 (1.40, 2.63)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Education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0.15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&lt;0.001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1.87 (1.37, 2.56)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Marital status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0.70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&lt;0.001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1.88 (1.37, 2.57)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Employment Status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0.21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restart"/>
            <w:tcBorders>
              <w:star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Alcohol Use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0.97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  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1.01 (0.72, 1.41)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Age (per 5 years)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0.25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0.89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  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1.03 (0.73, 1.44)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  <w:bookmarkStart w:id="1" w:name="_Hlk172120361"/>
            <w:bookmarkStart w:id="2" w:name="_Hlk172120361"/>
            <w:bookmarkEnd w:id="2"/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Sex 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0.58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0.87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  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1.03 (0.74, 1.44)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Education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&gt;0.99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0.93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  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1.02 (0.72, 1.43)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Marital status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0.99</w:t>
            </w:r>
          </w:p>
        </w:tc>
        <w:tc>
          <w:tcPr>
            <w:tcW w:w="248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top w:val="nil"/>
              <w:star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Case/Control</w:t>
            </w:r>
          </w:p>
        </w:tc>
        <w:tc>
          <w:tcPr>
            <w:tcW w:w="946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0.79</w:t>
            </w:r>
          </w:p>
        </w:tc>
        <w:tc>
          <w:tcPr>
            <w:tcW w:w="248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  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1.03 (0.73, 1.45)</w:t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2338" w:type="dxa"/>
            <w:vMerge w:val="continue"/>
            <w:tcBorders>
              <w:star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pacing w:lineRule="auto" w:line="240" w:before="0" w:after="0"/>
              <w:jc w:val="en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1822" w:type="dxa"/>
            <w:tcBorders>
              <w:top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Employment Status</w:t>
            </w:r>
          </w:p>
        </w:tc>
        <w:tc>
          <w:tcPr>
            <w:tcW w:w="946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0.34</w:t>
            </w:r>
          </w:p>
        </w:tc>
        <w:tc>
          <w:tcPr>
            <w:tcW w:w="2483" w:type="dxa"/>
            <w:vMerge w:val="continue"/>
            <w:tcBorders>
              <w:start w:val="nil"/>
              <w:end w:val="nil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ptos" w:hAnsi="Aptos" w:eastAsia="Aptos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Aptos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7596" w:type="dxa"/>
            <w:gridSpan w:val="5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Cs/>
                <w:kern w:val="0"/>
                <w:sz w:val="20"/>
                <w:szCs w:val="20"/>
                <w:lang w:val="en-US" w:eastAsia="en-US" w:bidi="ar-SA"/>
              </w:rPr>
              <w:t>FV Intake = Fruit and vegetable intake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r>
        <w:rPr/>
        <w:drawing>
          <wp:inline distT="0" distB="0" distL="0" distR="0">
            <wp:extent cx="5943600" cy="4691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Figure S1.</w:t>
      </w:r>
      <w:r>
        <w:rPr>
          <w:rFonts w:cs="Times New Roman" w:ascii="Times New Roman" w:hAnsi="Times New Roman"/>
          <w:bCs/>
          <w:sz w:val="20"/>
          <w:szCs w:val="20"/>
        </w:rPr>
        <w:t xml:space="preserve"> Odds ratios (OR) overall and by time since treatment group for (a) Cigarette/Tobacco Use, (b) FV Intake, (c) Exercise, and (d) Alcohol Use between young adult cancer survivors (YA) and healthy controls (HC). OR greater than 1 indicates YAs are more likely to adhere and OR less than 1 indicates YAs are less likely to adhere.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FV Intake = Fruit and vegetable intake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TableGrid"/>
        <w:tblW w:w="807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403"/>
        <w:gridCol w:w="2547"/>
        <w:gridCol w:w="2132"/>
        <w:gridCol w:w="995"/>
      </w:tblGrid>
      <w:tr>
        <w:trPr>
          <w:trHeight w:val="288" w:hRule="atLeast"/>
        </w:trPr>
        <w:tc>
          <w:tcPr>
            <w:tcW w:w="8077" w:type="dxa"/>
            <w:gridSpan w:val="4"/>
            <w:tcBorders>
              <w:top w:val="nil"/>
              <w:start w:val="nil"/>
              <w:end w:val="nil"/>
            </w:tcBorders>
          </w:tcPr>
          <w:p>
            <w:pPr>
              <w:pStyle w:val="Normal"/>
              <w:pageBreakBefore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Table S4.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Interaction effects of case/control status by level of self-efficacy on adherence to healthy lifestyle behavior recommendations. </w:t>
            </w:r>
          </w:p>
        </w:tc>
      </w:tr>
      <w:tr>
        <w:trPr>
          <w:trHeight w:val="288" w:hRule="atLeast"/>
        </w:trPr>
        <w:tc>
          <w:tcPr>
            <w:tcW w:w="2403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Outcome</w:t>
            </w:r>
          </w:p>
        </w:tc>
        <w:tc>
          <w:tcPr>
            <w:tcW w:w="2547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Comparison</w:t>
            </w:r>
          </w:p>
        </w:tc>
        <w:tc>
          <w:tcPr>
            <w:tcW w:w="2132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OR (95% CI)</w:t>
            </w:r>
          </w:p>
        </w:tc>
        <w:tc>
          <w:tcPr>
            <w:tcW w:w="995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/>
                <w:bCs/>
                <w:i/>
                <w:iCs/>
                <w:kern w:val="0"/>
                <w:sz w:val="20"/>
                <w:szCs w:val="20"/>
                <w:lang w:val="en-US" w:eastAsia="en-US" w:bidi="ar-SA"/>
              </w:rPr>
              <w:t>p</w:t>
            </w:r>
            <w:r>
              <w:rPr>
                <w:rFonts w:eastAsia="Aptos" w:cs="Times New Roman" w:ascii="Times New Roman" w:hAnsi="Times New Roman"/>
                <w:b/>
                <w:bCs/>
                <w:kern w:val="0"/>
                <w:sz w:val="20"/>
                <w:szCs w:val="20"/>
                <w:lang w:val="en-US" w:eastAsia="en-US" w:bidi="ar-SA"/>
              </w:rPr>
              <w:t>-value</w:t>
            </w:r>
          </w:p>
        </w:tc>
      </w:tr>
      <w:tr>
        <w:trPr>
          <w:trHeight w:val="288" w:hRule="atLeast"/>
        </w:trPr>
        <w:tc>
          <w:tcPr>
            <w:tcW w:w="240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Cigarette/Tobacco Use </w:t>
            </w:r>
          </w:p>
        </w:tc>
        <w:tc>
          <w:tcPr>
            <w:tcW w:w="2547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Cases: High vs. Low</w:t>
            </w:r>
          </w:p>
        </w:tc>
        <w:tc>
          <w:tcPr>
            <w:tcW w:w="2132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32.1 (7.72, 133.2)</w:t>
            </w:r>
          </w:p>
        </w:tc>
        <w:tc>
          <w:tcPr>
            <w:tcW w:w="995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0.33</w:t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Controls: High vs. Low</w:t>
            </w:r>
          </w:p>
        </w:tc>
        <w:tc>
          <w:tcPr>
            <w:tcW w:w="21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14.5 (4.38, 48.3)</w:t>
            </w:r>
          </w:p>
        </w:tc>
        <w:tc>
          <w:tcPr>
            <w:tcW w:w="9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High SE: Cases vs. Controls</w:t>
            </w:r>
          </w:p>
        </w:tc>
        <w:tc>
          <w:tcPr>
            <w:tcW w:w="21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0.80 (0.43, 1.49)</w:t>
            </w:r>
          </w:p>
        </w:tc>
        <w:tc>
          <w:tcPr>
            <w:tcW w:w="9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Low SE: Cases vs. Controls</w:t>
            </w:r>
          </w:p>
        </w:tc>
        <w:tc>
          <w:tcPr>
            <w:tcW w:w="2132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0.36 (0.09, 1.40)</w:t>
            </w:r>
          </w:p>
        </w:tc>
        <w:tc>
          <w:tcPr>
            <w:tcW w:w="995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FV Intake</w:t>
            </w:r>
          </w:p>
        </w:tc>
        <w:tc>
          <w:tcPr>
            <w:tcW w:w="2547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Cases: High vs. Low</w:t>
            </w:r>
          </w:p>
        </w:tc>
        <w:tc>
          <w:tcPr>
            <w:tcW w:w="2132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6.24 (2.55, 15.2)</w:t>
            </w:r>
          </w:p>
        </w:tc>
        <w:tc>
          <w:tcPr>
            <w:tcW w:w="995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0.77</w:t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Controls: High vs. Low</w:t>
            </w:r>
          </w:p>
        </w:tc>
        <w:tc>
          <w:tcPr>
            <w:tcW w:w="21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7.37 (3.01, 18.1)</w:t>
            </w:r>
          </w:p>
        </w:tc>
        <w:tc>
          <w:tcPr>
            <w:tcW w:w="9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High SE: Cases vs. Controls</w:t>
            </w:r>
          </w:p>
        </w:tc>
        <w:tc>
          <w:tcPr>
            <w:tcW w:w="21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1.64 (0.80, 3.34)</w:t>
            </w:r>
          </w:p>
        </w:tc>
        <w:tc>
          <w:tcPr>
            <w:tcW w:w="9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Low SE: Cases vs. Controls</w:t>
            </w:r>
          </w:p>
        </w:tc>
        <w:tc>
          <w:tcPr>
            <w:tcW w:w="2132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1.93 (0.94, 4.00)</w:t>
            </w:r>
          </w:p>
        </w:tc>
        <w:tc>
          <w:tcPr>
            <w:tcW w:w="995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Exercise</w:t>
            </w:r>
          </w:p>
        </w:tc>
        <w:tc>
          <w:tcPr>
            <w:tcW w:w="2547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Cases: High vs. Low</w:t>
            </w:r>
          </w:p>
        </w:tc>
        <w:tc>
          <w:tcPr>
            <w:tcW w:w="2132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5.46 (2.51,11.9)</w:t>
            </w:r>
          </w:p>
        </w:tc>
        <w:tc>
          <w:tcPr>
            <w:tcW w:w="995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0.65</w:t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Controls: High vs. Low</w:t>
            </w:r>
          </w:p>
        </w:tc>
        <w:tc>
          <w:tcPr>
            <w:tcW w:w="21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6.96 (3.27,14.8)</w:t>
            </w:r>
          </w:p>
        </w:tc>
        <w:tc>
          <w:tcPr>
            <w:tcW w:w="9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High SE: Cases vs. Controls</w:t>
            </w:r>
          </w:p>
        </w:tc>
        <w:tc>
          <w:tcPr>
            <w:tcW w:w="21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1.74 (0.87, 3.49)</w:t>
            </w:r>
          </w:p>
        </w:tc>
        <w:tc>
          <w:tcPr>
            <w:tcW w:w="9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Low SE: Cases vs. Controls</w:t>
            </w:r>
          </w:p>
        </w:tc>
        <w:tc>
          <w:tcPr>
            <w:tcW w:w="2132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2.22 (1.20, 4.08)</w:t>
            </w:r>
          </w:p>
        </w:tc>
        <w:tc>
          <w:tcPr>
            <w:tcW w:w="995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restart"/>
            <w:tcBorders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Alcohol Use</w:t>
            </w:r>
          </w:p>
        </w:tc>
        <w:tc>
          <w:tcPr>
            <w:tcW w:w="2547" w:type="dxa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Cases: High vs. Low</w:t>
            </w:r>
          </w:p>
        </w:tc>
        <w:tc>
          <w:tcPr>
            <w:tcW w:w="2132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3.02 (1.37, 6.70)</w:t>
            </w:r>
          </w:p>
        </w:tc>
        <w:tc>
          <w:tcPr>
            <w:tcW w:w="995" w:type="dxa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0.41</w:t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Controls: High vs. Low</w:t>
            </w:r>
          </w:p>
        </w:tc>
        <w:tc>
          <w:tcPr>
            <w:tcW w:w="21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4.88 (1.96, 12.1)</w:t>
            </w:r>
          </w:p>
        </w:tc>
        <w:tc>
          <w:tcPr>
            <w:tcW w:w="9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High SE: Cases vs. Controls</w:t>
            </w:r>
          </w:p>
        </w:tc>
        <w:tc>
          <w:tcPr>
            <w:tcW w:w="21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1.01 (0.64, 1.61)</w:t>
            </w:r>
          </w:p>
        </w:tc>
        <w:tc>
          <w:tcPr>
            <w:tcW w:w="9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2403" w:type="dxa"/>
            <w:vMerge w:val="continue"/>
            <w:tcBorders>
              <w:top w:val="nil"/>
              <w:start w:val="nil"/>
              <w:end w:val="nil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  <w:tc>
          <w:tcPr>
            <w:tcW w:w="2547" w:type="dxa"/>
            <w:tcBorders>
              <w:top w:val="nil"/>
              <w:start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Low SE: Cases vs. Controls</w:t>
            </w:r>
          </w:p>
        </w:tc>
        <w:tc>
          <w:tcPr>
            <w:tcW w:w="2132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  <w:t>1.64 (0.64, 4.18)</w:t>
            </w:r>
          </w:p>
        </w:tc>
        <w:tc>
          <w:tcPr>
            <w:tcW w:w="995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0"/>
                <w:sz w:val="20"/>
                <w:szCs w:val="20"/>
                <w:lang w:val="en-US" w:eastAsia="en-US" w:bidi="ar-SA"/>
              </w:rPr>
            </w:r>
          </w:p>
        </w:tc>
      </w:tr>
      <w:tr>
        <w:trPr>
          <w:trHeight w:val="288" w:hRule="atLeast"/>
        </w:trPr>
        <w:tc>
          <w:tcPr>
            <w:tcW w:w="8077" w:type="dxa"/>
            <w:gridSpan w:val="4"/>
            <w:tcBorders>
              <w:start w:val="nil"/>
              <w:bottom w:val="nil"/>
              <w:end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Cs/>
                <w:kern w:val="0"/>
                <w:sz w:val="20"/>
                <w:szCs w:val="20"/>
                <w:lang w:val="en-US" w:eastAsia="en-US" w:bidi="ar-SA"/>
              </w:rPr>
              <w:t>FV Intake = Fruit and vegetable intake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2240" w:h="15840"/>
      <w:pgMar w:left="1440" w:right="1440" w:gutter="0" w:header="72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Online Resource 1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Online Resource 1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65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65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65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65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65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65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65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65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65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95765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95765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95765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957650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957650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957650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957650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957650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957650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95765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95765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95765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57650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95765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57650"/>
    <w:rPr>
      <w:b/>
      <w:bCs/>
      <w:smallCaps/>
      <w:color w:themeColor="accent1" w:themeShade="bf" w:val="0F4761"/>
      <w:spacing w:val="5"/>
    </w:rPr>
  </w:style>
  <w:style w:type="character" w:styleId="PlainTextChar" w:customStyle="1">
    <w:name w:val="Plain Text Char"/>
    <w:basedOn w:val="DefaultParagraphFont"/>
    <w:link w:val="PlainText"/>
    <w:qFormat/>
    <w:rsid w:val="00957650"/>
    <w:rPr>
      <w:rFonts w:ascii="Courier New" w:hAnsi="Courier New" w:eastAsia="Times New Roman" w:cs="Times New Roman"/>
      <w:kern w:val="0"/>
      <w:sz w:val="20"/>
      <w:szCs w:val="20"/>
      <w14:ligatures w14:val="non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dc21a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dc21af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95765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65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65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57650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957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PlainText">
    <w:name w:val="Plain Text"/>
    <w:basedOn w:val="Normal"/>
    <w:link w:val="PlainTextChar"/>
    <w:unhideWhenUsed/>
    <w:qFormat/>
    <w:rsid w:val="00957650"/>
    <w:pPr>
      <w:spacing w:lineRule="auto" w:line="240" w:before="0" w:after="0"/>
    </w:pPr>
    <w:rPr>
      <w:rFonts w:ascii="Courier New" w:hAnsi="Courier New" w:eastAsia="Times New Roman" w:cs="Times New Roman"/>
      <w:kern w:val="0"/>
      <w:sz w:val="20"/>
      <w:szCs w:val="20"/>
      <w14:ligatures w14:val="none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dc21a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dc21a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evision">
    <w:name w:val="Revision"/>
    <w:uiPriority w:val="99"/>
    <w:semiHidden/>
    <w:qFormat/>
    <w:rsid w:val="002f0160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c21af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LibreOffice/25.8.0.4$Windows_X86_64 LibreOffice_project/48f00303701489684e67c38c28aff00cd5929e67</Application>
  <AppVersion>15.0000</AppVersion>
  <Pages>5</Pages>
  <Words>1063</Words>
  <Characters>6078</Characters>
  <CharactersWithSpaces>6975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2026-03-12T19:02:00Z</dcterms:created>
  <dc:creator>Brianna Leitzelar</dc:creator>
  <dc:description/>
  <dc:language>en-US</dc:language>
  <cp:lastModifiedBy/>
  <dcterms:modified xsi:type="dcterms:W3CDTF">2026-03-31T09:22:43Z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