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6A6CB" w14:textId="77777777" w:rsidR="00780F93" w:rsidRPr="00830777" w:rsidRDefault="00780F93" w:rsidP="00780F93">
      <w:pPr>
        <w:rPr>
          <w:b/>
          <w:sz w:val="28"/>
        </w:rPr>
      </w:pPr>
      <w:r w:rsidRPr="00830777">
        <w:rPr>
          <w:b/>
          <w:sz w:val="28"/>
        </w:rPr>
        <w:t xml:space="preserve">Technical Appendix </w:t>
      </w:r>
    </w:p>
    <w:p w14:paraId="438986FF" w14:textId="77777777" w:rsidR="00780F93" w:rsidRDefault="00780F93" w:rsidP="00780F93">
      <w:pPr>
        <w:rPr>
          <w:b/>
          <w:sz w:val="24"/>
        </w:rPr>
      </w:pPr>
      <w:r>
        <w:rPr>
          <w:b/>
          <w:sz w:val="24"/>
        </w:rPr>
        <w:t xml:space="preserve">for </w:t>
      </w:r>
    </w:p>
    <w:p w14:paraId="0E0CC8E5" w14:textId="77777777" w:rsidR="00780F93" w:rsidRPr="001176C5" w:rsidRDefault="00780F93" w:rsidP="00780F93">
      <w:pPr>
        <w:rPr>
          <w:b/>
          <w:sz w:val="24"/>
        </w:rPr>
      </w:pPr>
      <w:r w:rsidRPr="001176C5">
        <w:rPr>
          <w:b/>
          <w:sz w:val="24"/>
        </w:rPr>
        <w:t>“Value Relevance of Voluntary Intellectual Capital Disclosure – A Meta-analysis”</w:t>
      </w:r>
    </w:p>
    <w:p w14:paraId="1B83AE05" w14:textId="5BE35796" w:rsidR="00780F93" w:rsidRPr="001176C5" w:rsidRDefault="00780F93" w:rsidP="00780F93">
      <w:r>
        <w:t>Robert Rieg, Ute Vanini</w:t>
      </w:r>
    </w:p>
    <w:p w14:paraId="25B7AB78" w14:textId="4FD91BFB" w:rsidR="00780F93" w:rsidRDefault="00780F93" w:rsidP="00780F93">
      <w:r>
        <w:t>Published in Review of Managerial Science</w:t>
      </w:r>
    </w:p>
    <w:p w14:paraId="1E407D9A" w14:textId="77777777" w:rsidR="00780F93" w:rsidRPr="001176C5" w:rsidRDefault="00780F93" w:rsidP="00780F93"/>
    <w:sdt>
      <w:sdtPr>
        <w:rPr>
          <w:rFonts w:ascii="Palatino Linotype" w:eastAsiaTheme="minorHAnsi" w:hAnsi="Palatino Linotype" w:cs="Arial"/>
          <w:color w:val="auto"/>
          <w:sz w:val="22"/>
          <w:szCs w:val="22"/>
          <w:lang w:val="en-GB" w:eastAsia="en-US"/>
        </w:rPr>
        <w:id w:val="457145917"/>
        <w:docPartObj>
          <w:docPartGallery w:val="Table of Contents"/>
          <w:docPartUnique/>
        </w:docPartObj>
      </w:sdtPr>
      <w:sdtEndPr>
        <w:rPr>
          <w:rFonts w:asciiTheme="minorHAnsi" w:hAnsiTheme="minorHAnsi" w:cstheme="minorBidi"/>
          <w:b/>
          <w:bCs/>
        </w:rPr>
      </w:sdtEndPr>
      <w:sdtContent>
        <w:p w14:paraId="1239D02C" w14:textId="77777777" w:rsidR="00780F93" w:rsidRPr="00780F93" w:rsidRDefault="00780F93" w:rsidP="00780F93">
          <w:pPr>
            <w:pStyle w:val="Inhaltsverzeichnisberschrift"/>
            <w:rPr>
              <w:lang w:val="en-US"/>
            </w:rPr>
          </w:pPr>
          <w:r w:rsidRPr="00780F93">
            <w:rPr>
              <w:lang w:val="en-US"/>
            </w:rPr>
            <w:t>Content</w:t>
          </w:r>
        </w:p>
        <w:p w14:paraId="15763A17" w14:textId="2F44A823" w:rsidR="00780F93" w:rsidRDefault="00780F93">
          <w:pPr>
            <w:pStyle w:val="Verzeichnis1"/>
            <w:tabs>
              <w:tab w:val="left" w:pos="440"/>
              <w:tab w:val="right" w:leader="dot" w:pos="9062"/>
            </w:tabs>
            <w:rPr>
              <w:rFonts w:asciiTheme="minorHAnsi" w:eastAsiaTheme="minorEastAsia" w:hAnsiTheme="minorHAnsi" w:cstheme="minorBidi"/>
              <w:noProof/>
              <w:lang w:eastAsia="de-DE"/>
            </w:rPr>
          </w:pPr>
          <w:r>
            <w:fldChar w:fldCharType="begin"/>
          </w:r>
          <w:r w:rsidRPr="00780F93">
            <w:rPr>
              <w:lang w:val="en-US"/>
            </w:rPr>
            <w:instrText xml:space="preserve"> TOC \o "1-3" \h \z \u </w:instrText>
          </w:r>
          <w:r>
            <w:fldChar w:fldCharType="separate"/>
          </w:r>
          <w:hyperlink w:anchor="_Toc127861325" w:history="1">
            <w:r w:rsidRPr="00FE0F87">
              <w:rPr>
                <w:rStyle w:val="Hyperlink"/>
                <w:noProof/>
              </w:rPr>
              <w:t>1.</w:t>
            </w:r>
            <w:r>
              <w:rPr>
                <w:rFonts w:asciiTheme="minorHAnsi" w:eastAsiaTheme="minorEastAsia" w:hAnsiTheme="minorHAnsi" w:cstheme="minorBidi"/>
                <w:noProof/>
                <w:lang w:eastAsia="de-DE"/>
              </w:rPr>
              <w:tab/>
            </w:r>
            <w:r w:rsidRPr="00FE0F87">
              <w:rPr>
                <w:rStyle w:val="Hyperlink"/>
                <w:noProof/>
              </w:rPr>
              <w:t>Explaining meta-analysis</w:t>
            </w:r>
            <w:r>
              <w:rPr>
                <w:noProof/>
                <w:webHidden/>
              </w:rPr>
              <w:tab/>
            </w:r>
            <w:r>
              <w:rPr>
                <w:noProof/>
                <w:webHidden/>
              </w:rPr>
              <w:fldChar w:fldCharType="begin"/>
            </w:r>
            <w:r>
              <w:rPr>
                <w:noProof/>
                <w:webHidden/>
              </w:rPr>
              <w:instrText xml:space="preserve"> PAGEREF _Toc127861325 \h </w:instrText>
            </w:r>
            <w:r>
              <w:rPr>
                <w:noProof/>
                <w:webHidden/>
              </w:rPr>
            </w:r>
            <w:r>
              <w:rPr>
                <w:noProof/>
                <w:webHidden/>
              </w:rPr>
              <w:fldChar w:fldCharType="separate"/>
            </w:r>
            <w:r>
              <w:rPr>
                <w:noProof/>
                <w:webHidden/>
              </w:rPr>
              <w:t>1</w:t>
            </w:r>
            <w:r>
              <w:rPr>
                <w:noProof/>
                <w:webHidden/>
              </w:rPr>
              <w:fldChar w:fldCharType="end"/>
            </w:r>
          </w:hyperlink>
        </w:p>
        <w:p w14:paraId="739F525A" w14:textId="12A3392F" w:rsidR="00780F93" w:rsidRDefault="00780F93">
          <w:pPr>
            <w:pStyle w:val="Verzeichnis1"/>
            <w:tabs>
              <w:tab w:val="left" w:pos="440"/>
              <w:tab w:val="right" w:leader="dot" w:pos="9062"/>
            </w:tabs>
            <w:rPr>
              <w:rFonts w:asciiTheme="minorHAnsi" w:eastAsiaTheme="minorEastAsia" w:hAnsiTheme="minorHAnsi" w:cstheme="minorBidi"/>
              <w:noProof/>
              <w:lang w:eastAsia="de-DE"/>
            </w:rPr>
          </w:pPr>
          <w:hyperlink w:anchor="_Toc127861326" w:history="1">
            <w:r w:rsidRPr="00FE0F87">
              <w:rPr>
                <w:rStyle w:val="Hyperlink"/>
                <w:noProof/>
              </w:rPr>
              <w:t>2.</w:t>
            </w:r>
            <w:r>
              <w:rPr>
                <w:rFonts w:asciiTheme="minorHAnsi" w:eastAsiaTheme="minorEastAsia" w:hAnsiTheme="minorHAnsi" w:cstheme="minorBidi"/>
                <w:noProof/>
                <w:lang w:eastAsia="de-DE"/>
              </w:rPr>
              <w:tab/>
            </w:r>
            <w:r w:rsidRPr="00FE0F87">
              <w:rPr>
                <w:rStyle w:val="Hyperlink"/>
                <w:noProof/>
              </w:rPr>
              <w:t>Interpretation of effects in sub-group analysis and meta-regression</w:t>
            </w:r>
            <w:r>
              <w:rPr>
                <w:noProof/>
                <w:webHidden/>
              </w:rPr>
              <w:tab/>
            </w:r>
            <w:r>
              <w:rPr>
                <w:noProof/>
                <w:webHidden/>
              </w:rPr>
              <w:fldChar w:fldCharType="begin"/>
            </w:r>
            <w:r>
              <w:rPr>
                <w:noProof/>
                <w:webHidden/>
              </w:rPr>
              <w:instrText xml:space="preserve"> PAGEREF _Toc127861326 \h </w:instrText>
            </w:r>
            <w:r>
              <w:rPr>
                <w:noProof/>
                <w:webHidden/>
              </w:rPr>
            </w:r>
            <w:r>
              <w:rPr>
                <w:noProof/>
                <w:webHidden/>
              </w:rPr>
              <w:fldChar w:fldCharType="separate"/>
            </w:r>
            <w:r>
              <w:rPr>
                <w:noProof/>
                <w:webHidden/>
              </w:rPr>
              <w:t>9</w:t>
            </w:r>
            <w:r>
              <w:rPr>
                <w:noProof/>
                <w:webHidden/>
              </w:rPr>
              <w:fldChar w:fldCharType="end"/>
            </w:r>
          </w:hyperlink>
        </w:p>
        <w:p w14:paraId="42274A45" w14:textId="01FA6C07" w:rsidR="00780F93" w:rsidRDefault="00780F93">
          <w:pPr>
            <w:pStyle w:val="Verzeichnis1"/>
            <w:tabs>
              <w:tab w:val="left" w:pos="440"/>
              <w:tab w:val="right" w:leader="dot" w:pos="9062"/>
            </w:tabs>
            <w:rPr>
              <w:rFonts w:asciiTheme="minorHAnsi" w:eastAsiaTheme="minorEastAsia" w:hAnsiTheme="minorHAnsi" w:cstheme="minorBidi"/>
              <w:noProof/>
              <w:lang w:eastAsia="de-DE"/>
            </w:rPr>
          </w:pPr>
          <w:hyperlink w:anchor="_Toc127861327" w:history="1">
            <w:r w:rsidRPr="00FE0F87">
              <w:rPr>
                <w:rStyle w:val="Hyperlink"/>
                <w:noProof/>
              </w:rPr>
              <w:t>3.</w:t>
            </w:r>
            <w:r>
              <w:rPr>
                <w:rFonts w:asciiTheme="minorHAnsi" w:eastAsiaTheme="minorEastAsia" w:hAnsiTheme="minorHAnsi" w:cstheme="minorBidi"/>
                <w:noProof/>
                <w:lang w:eastAsia="de-DE"/>
              </w:rPr>
              <w:tab/>
            </w:r>
            <w:r w:rsidRPr="00FE0F87">
              <w:rPr>
                <w:rStyle w:val="Hyperlink"/>
                <w:noProof/>
              </w:rPr>
              <w:t>Publication bias: funnel plots and tests</w:t>
            </w:r>
            <w:r>
              <w:rPr>
                <w:noProof/>
                <w:webHidden/>
              </w:rPr>
              <w:tab/>
            </w:r>
            <w:r>
              <w:rPr>
                <w:noProof/>
                <w:webHidden/>
              </w:rPr>
              <w:fldChar w:fldCharType="begin"/>
            </w:r>
            <w:r>
              <w:rPr>
                <w:noProof/>
                <w:webHidden/>
              </w:rPr>
              <w:instrText xml:space="preserve"> PAGEREF _Toc127861327 \h </w:instrText>
            </w:r>
            <w:r>
              <w:rPr>
                <w:noProof/>
                <w:webHidden/>
              </w:rPr>
            </w:r>
            <w:r>
              <w:rPr>
                <w:noProof/>
                <w:webHidden/>
              </w:rPr>
              <w:fldChar w:fldCharType="separate"/>
            </w:r>
            <w:r>
              <w:rPr>
                <w:noProof/>
                <w:webHidden/>
              </w:rPr>
              <w:t>13</w:t>
            </w:r>
            <w:r>
              <w:rPr>
                <w:noProof/>
                <w:webHidden/>
              </w:rPr>
              <w:fldChar w:fldCharType="end"/>
            </w:r>
          </w:hyperlink>
        </w:p>
        <w:p w14:paraId="78591167" w14:textId="205D1FAF" w:rsidR="00780F93" w:rsidRDefault="00780F93">
          <w:pPr>
            <w:pStyle w:val="Verzeichnis2"/>
            <w:tabs>
              <w:tab w:val="right" w:leader="dot" w:pos="9062"/>
            </w:tabs>
            <w:rPr>
              <w:rFonts w:asciiTheme="minorHAnsi" w:eastAsiaTheme="minorEastAsia" w:hAnsiTheme="minorHAnsi" w:cstheme="minorBidi"/>
              <w:noProof/>
              <w:lang w:eastAsia="de-DE"/>
            </w:rPr>
          </w:pPr>
          <w:hyperlink w:anchor="_Toc127861328" w:history="1">
            <w:r w:rsidRPr="00FE0F87">
              <w:rPr>
                <w:rStyle w:val="Hyperlink"/>
                <w:noProof/>
              </w:rPr>
              <w:t>3.1 Sub-group Market Value</w:t>
            </w:r>
            <w:r>
              <w:rPr>
                <w:noProof/>
                <w:webHidden/>
              </w:rPr>
              <w:tab/>
            </w:r>
            <w:r>
              <w:rPr>
                <w:noProof/>
                <w:webHidden/>
              </w:rPr>
              <w:fldChar w:fldCharType="begin"/>
            </w:r>
            <w:r>
              <w:rPr>
                <w:noProof/>
                <w:webHidden/>
              </w:rPr>
              <w:instrText xml:space="preserve"> PAGEREF _Toc127861328 \h </w:instrText>
            </w:r>
            <w:r>
              <w:rPr>
                <w:noProof/>
                <w:webHidden/>
              </w:rPr>
            </w:r>
            <w:r>
              <w:rPr>
                <w:noProof/>
                <w:webHidden/>
              </w:rPr>
              <w:fldChar w:fldCharType="separate"/>
            </w:r>
            <w:r>
              <w:rPr>
                <w:noProof/>
                <w:webHidden/>
              </w:rPr>
              <w:t>13</w:t>
            </w:r>
            <w:r>
              <w:rPr>
                <w:noProof/>
                <w:webHidden/>
              </w:rPr>
              <w:fldChar w:fldCharType="end"/>
            </w:r>
          </w:hyperlink>
        </w:p>
        <w:p w14:paraId="0BFDA28B" w14:textId="67CB9BED" w:rsidR="00780F93" w:rsidRDefault="00780F93">
          <w:pPr>
            <w:pStyle w:val="Verzeichnis2"/>
            <w:tabs>
              <w:tab w:val="right" w:leader="dot" w:pos="9062"/>
            </w:tabs>
            <w:rPr>
              <w:rFonts w:asciiTheme="minorHAnsi" w:eastAsiaTheme="minorEastAsia" w:hAnsiTheme="minorHAnsi" w:cstheme="minorBidi"/>
              <w:noProof/>
              <w:lang w:eastAsia="de-DE"/>
            </w:rPr>
          </w:pPr>
          <w:hyperlink w:anchor="_Toc127861329" w:history="1">
            <w:r w:rsidRPr="00FE0F87">
              <w:rPr>
                <w:rStyle w:val="Hyperlink"/>
                <w:noProof/>
              </w:rPr>
              <w:t>3.2 Sub group cost of equity</w:t>
            </w:r>
            <w:r>
              <w:rPr>
                <w:noProof/>
                <w:webHidden/>
              </w:rPr>
              <w:tab/>
            </w:r>
            <w:r>
              <w:rPr>
                <w:noProof/>
                <w:webHidden/>
              </w:rPr>
              <w:fldChar w:fldCharType="begin"/>
            </w:r>
            <w:r>
              <w:rPr>
                <w:noProof/>
                <w:webHidden/>
              </w:rPr>
              <w:instrText xml:space="preserve"> PAGEREF _Toc127861329 \h </w:instrText>
            </w:r>
            <w:r>
              <w:rPr>
                <w:noProof/>
                <w:webHidden/>
              </w:rPr>
            </w:r>
            <w:r>
              <w:rPr>
                <w:noProof/>
                <w:webHidden/>
              </w:rPr>
              <w:fldChar w:fldCharType="separate"/>
            </w:r>
            <w:r>
              <w:rPr>
                <w:noProof/>
                <w:webHidden/>
              </w:rPr>
              <w:t>14</w:t>
            </w:r>
            <w:r>
              <w:rPr>
                <w:noProof/>
                <w:webHidden/>
              </w:rPr>
              <w:fldChar w:fldCharType="end"/>
            </w:r>
          </w:hyperlink>
        </w:p>
        <w:p w14:paraId="1C51675F" w14:textId="67A2E7BB" w:rsidR="00780F93" w:rsidRDefault="00780F93">
          <w:pPr>
            <w:pStyle w:val="Verzeichnis2"/>
            <w:tabs>
              <w:tab w:val="right" w:leader="dot" w:pos="9062"/>
            </w:tabs>
            <w:rPr>
              <w:rFonts w:asciiTheme="minorHAnsi" w:eastAsiaTheme="minorEastAsia" w:hAnsiTheme="minorHAnsi" w:cstheme="minorBidi"/>
              <w:noProof/>
              <w:lang w:eastAsia="de-DE"/>
            </w:rPr>
          </w:pPr>
          <w:hyperlink w:anchor="_Toc127861330" w:history="1">
            <w:r w:rsidRPr="00FE0F87">
              <w:rPr>
                <w:rStyle w:val="Hyperlink"/>
                <w:noProof/>
              </w:rPr>
              <w:t>3.3 Sub group cost of debt</w:t>
            </w:r>
            <w:r>
              <w:rPr>
                <w:noProof/>
                <w:webHidden/>
              </w:rPr>
              <w:tab/>
            </w:r>
            <w:r>
              <w:rPr>
                <w:noProof/>
                <w:webHidden/>
              </w:rPr>
              <w:fldChar w:fldCharType="begin"/>
            </w:r>
            <w:r>
              <w:rPr>
                <w:noProof/>
                <w:webHidden/>
              </w:rPr>
              <w:instrText xml:space="preserve"> PAGEREF _Toc127861330 \h </w:instrText>
            </w:r>
            <w:r>
              <w:rPr>
                <w:noProof/>
                <w:webHidden/>
              </w:rPr>
            </w:r>
            <w:r>
              <w:rPr>
                <w:noProof/>
                <w:webHidden/>
              </w:rPr>
              <w:fldChar w:fldCharType="separate"/>
            </w:r>
            <w:r>
              <w:rPr>
                <w:noProof/>
                <w:webHidden/>
              </w:rPr>
              <w:t>15</w:t>
            </w:r>
            <w:r>
              <w:rPr>
                <w:noProof/>
                <w:webHidden/>
              </w:rPr>
              <w:fldChar w:fldCharType="end"/>
            </w:r>
          </w:hyperlink>
        </w:p>
        <w:p w14:paraId="79F755D0" w14:textId="503BBA09" w:rsidR="00780F93" w:rsidRDefault="00780F93">
          <w:pPr>
            <w:pStyle w:val="Verzeichnis2"/>
            <w:tabs>
              <w:tab w:val="right" w:leader="dot" w:pos="9062"/>
            </w:tabs>
            <w:rPr>
              <w:rFonts w:asciiTheme="minorHAnsi" w:eastAsiaTheme="minorEastAsia" w:hAnsiTheme="minorHAnsi" w:cstheme="minorBidi"/>
              <w:noProof/>
              <w:lang w:eastAsia="de-DE"/>
            </w:rPr>
          </w:pPr>
          <w:hyperlink w:anchor="_Toc127861331" w:history="1">
            <w:r w:rsidRPr="00FE0F87">
              <w:rPr>
                <w:rStyle w:val="Hyperlink"/>
                <w:noProof/>
              </w:rPr>
              <w:t>3.4 Sub group accounting returns</w:t>
            </w:r>
            <w:r>
              <w:rPr>
                <w:noProof/>
                <w:webHidden/>
              </w:rPr>
              <w:tab/>
            </w:r>
            <w:r>
              <w:rPr>
                <w:noProof/>
                <w:webHidden/>
              </w:rPr>
              <w:fldChar w:fldCharType="begin"/>
            </w:r>
            <w:r>
              <w:rPr>
                <w:noProof/>
                <w:webHidden/>
              </w:rPr>
              <w:instrText xml:space="preserve"> PAGEREF _Toc127861331 \h </w:instrText>
            </w:r>
            <w:r>
              <w:rPr>
                <w:noProof/>
                <w:webHidden/>
              </w:rPr>
            </w:r>
            <w:r>
              <w:rPr>
                <w:noProof/>
                <w:webHidden/>
              </w:rPr>
              <w:fldChar w:fldCharType="separate"/>
            </w:r>
            <w:r>
              <w:rPr>
                <w:noProof/>
                <w:webHidden/>
              </w:rPr>
              <w:t>16</w:t>
            </w:r>
            <w:r>
              <w:rPr>
                <w:noProof/>
                <w:webHidden/>
              </w:rPr>
              <w:fldChar w:fldCharType="end"/>
            </w:r>
          </w:hyperlink>
        </w:p>
        <w:p w14:paraId="20A41682" w14:textId="57C8BF9E" w:rsidR="00780F93" w:rsidRDefault="00780F93">
          <w:pPr>
            <w:pStyle w:val="Verzeichnis1"/>
            <w:tabs>
              <w:tab w:val="right" w:leader="dot" w:pos="9062"/>
            </w:tabs>
            <w:rPr>
              <w:rFonts w:asciiTheme="minorHAnsi" w:eastAsiaTheme="minorEastAsia" w:hAnsiTheme="minorHAnsi" w:cstheme="minorBidi"/>
              <w:noProof/>
              <w:lang w:eastAsia="de-DE"/>
            </w:rPr>
          </w:pPr>
          <w:hyperlink w:anchor="_Toc127861332" w:history="1">
            <w:r w:rsidRPr="00FE0F87">
              <w:rPr>
                <w:rStyle w:val="Hyperlink"/>
                <w:noProof/>
              </w:rPr>
              <w:t>References</w:t>
            </w:r>
            <w:r>
              <w:rPr>
                <w:noProof/>
                <w:webHidden/>
              </w:rPr>
              <w:tab/>
            </w:r>
            <w:r>
              <w:rPr>
                <w:noProof/>
                <w:webHidden/>
              </w:rPr>
              <w:fldChar w:fldCharType="begin"/>
            </w:r>
            <w:r>
              <w:rPr>
                <w:noProof/>
                <w:webHidden/>
              </w:rPr>
              <w:instrText xml:space="preserve"> PAGEREF _Toc127861332 \h </w:instrText>
            </w:r>
            <w:r>
              <w:rPr>
                <w:noProof/>
                <w:webHidden/>
              </w:rPr>
            </w:r>
            <w:r>
              <w:rPr>
                <w:noProof/>
                <w:webHidden/>
              </w:rPr>
              <w:fldChar w:fldCharType="separate"/>
            </w:r>
            <w:r>
              <w:rPr>
                <w:noProof/>
                <w:webHidden/>
              </w:rPr>
              <w:t>17</w:t>
            </w:r>
            <w:r>
              <w:rPr>
                <w:noProof/>
                <w:webHidden/>
              </w:rPr>
              <w:fldChar w:fldCharType="end"/>
            </w:r>
          </w:hyperlink>
        </w:p>
        <w:p w14:paraId="44835122" w14:textId="52003C23" w:rsidR="00780F93" w:rsidRDefault="00780F93" w:rsidP="00780F93">
          <w:r>
            <w:rPr>
              <w:b/>
              <w:bCs/>
            </w:rPr>
            <w:fldChar w:fldCharType="end"/>
          </w:r>
        </w:p>
      </w:sdtContent>
    </w:sdt>
    <w:p w14:paraId="7CCC53A6" w14:textId="77777777" w:rsidR="00780F93" w:rsidRDefault="00780F93" w:rsidP="00780F93">
      <w:pPr>
        <w:spacing w:after="120" w:line="312" w:lineRule="auto"/>
        <w:jc w:val="both"/>
        <w:rPr>
          <w:sz w:val="24"/>
          <w:szCs w:val="24"/>
        </w:rPr>
      </w:pPr>
    </w:p>
    <w:p w14:paraId="45B20064" w14:textId="4E65AAF1" w:rsidR="00780F93" w:rsidRDefault="00780F93" w:rsidP="00780F93">
      <w:pPr>
        <w:pStyle w:val="berschrift1"/>
        <w:numPr>
          <w:ilvl w:val="0"/>
          <w:numId w:val="2"/>
        </w:numPr>
      </w:pPr>
      <w:bookmarkStart w:id="0" w:name="_Toc127861325"/>
      <w:r>
        <w:t>Explaining meta-analysis</w:t>
      </w:r>
      <w:bookmarkEnd w:id="0"/>
    </w:p>
    <w:p w14:paraId="58C5C42F" w14:textId="77777777" w:rsidR="00780F93" w:rsidRPr="00B14CA1" w:rsidRDefault="00780F93" w:rsidP="00780F93">
      <w:pPr>
        <w:spacing w:after="120" w:line="312" w:lineRule="auto"/>
        <w:jc w:val="both"/>
      </w:pPr>
    </w:p>
    <w:p w14:paraId="36042055" w14:textId="77777777" w:rsidR="00780F93" w:rsidRPr="00B14CA1" w:rsidRDefault="00780F93" w:rsidP="00780F93">
      <w:pPr>
        <w:spacing w:after="120" w:line="312" w:lineRule="auto"/>
        <w:jc w:val="both"/>
      </w:pPr>
      <w:r w:rsidRPr="00B14CA1">
        <w:t xml:space="preserve">In this </w:t>
      </w:r>
      <w:r>
        <w:t>section</w:t>
      </w:r>
      <w:r w:rsidRPr="00B14CA1">
        <w:t xml:space="preserve"> the steps of the meta-analysis performed in the paper are explained and exemplified in more detail. These steps follow the recommendations of </w:t>
      </w:r>
      <w:r w:rsidRPr="00B14CA1">
        <w:rPr>
          <w:noProof/>
        </w:rPr>
        <w:t>Cooper et al. 2009; Havránek et al. 2020</w:t>
      </w:r>
      <w:r w:rsidRPr="00B14CA1">
        <w:t xml:space="preserve"> and </w:t>
      </w:r>
      <w:r w:rsidRPr="00B14CA1">
        <w:rPr>
          <w:noProof/>
        </w:rPr>
        <w:t>Clarke 2009</w:t>
      </w:r>
      <w:r w:rsidRPr="00B14CA1">
        <w:t>. Where appropriate, some text is integrated from the original paper.</w:t>
      </w:r>
    </w:p>
    <w:p w14:paraId="57592DE0" w14:textId="77777777" w:rsidR="00780F93" w:rsidRPr="00B14CA1" w:rsidRDefault="00780F93" w:rsidP="00780F93">
      <w:pPr>
        <w:spacing w:after="120" w:line="312" w:lineRule="auto"/>
        <w:jc w:val="both"/>
      </w:pPr>
    </w:p>
    <w:p w14:paraId="1341D1C7" w14:textId="77777777" w:rsidR="00780F93" w:rsidRPr="00B14CA1" w:rsidRDefault="00780F93" w:rsidP="00780F93">
      <w:pPr>
        <w:spacing w:after="120" w:line="312" w:lineRule="auto"/>
        <w:jc w:val="both"/>
        <w:rPr>
          <w:u w:val="single"/>
        </w:rPr>
      </w:pPr>
      <w:r w:rsidRPr="00B14CA1">
        <w:rPr>
          <w:u w:val="single"/>
        </w:rPr>
        <w:t>Step 1: Formulating a research problem: here, effect of voluntary ICD (section 2)</w:t>
      </w:r>
    </w:p>
    <w:p w14:paraId="5F198C3E" w14:textId="77777777" w:rsidR="00780F93" w:rsidRPr="00B14CA1" w:rsidRDefault="00780F93" w:rsidP="00780F93">
      <w:pPr>
        <w:spacing w:after="120" w:line="312" w:lineRule="auto"/>
        <w:jc w:val="both"/>
      </w:pPr>
      <w:r w:rsidRPr="00B14CA1">
        <w:t xml:space="preserve">The plenitude of possible research problems is intimidating and it is not a viable way to begin a meta-analysis to try to select one from a practically infinite number of problems. A more appropriate strategy is starting with what seems as similar research problems of individual studies, </w:t>
      </w:r>
      <w:proofErr w:type="gramStart"/>
      <w:r w:rsidRPr="00B14CA1">
        <w:t>i.e.</w:t>
      </w:r>
      <w:proofErr w:type="gramEnd"/>
      <w:r w:rsidRPr="00B14CA1">
        <w:t xml:space="preserve"> in a general sense the question of which variables are related to one another </w:t>
      </w:r>
      <w:r w:rsidRPr="00B14CA1">
        <w:rPr>
          <w:noProof/>
        </w:rPr>
        <w:t>(Cooper 2010)</w:t>
      </w:r>
      <w:r w:rsidRPr="00B14CA1">
        <w:t xml:space="preserve">. In the particular case this is the question of </w:t>
      </w:r>
      <w:r>
        <w:t xml:space="preserve">voluntary </w:t>
      </w:r>
      <w:r w:rsidRPr="00B14CA1">
        <w:t xml:space="preserve">ICD and how it affects various outcome variables. The rationale for choosing this research problem stems from conflicting evidence of studies as, for example, indicated by </w:t>
      </w:r>
      <w:r w:rsidRPr="00B14CA1">
        <w:rPr>
          <w:noProof/>
        </w:rPr>
        <w:t>Vanini and Rieg 2019</w:t>
      </w:r>
      <w:r w:rsidRPr="00B14CA1">
        <w:t>, table 5 on page 357 (see also section 1 &amp; 2.2 of the paper). As it is not possible to combine individual study results just by counting “positive” or “negative” results (so-called vote-</w:t>
      </w:r>
      <w:r w:rsidRPr="00B14CA1">
        <w:lastRenderedPageBreak/>
        <w:t xml:space="preserve">counting, </w:t>
      </w:r>
      <w:r w:rsidRPr="00B14CA1">
        <w:rPr>
          <w:noProof/>
        </w:rPr>
        <w:t>Borenstein et al. 2009</w:t>
      </w:r>
      <w:r w:rsidRPr="00B14CA1">
        <w:t>), a more elaborate procedure for combining individual study results is needed, which is the meta-analytic procedure.</w:t>
      </w:r>
    </w:p>
    <w:p w14:paraId="72261544" w14:textId="77777777" w:rsidR="00780F93" w:rsidRPr="00B14CA1" w:rsidRDefault="00780F93" w:rsidP="00780F93">
      <w:pPr>
        <w:spacing w:after="120" w:line="312" w:lineRule="auto"/>
        <w:jc w:val="both"/>
      </w:pPr>
    </w:p>
    <w:p w14:paraId="3A0ABD60" w14:textId="77777777" w:rsidR="00780F93" w:rsidRPr="00B14CA1" w:rsidRDefault="00780F93" w:rsidP="00780F93">
      <w:pPr>
        <w:spacing w:after="120" w:line="312" w:lineRule="auto"/>
        <w:jc w:val="both"/>
        <w:rPr>
          <w:u w:val="single"/>
        </w:rPr>
      </w:pPr>
      <w:r w:rsidRPr="00B14CA1">
        <w:rPr>
          <w:u w:val="single"/>
        </w:rPr>
        <w:t>Step 2: Searching literature, here studies on effects of voluntary ICD (section 3.2)</w:t>
      </w:r>
    </w:p>
    <w:p w14:paraId="490FE677" w14:textId="77777777" w:rsidR="00780F93" w:rsidRPr="00B14CA1" w:rsidRDefault="00780F93" w:rsidP="00780F93">
      <w:pPr>
        <w:spacing w:after="120" w:line="312" w:lineRule="auto"/>
        <w:jc w:val="both"/>
      </w:pPr>
      <w:r w:rsidRPr="00B14CA1">
        <w:t xml:space="preserve">While there is no general rule how many studies should be included </w:t>
      </w:r>
      <w:r w:rsidRPr="00B14CA1">
        <w:rPr>
          <w:noProof/>
        </w:rPr>
        <w:t>(Cooper 2010)</w:t>
      </w:r>
      <w:r w:rsidRPr="00B14CA1">
        <w:t xml:space="preserve">, a comprehensive, broad, and unbiased literature search is regarded as an important success factor of a meta-analysis. A well-conducted meta-analysis searches potential studies in multiple databases, as a limited pool of studies might bias the conclusions </w:t>
      </w:r>
      <w:r w:rsidRPr="00B14CA1">
        <w:rPr>
          <w:noProof/>
        </w:rPr>
        <w:t>(Buckley et al. 2014)</w:t>
      </w:r>
      <w:r w:rsidRPr="00B14CA1">
        <w:t xml:space="preserve">. To identify relevant studies, several complementary search strategies were combined </w:t>
      </w:r>
      <w:r w:rsidRPr="00B14CA1">
        <w:rPr>
          <w:noProof/>
        </w:rPr>
        <w:t>(Endrikat et al. 2019)</w:t>
      </w:r>
      <w:r w:rsidRPr="00B14CA1">
        <w:t xml:space="preserve">. A query of titles, abstracts and keywords were conducted in the following literature databases, using the search terms “intellectual capital” and “disclosure”, partly in combination with “effects”, “cost of capital” or “market value”: </w:t>
      </w:r>
    </w:p>
    <w:p w14:paraId="02092DDD" w14:textId="77777777" w:rsidR="00780F93" w:rsidRPr="00B14CA1" w:rsidRDefault="00780F93" w:rsidP="00780F93">
      <w:pPr>
        <w:spacing w:after="120" w:line="312" w:lineRule="auto"/>
        <w:ind w:left="708"/>
        <w:jc w:val="both"/>
      </w:pPr>
      <w:r w:rsidRPr="00B14CA1">
        <w:t xml:space="preserve">Business Source Complete, Abi Inform Global, Springer Link, JSTOR, </w:t>
      </w:r>
      <w:proofErr w:type="spellStart"/>
      <w:r w:rsidRPr="00B14CA1">
        <w:t>EconBiz</w:t>
      </w:r>
      <w:proofErr w:type="spellEnd"/>
      <w:r w:rsidRPr="00B14CA1">
        <w:t>, ECONIS, Science direct, Social Science Research Network, Taylor and Francis, Emerald Insight, Elsevier and Wiley.</w:t>
      </w:r>
    </w:p>
    <w:p w14:paraId="35312777" w14:textId="77777777" w:rsidR="00780F93" w:rsidRPr="00B14CA1" w:rsidRDefault="00780F93" w:rsidP="00780F93">
      <w:pPr>
        <w:spacing w:after="120" w:line="312" w:lineRule="auto"/>
        <w:jc w:val="both"/>
      </w:pPr>
      <w:r w:rsidRPr="00B14CA1">
        <w:t xml:space="preserve">The findings were checked via Google Scholar and cross-checks in the reference lists of the reviewed articles (for a similar procedure see </w:t>
      </w:r>
      <w:r w:rsidRPr="00B14CA1">
        <w:rPr>
          <w:noProof/>
        </w:rPr>
        <w:t>Endrikat et al. 2019</w:t>
      </w:r>
      <w:r w:rsidRPr="00B14CA1">
        <w:t xml:space="preserve">). </w:t>
      </w:r>
      <w:bookmarkStart w:id="1" w:name="_Hlk57270832"/>
      <w:r w:rsidRPr="00B14CA1">
        <w:t xml:space="preserve">A period from 2000 to 2019 was covered because the topic gained momentum around the year 2000 indicated by the “new economy” with its focus on non-tangible value drivers </w:t>
      </w:r>
      <w:r w:rsidRPr="00B14CA1">
        <w:rPr>
          <w:noProof/>
        </w:rPr>
        <w:t>(Lev 2001)</w:t>
      </w:r>
      <w:r w:rsidRPr="00B14CA1">
        <w:t xml:space="preserve"> and the launch of specialized journals like the Journal of Intellectual Capital. </w:t>
      </w:r>
    </w:p>
    <w:bookmarkEnd w:id="1"/>
    <w:p w14:paraId="39C3D234" w14:textId="77777777" w:rsidR="00780F93" w:rsidRPr="00B14CA1" w:rsidRDefault="00780F93" w:rsidP="00780F93">
      <w:pPr>
        <w:spacing w:after="120" w:line="312" w:lineRule="auto"/>
        <w:jc w:val="both"/>
      </w:pPr>
      <w:r w:rsidRPr="00B14CA1">
        <w:t>The list of studies found encompasses at the beginning often studies which are only at first glance relevant to the research problem. Several exclusion criteria are applied, here especially:</w:t>
      </w:r>
    </w:p>
    <w:p w14:paraId="2863FACB" w14:textId="77777777" w:rsidR="00780F93" w:rsidRPr="00B14CA1" w:rsidRDefault="00780F93" w:rsidP="00780F93">
      <w:pPr>
        <w:pStyle w:val="Listenabsatz"/>
        <w:numPr>
          <w:ilvl w:val="0"/>
          <w:numId w:val="1"/>
        </w:numPr>
        <w:spacing w:after="120" w:line="312" w:lineRule="auto"/>
        <w:jc w:val="both"/>
      </w:pPr>
      <w:r w:rsidRPr="00B14CA1">
        <w:t>Studies analysing mandatory disclosure or indicators based on accounting numbers such as the VAIC were not considered (</w:t>
      </w:r>
      <w:proofErr w:type="gramStart"/>
      <w:r w:rsidRPr="00B14CA1">
        <w:t>e.g.</w:t>
      </w:r>
      <w:proofErr w:type="gramEnd"/>
      <w:r w:rsidRPr="00B14CA1">
        <w:t xml:space="preserve"> </w:t>
      </w:r>
      <w:r w:rsidRPr="00B14CA1">
        <w:rPr>
          <w:noProof/>
        </w:rPr>
        <w:t>Zéghal and Maaloul 2010</w:t>
      </w:r>
      <w:r w:rsidRPr="00B14CA1">
        <w:t xml:space="preserve">).   </w:t>
      </w:r>
    </w:p>
    <w:p w14:paraId="1E9918C9" w14:textId="77777777" w:rsidR="00780F93" w:rsidRPr="00B14CA1" w:rsidRDefault="00780F93" w:rsidP="00780F93">
      <w:pPr>
        <w:pStyle w:val="Listenabsatz"/>
        <w:numPr>
          <w:ilvl w:val="0"/>
          <w:numId w:val="1"/>
        </w:numPr>
        <w:spacing w:after="120" w:line="312" w:lineRule="auto"/>
        <w:jc w:val="both"/>
      </w:pPr>
      <w:r w:rsidRPr="00B14CA1">
        <w:t xml:space="preserve">Case and field studies were excluded </w:t>
      </w:r>
      <w:r w:rsidRPr="00B14CA1">
        <w:rPr>
          <w:noProof/>
        </w:rPr>
        <w:t>(e.g. Abeysekera 2014)</w:t>
      </w:r>
      <w:r w:rsidRPr="00B14CA1">
        <w:t xml:space="preserve">. </w:t>
      </w:r>
      <w:r w:rsidRPr="00B14CA1">
        <w:rPr>
          <w:lang w:val="en-US"/>
        </w:rPr>
        <w:t>Case studies in ICD research try for example to shed light on the production or usage of IC information (</w:t>
      </w:r>
      <w:proofErr w:type="gramStart"/>
      <w:r w:rsidRPr="00B14CA1">
        <w:rPr>
          <w:lang w:val="en-US"/>
        </w:rPr>
        <w:t>e.g.</w:t>
      </w:r>
      <w:proofErr w:type="gramEnd"/>
      <w:r w:rsidRPr="00B14CA1">
        <w:rPr>
          <w:lang w:val="en-US"/>
        </w:rPr>
        <w:t xml:space="preserve"> </w:t>
      </w:r>
      <w:proofErr w:type="spellStart"/>
      <w:r w:rsidRPr="00B14CA1">
        <w:rPr>
          <w:lang w:val="en-US"/>
        </w:rPr>
        <w:t>Veltri</w:t>
      </w:r>
      <w:proofErr w:type="spellEnd"/>
      <w:r w:rsidRPr="00B14CA1">
        <w:rPr>
          <w:lang w:val="en-US"/>
        </w:rPr>
        <w:t xml:space="preserve"> and </w:t>
      </w:r>
      <w:proofErr w:type="spellStart"/>
      <w:r w:rsidRPr="00B14CA1">
        <w:rPr>
          <w:lang w:val="en-US"/>
        </w:rPr>
        <w:t>Bronzetti</w:t>
      </w:r>
      <w:proofErr w:type="spellEnd"/>
      <w:r w:rsidRPr="00B14CA1">
        <w:rPr>
          <w:lang w:val="en-US"/>
        </w:rPr>
        <w:t xml:space="preserve"> 2014).</w:t>
      </w:r>
      <w:r>
        <w:rPr>
          <w:lang w:val="en-US"/>
        </w:rPr>
        <w:t xml:space="preserve"> </w:t>
      </w:r>
      <w:r w:rsidRPr="00B14CA1">
        <w:rPr>
          <w:lang w:val="en-US"/>
        </w:rPr>
        <w:t>Given that case and field studies aim to understand phenomena in-depth they typically do not provide and are not designed to deliver data sets suitable for statistical analyses such as correlation coefficients or standard errors (Yin 2009) and therefore cannot be integrated in a meta-analysis.</w:t>
      </w:r>
    </w:p>
    <w:p w14:paraId="7258A518" w14:textId="77777777" w:rsidR="00780F93" w:rsidRPr="00B14CA1" w:rsidRDefault="00780F93" w:rsidP="00780F93">
      <w:pPr>
        <w:pStyle w:val="Listenabsatz"/>
        <w:numPr>
          <w:ilvl w:val="0"/>
          <w:numId w:val="1"/>
        </w:numPr>
        <w:spacing w:after="120" w:line="312" w:lineRule="auto"/>
        <w:jc w:val="both"/>
      </w:pPr>
      <w:r w:rsidRPr="00B14CA1">
        <w:t xml:space="preserve">Also, studies had to use voluntary ICD as independent variable and measures of value relevance such as cost of capital or reputation as dependent variables. As a result, studies analysing determinants or characteristics of voluntary ICD were excluded </w:t>
      </w:r>
      <w:r w:rsidRPr="00B14CA1">
        <w:rPr>
          <w:noProof/>
        </w:rPr>
        <w:t>(e.g. Li and Mangena 2014)</w:t>
      </w:r>
      <w:r w:rsidRPr="00B14CA1">
        <w:t xml:space="preserve">. </w:t>
      </w:r>
    </w:p>
    <w:p w14:paraId="4DC26DE6" w14:textId="77777777" w:rsidR="00780F93" w:rsidRPr="00B14CA1" w:rsidRDefault="00780F93" w:rsidP="00780F93">
      <w:pPr>
        <w:pStyle w:val="Listenabsatz"/>
        <w:numPr>
          <w:ilvl w:val="0"/>
          <w:numId w:val="1"/>
        </w:numPr>
        <w:spacing w:after="120" w:line="312" w:lineRule="auto"/>
        <w:jc w:val="both"/>
      </w:pPr>
      <w:r w:rsidRPr="00B14CA1">
        <w:t xml:space="preserve">Meta-analyses require a common effect size to represent the quantitative results of the studies </w:t>
      </w:r>
      <w:r w:rsidRPr="00B14CA1">
        <w:rPr>
          <w:noProof/>
        </w:rPr>
        <w:t>(Buckley et al. 2014)</w:t>
      </w:r>
      <w:r w:rsidRPr="00B14CA1">
        <w:t>. Thus, the studies had to report their sample sizes, correlation coefficients or other appropriate effect sizes.</w:t>
      </w:r>
    </w:p>
    <w:p w14:paraId="36FEE4DA" w14:textId="77777777" w:rsidR="00780F93" w:rsidRPr="00B14CA1" w:rsidRDefault="00780F93" w:rsidP="00780F93">
      <w:pPr>
        <w:pStyle w:val="Listenabsatz"/>
        <w:numPr>
          <w:ilvl w:val="0"/>
          <w:numId w:val="1"/>
        </w:numPr>
        <w:spacing w:after="120" w:line="312" w:lineRule="auto"/>
        <w:jc w:val="both"/>
      </w:pPr>
      <w:r w:rsidRPr="00B14CA1">
        <w:t xml:space="preserve">The studies had to be published in English. </w:t>
      </w:r>
    </w:p>
    <w:p w14:paraId="6B9E3FEE" w14:textId="77777777" w:rsidR="00780F93" w:rsidRPr="00B14CA1" w:rsidRDefault="00780F93" w:rsidP="00780F93">
      <w:pPr>
        <w:spacing w:after="120" w:line="312" w:lineRule="auto"/>
        <w:jc w:val="both"/>
      </w:pPr>
    </w:p>
    <w:p w14:paraId="31078B44" w14:textId="77777777" w:rsidR="00780F93" w:rsidRPr="00B14CA1" w:rsidRDefault="00780F93" w:rsidP="00780F93">
      <w:pPr>
        <w:spacing w:after="120" w:line="312" w:lineRule="auto"/>
        <w:jc w:val="both"/>
        <w:rPr>
          <w:u w:val="single"/>
        </w:rPr>
      </w:pPr>
      <w:r w:rsidRPr="00B14CA1">
        <w:rPr>
          <w:u w:val="single"/>
        </w:rPr>
        <w:t>Step 3: Coding the literature (section 3.3)</w:t>
      </w:r>
    </w:p>
    <w:p w14:paraId="097688A6" w14:textId="77777777" w:rsidR="00780F93" w:rsidRPr="00B14CA1" w:rsidRDefault="00780F93" w:rsidP="00780F93">
      <w:pPr>
        <w:spacing w:after="120" w:line="312" w:lineRule="auto"/>
        <w:jc w:val="both"/>
      </w:pPr>
      <w:r w:rsidRPr="00B14CA1">
        <w:lastRenderedPageBreak/>
        <w:t>The coding of every study found is described in section 3.3. The result is documented in an XLS-file. Below is an excerpt of that.</w:t>
      </w:r>
    </w:p>
    <w:p w14:paraId="2364ECB9" w14:textId="77777777" w:rsidR="00780F93" w:rsidRDefault="00780F93" w:rsidP="00780F93">
      <w:pPr>
        <w:spacing w:after="120" w:line="312" w:lineRule="auto"/>
        <w:jc w:val="both"/>
        <w:rPr>
          <w:sz w:val="24"/>
          <w:szCs w:val="24"/>
        </w:rPr>
      </w:pPr>
      <w:r w:rsidRPr="00B02C0F">
        <w:rPr>
          <w:noProof/>
        </w:rPr>
        <w:drawing>
          <wp:inline distT="0" distB="0" distL="0" distR="0" wp14:anchorId="5797EB58" wp14:editId="7A2C6E0D">
            <wp:extent cx="4431323" cy="1228090"/>
            <wp:effectExtent l="0" t="0" r="762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r="23067"/>
                    <a:stretch/>
                  </pic:blipFill>
                  <pic:spPr bwMode="auto">
                    <a:xfrm>
                      <a:off x="0" y="0"/>
                      <a:ext cx="4431900" cy="1228250"/>
                    </a:xfrm>
                    <a:prstGeom prst="rect">
                      <a:avLst/>
                    </a:prstGeom>
                    <a:noFill/>
                    <a:ln>
                      <a:noFill/>
                    </a:ln>
                    <a:extLst>
                      <a:ext uri="{53640926-AAD7-44D8-BBD7-CCE9431645EC}">
                        <a14:shadowObscured xmlns:a14="http://schemas.microsoft.com/office/drawing/2010/main"/>
                      </a:ext>
                    </a:extLst>
                  </pic:spPr>
                </pic:pic>
              </a:graphicData>
            </a:graphic>
          </wp:inline>
        </w:drawing>
      </w:r>
    </w:p>
    <w:p w14:paraId="71DA3352" w14:textId="77777777" w:rsidR="00780F93" w:rsidRDefault="00780F93" w:rsidP="00780F93">
      <w:pPr>
        <w:spacing w:after="120" w:line="312" w:lineRule="auto"/>
        <w:jc w:val="both"/>
        <w:rPr>
          <w:sz w:val="24"/>
          <w:szCs w:val="24"/>
        </w:rPr>
      </w:pPr>
      <w:r w:rsidRPr="00B02C0F">
        <w:rPr>
          <w:noProof/>
          <w:sz w:val="24"/>
          <w:szCs w:val="24"/>
        </w:rPr>
        <w:drawing>
          <wp:inline distT="0" distB="0" distL="0" distR="0" wp14:anchorId="1586D5D2" wp14:editId="70C59EBF">
            <wp:extent cx="5275385" cy="1490345"/>
            <wp:effectExtent l="0" t="0" r="190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8425"/>
                    <a:stretch/>
                  </pic:blipFill>
                  <pic:spPr bwMode="auto">
                    <a:xfrm>
                      <a:off x="0" y="0"/>
                      <a:ext cx="5275385" cy="1490345"/>
                    </a:xfrm>
                    <a:prstGeom prst="rect">
                      <a:avLst/>
                    </a:prstGeom>
                    <a:ln>
                      <a:noFill/>
                    </a:ln>
                    <a:extLst>
                      <a:ext uri="{53640926-AAD7-44D8-BBD7-CCE9431645EC}">
                        <a14:shadowObscured xmlns:a14="http://schemas.microsoft.com/office/drawing/2010/main"/>
                      </a:ext>
                    </a:extLst>
                  </pic:spPr>
                </pic:pic>
              </a:graphicData>
            </a:graphic>
          </wp:inline>
        </w:drawing>
      </w:r>
    </w:p>
    <w:p w14:paraId="5AEFC0E1" w14:textId="77777777" w:rsidR="00780F93" w:rsidRDefault="00780F93" w:rsidP="00780F93">
      <w:pPr>
        <w:spacing w:after="120" w:line="312" w:lineRule="auto"/>
        <w:jc w:val="both"/>
        <w:rPr>
          <w:sz w:val="24"/>
          <w:szCs w:val="24"/>
        </w:rPr>
      </w:pPr>
    </w:p>
    <w:p w14:paraId="3AC76DC0" w14:textId="77777777" w:rsidR="00780F93" w:rsidRDefault="00780F93" w:rsidP="00780F93">
      <w:pPr>
        <w:spacing w:after="120" w:line="312" w:lineRule="auto"/>
        <w:jc w:val="both"/>
        <w:rPr>
          <w:sz w:val="24"/>
          <w:szCs w:val="24"/>
        </w:rPr>
      </w:pPr>
      <w:r w:rsidRPr="00B02C0F">
        <w:rPr>
          <w:noProof/>
          <w:sz w:val="24"/>
          <w:szCs w:val="24"/>
        </w:rPr>
        <w:drawing>
          <wp:inline distT="0" distB="0" distL="0" distR="0" wp14:anchorId="6867EDD6" wp14:editId="761C0CAC">
            <wp:extent cx="4674870" cy="134186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20227" cy="1354880"/>
                    </a:xfrm>
                    <a:prstGeom prst="rect">
                      <a:avLst/>
                    </a:prstGeom>
                  </pic:spPr>
                </pic:pic>
              </a:graphicData>
            </a:graphic>
          </wp:inline>
        </w:drawing>
      </w:r>
      <w:r w:rsidRPr="00B02C0F">
        <w:rPr>
          <w:noProof/>
          <w:sz w:val="24"/>
          <w:szCs w:val="24"/>
        </w:rPr>
        <w:drawing>
          <wp:inline distT="0" distB="0" distL="0" distR="0" wp14:anchorId="2D1F0BD6" wp14:editId="1B15D335">
            <wp:extent cx="3873500" cy="1473793"/>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07589" cy="1486763"/>
                    </a:xfrm>
                    <a:prstGeom prst="rect">
                      <a:avLst/>
                    </a:prstGeom>
                  </pic:spPr>
                </pic:pic>
              </a:graphicData>
            </a:graphic>
          </wp:inline>
        </w:drawing>
      </w:r>
    </w:p>
    <w:p w14:paraId="0FCA3BD0" w14:textId="77777777" w:rsidR="00780F93" w:rsidRPr="00B14CA1" w:rsidRDefault="00780F93" w:rsidP="00780F93">
      <w:pPr>
        <w:spacing w:after="120" w:line="312" w:lineRule="auto"/>
        <w:jc w:val="center"/>
        <w:rPr>
          <w:szCs w:val="24"/>
        </w:rPr>
      </w:pPr>
      <w:r w:rsidRPr="00B14CA1">
        <w:rPr>
          <w:b/>
          <w:szCs w:val="24"/>
        </w:rPr>
        <w:t>Table Appendix-1</w:t>
      </w:r>
      <w:r w:rsidRPr="00B14CA1">
        <w:rPr>
          <w:szCs w:val="24"/>
        </w:rPr>
        <w:t>: Example for coding</w:t>
      </w:r>
    </w:p>
    <w:p w14:paraId="5C6564F7" w14:textId="77777777" w:rsidR="00780F93" w:rsidRPr="001176C5" w:rsidRDefault="00780F93" w:rsidP="00780F93">
      <w:pPr>
        <w:spacing w:after="120" w:line="312" w:lineRule="auto"/>
        <w:jc w:val="both"/>
        <w:rPr>
          <w:sz w:val="24"/>
          <w:szCs w:val="24"/>
        </w:rPr>
      </w:pPr>
    </w:p>
    <w:p w14:paraId="38DF3FBB" w14:textId="77777777" w:rsidR="00780F93" w:rsidRPr="00B14CA1" w:rsidRDefault="00780F93" w:rsidP="00780F93">
      <w:pPr>
        <w:spacing w:after="120" w:line="312" w:lineRule="auto"/>
        <w:jc w:val="both"/>
        <w:rPr>
          <w:szCs w:val="24"/>
          <w:u w:val="single"/>
        </w:rPr>
      </w:pPr>
      <w:r w:rsidRPr="00B14CA1">
        <w:rPr>
          <w:szCs w:val="24"/>
          <w:u w:val="single"/>
        </w:rPr>
        <w:t xml:space="preserve">Step 4: Statistically describing study outcomes (section 3.5), </w:t>
      </w:r>
    </w:p>
    <w:p w14:paraId="679CC744" w14:textId="77777777" w:rsidR="00780F93" w:rsidRPr="00B14CA1" w:rsidRDefault="00780F93" w:rsidP="00780F93">
      <w:pPr>
        <w:spacing w:after="120" w:line="312" w:lineRule="auto"/>
        <w:jc w:val="both"/>
        <w:rPr>
          <w:szCs w:val="24"/>
        </w:rPr>
      </w:pPr>
      <w:r w:rsidRPr="00B14CA1">
        <w:rPr>
          <w:szCs w:val="24"/>
        </w:rPr>
        <w:t xml:space="preserve">In this section we explain the procedure to prepare for step 5. Given that studies often apply different statistical methods and statistical tests, the resulting </w:t>
      </w:r>
      <w:r>
        <w:rPr>
          <w:szCs w:val="24"/>
        </w:rPr>
        <w:t xml:space="preserve">types of </w:t>
      </w:r>
      <w:r w:rsidRPr="00B14CA1">
        <w:rPr>
          <w:szCs w:val="24"/>
        </w:rPr>
        <w:t xml:space="preserve">effect sizes are also often varying. A first decision is to agree on a common </w:t>
      </w:r>
      <w:r>
        <w:rPr>
          <w:szCs w:val="24"/>
        </w:rPr>
        <w:t xml:space="preserve">type of </w:t>
      </w:r>
      <w:r w:rsidRPr="00B14CA1">
        <w:rPr>
          <w:szCs w:val="24"/>
        </w:rPr>
        <w:t xml:space="preserve">effect size (for an overview see for example </w:t>
      </w:r>
      <w:r w:rsidRPr="00B14CA1">
        <w:rPr>
          <w:noProof/>
          <w:szCs w:val="24"/>
        </w:rPr>
        <w:t>Ellis 2010</w:t>
      </w:r>
      <w:r w:rsidRPr="00B14CA1">
        <w:rPr>
          <w:szCs w:val="24"/>
        </w:rPr>
        <w:t xml:space="preserve">). Here we chose correlation coefficients because a majority of studies report that and correlation coefficient is a very common effect size in business research </w:t>
      </w:r>
      <w:r w:rsidRPr="00B14CA1">
        <w:rPr>
          <w:noProof/>
          <w:szCs w:val="24"/>
        </w:rPr>
        <w:t>(Kirca and Yaprak 2010)</w:t>
      </w:r>
      <w:r w:rsidRPr="00B14CA1">
        <w:rPr>
          <w:szCs w:val="24"/>
        </w:rPr>
        <w:t>.</w:t>
      </w:r>
    </w:p>
    <w:p w14:paraId="04956FD9" w14:textId="77777777" w:rsidR="00780F93" w:rsidRPr="00B14CA1" w:rsidRDefault="00780F93" w:rsidP="00780F93">
      <w:pPr>
        <w:spacing w:after="120" w:line="312" w:lineRule="auto"/>
        <w:jc w:val="both"/>
        <w:rPr>
          <w:szCs w:val="24"/>
        </w:rPr>
      </w:pPr>
      <w:r w:rsidRPr="00B14CA1">
        <w:rPr>
          <w:szCs w:val="24"/>
        </w:rPr>
        <w:lastRenderedPageBreak/>
        <w:t>For illustration purposes we list a selection of study effects and their preparation for further analysis in the following table. It lists the study ID (column 1), sample sizes (2) and type of outcome (3).</w:t>
      </w:r>
    </w:p>
    <w:p w14:paraId="73F079C6" w14:textId="77777777" w:rsidR="00780F93" w:rsidRDefault="00780F93" w:rsidP="00780F93">
      <w:pPr>
        <w:spacing w:after="120" w:line="312" w:lineRule="auto"/>
        <w:jc w:val="both"/>
        <w:rPr>
          <w:sz w:val="24"/>
          <w:szCs w:val="24"/>
        </w:rPr>
      </w:pPr>
      <w:r w:rsidRPr="00B039EF">
        <w:rPr>
          <w:noProof/>
        </w:rPr>
        <w:drawing>
          <wp:inline distT="0" distB="0" distL="0" distR="0" wp14:anchorId="2F545027" wp14:editId="5093AEF9">
            <wp:extent cx="5760720" cy="3456432"/>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456432"/>
                    </a:xfrm>
                    <a:prstGeom prst="rect">
                      <a:avLst/>
                    </a:prstGeom>
                    <a:noFill/>
                    <a:ln>
                      <a:noFill/>
                    </a:ln>
                  </pic:spPr>
                </pic:pic>
              </a:graphicData>
            </a:graphic>
          </wp:inline>
        </w:drawing>
      </w:r>
    </w:p>
    <w:p w14:paraId="6B7C85A2" w14:textId="77777777" w:rsidR="00780F93" w:rsidRPr="00B14CA1" w:rsidRDefault="00780F93" w:rsidP="00780F93">
      <w:pPr>
        <w:spacing w:after="120" w:line="312" w:lineRule="auto"/>
        <w:jc w:val="center"/>
        <w:rPr>
          <w:szCs w:val="24"/>
        </w:rPr>
      </w:pPr>
      <w:r w:rsidRPr="00B14CA1">
        <w:rPr>
          <w:b/>
          <w:szCs w:val="24"/>
        </w:rPr>
        <w:t>Table Appendix-2</w:t>
      </w:r>
      <w:r w:rsidRPr="00B14CA1">
        <w:rPr>
          <w:szCs w:val="24"/>
        </w:rPr>
        <w:t>: Example for effect sizes and transformation</w:t>
      </w:r>
    </w:p>
    <w:p w14:paraId="231F767D" w14:textId="77777777" w:rsidR="00780F93" w:rsidRPr="00B14CA1" w:rsidRDefault="00780F93" w:rsidP="00780F93">
      <w:pPr>
        <w:spacing w:after="120" w:line="312" w:lineRule="auto"/>
        <w:jc w:val="both"/>
        <w:rPr>
          <w:szCs w:val="24"/>
        </w:rPr>
      </w:pPr>
      <w:r w:rsidRPr="00B14CA1">
        <w:rPr>
          <w:szCs w:val="24"/>
        </w:rPr>
        <w:t xml:space="preserve">In this example we select studies with the outcome “cost of equity” to keep the example short. </w:t>
      </w:r>
      <w:r>
        <w:rPr>
          <w:szCs w:val="24"/>
        </w:rPr>
        <w:t xml:space="preserve">Voluntary </w:t>
      </w:r>
      <w:r w:rsidRPr="00B14CA1">
        <w:rPr>
          <w:szCs w:val="24"/>
        </w:rPr>
        <w:t>ICD should exert a negative effect on cost of equity. That is apparent in nearly all studies.</w:t>
      </w:r>
    </w:p>
    <w:p w14:paraId="09115CC6" w14:textId="77777777" w:rsidR="00780F93" w:rsidRPr="00B14CA1" w:rsidRDefault="00780F93" w:rsidP="00780F93">
      <w:pPr>
        <w:spacing w:after="120" w:line="312" w:lineRule="auto"/>
        <w:jc w:val="both"/>
        <w:rPr>
          <w:szCs w:val="24"/>
        </w:rPr>
      </w:pPr>
      <w:r w:rsidRPr="00B14CA1">
        <w:rPr>
          <w:szCs w:val="24"/>
        </w:rPr>
        <w:t xml:space="preserve">The original effect sizes reported in the studies were mostly correlation coefficients but, in some cases, only values for t-tests were reported (column 4). However, it is possible to convert a variety of effect sizes into other types </w:t>
      </w:r>
      <w:r w:rsidRPr="00B14CA1">
        <w:rPr>
          <w:noProof/>
          <w:szCs w:val="24"/>
        </w:rPr>
        <w:t>(Borenstein et al. 2009)</w:t>
      </w:r>
      <w:r w:rsidRPr="00B14CA1">
        <w:rPr>
          <w:szCs w:val="24"/>
        </w:rPr>
        <w:t>, and this holds also for the conversion of t-values into correlations, which is as follows:</w:t>
      </w:r>
    </w:p>
    <w:p w14:paraId="7A20D6B7" w14:textId="77777777" w:rsidR="00780F93" w:rsidRDefault="00780F93" w:rsidP="00780F93">
      <w:pPr>
        <w:spacing w:after="120" w:line="312" w:lineRule="auto"/>
        <w:jc w:val="both"/>
        <w:rPr>
          <w:sz w:val="24"/>
          <w:szCs w:val="24"/>
        </w:rPr>
      </w:pPr>
      <m:oMathPara>
        <m:oMath>
          <m:r>
            <w:rPr>
              <w:rFonts w:ascii="Cambria Math" w:hAnsi="Cambria Math"/>
              <w:sz w:val="24"/>
              <w:szCs w:val="24"/>
            </w:rPr>
            <m:t>r= ±</m:t>
          </m:r>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r>
                <w:rPr>
                  <w:rFonts w:ascii="Cambria Math" w:hAnsi="Cambria Math"/>
                  <w:sz w:val="24"/>
                  <w:szCs w:val="24"/>
                </w:rPr>
                <m:t>+df)</m:t>
              </m:r>
            </m:e>
          </m:rad>
        </m:oMath>
      </m:oMathPara>
    </w:p>
    <w:p w14:paraId="58DA32EC" w14:textId="77777777" w:rsidR="00780F93" w:rsidRPr="00B14CA1" w:rsidRDefault="00780F93" w:rsidP="00780F93">
      <w:pPr>
        <w:spacing w:after="120" w:line="312" w:lineRule="auto"/>
        <w:jc w:val="both"/>
        <w:rPr>
          <w:szCs w:val="24"/>
          <w:lang w:val="en-US"/>
        </w:rPr>
      </w:pPr>
      <w:r w:rsidRPr="00B14CA1">
        <w:rPr>
          <w:szCs w:val="24"/>
          <w:lang w:val="en-US"/>
        </w:rPr>
        <w:t xml:space="preserve">With df = degrees of freedom which is sample size reduced by the number of variables, here 2, because we estimate effects of </w:t>
      </w:r>
      <w:r>
        <w:rPr>
          <w:szCs w:val="24"/>
          <w:lang w:val="en-US"/>
        </w:rPr>
        <w:t xml:space="preserve">voluntary </w:t>
      </w:r>
      <w:r w:rsidRPr="00B14CA1">
        <w:rPr>
          <w:szCs w:val="24"/>
          <w:lang w:val="en-US"/>
        </w:rPr>
        <w:t>ICD on an outcome. The result is in column 5.</w:t>
      </w:r>
    </w:p>
    <w:p w14:paraId="45E07F18" w14:textId="77777777" w:rsidR="00780F93" w:rsidRPr="00B14CA1" w:rsidRDefault="00780F93" w:rsidP="00780F93">
      <w:pPr>
        <w:spacing w:after="120" w:line="312" w:lineRule="auto"/>
        <w:jc w:val="both"/>
        <w:rPr>
          <w:szCs w:val="24"/>
          <w:lang w:val="en-US"/>
        </w:rPr>
      </w:pPr>
      <w:r w:rsidRPr="00B14CA1">
        <w:rPr>
          <w:szCs w:val="24"/>
          <w:lang w:val="en-US"/>
        </w:rPr>
        <w:t xml:space="preserve">The next step (column 6) is the conversion of correlation coefficients into Fisher z values. This is necessary because a meta-analysis requires standard errors, but standard errors of correlations are dependent on the value of the correlation coefficient and not only on sample size </w:t>
      </w:r>
      <w:r w:rsidRPr="00B14CA1">
        <w:rPr>
          <w:noProof/>
          <w:szCs w:val="24"/>
          <w:lang w:val="en-US"/>
        </w:rPr>
        <w:t>(Borenstein et al. 2009)</w:t>
      </w:r>
      <w:r w:rsidRPr="00B14CA1">
        <w:rPr>
          <w:szCs w:val="24"/>
          <w:lang w:val="en-US"/>
        </w:rPr>
        <w:t>. The transformation is done by:</w:t>
      </w:r>
    </w:p>
    <w:p w14:paraId="5078A31E" w14:textId="77777777" w:rsidR="00780F93" w:rsidRDefault="00780F93" w:rsidP="00780F93">
      <w:pPr>
        <w:spacing w:after="120" w:line="312" w:lineRule="auto"/>
        <w:jc w:val="both"/>
        <w:rPr>
          <w:sz w:val="24"/>
          <w:szCs w:val="24"/>
          <w:lang w:val="en-US"/>
        </w:rPr>
      </w:pPr>
    </w:p>
    <w:p w14:paraId="3F16A937" w14:textId="77777777" w:rsidR="00780F93" w:rsidRPr="00B25186" w:rsidRDefault="00780F93" w:rsidP="00780F93">
      <w:pPr>
        <w:spacing w:after="120" w:line="312" w:lineRule="auto"/>
        <w:jc w:val="both"/>
        <w:rPr>
          <w:sz w:val="24"/>
          <w:szCs w:val="24"/>
          <w:lang w:val="en-US"/>
        </w:rPr>
      </w:pPr>
      <m:oMathPara>
        <m:oMath>
          <m:r>
            <w:rPr>
              <w:rFonts w:ascii="Cambria Math" w:hAnsi="Cambria Math"/>
              <w:sz w:val="24"/>
              <w:szCs w:val="24"/>
              <w:lang w:val="en-US"/>
            </w:rPr>
            <m:t>z=0.5*</m:t>
          </m:r>
          <m:r>
            <m:rPr>
              <m:sty m:val="p"/>
            </m:rPr>
            <w:rPr>
              <w:rFonts w:ascii="Cambria Math" w:hAnsi="Cambria Math"/>
              <w:sz w:val="24"/>
              <w:szCs w:val="24"/>
              <w:lang w:val="en-US"/>
            </w:rPr>
            <m:t>ln⁡</m:t>
          </m:r>
          <m:r>
            <w:rPr>
              <w:rFonts w:ascii="Cambria Math" w:hAnsi="Cambria Math"/>
              <w:sz w:val="24"/>
              <w:szCs w:val="24"/>
              <w:lang w:val="en-US"/>
            </w:rPr>
            <m:t>(</m:t>
          </m:r>
          <m:f>
            <m:fPr>
              <m:ctrlPr>
                <w:rPr>
                  <w:rFonts w:ascii="Cambria Math" w:hAnsi="Cambria Math"/>
                  <w:i/>
                  <w:sz w:val="24"/>
                  <w:szCs w:val="24"/>
                  <w:lang w:val="en-US"/>
                </w:rPr>
              </m:ctrlPr>
            </m:fPr>
            <m:num>
              <m:r>
                <w:rPr>
                  <w:rFonts w:ascii="Cambria Math" w:hAnsi="Cambria Math"/>
                  <w:sz w:val="24"/>
                  <w:szCs w:val="24"/>
                  <w:lang w:val="en-US"/>
                </w:rPr>
                <m:t>1+r</m:t>
              </m:r>
            </m:num>
            <m:den>
              <m:r>
                <w:rPr>
                  <w:rFonts w:ascii="Cambria Math" w:hAnsi="Cambria Math"/>
                  <w:sz w:val="24"/>
                  <w:szCs w:val="24"/>
                  <w:lang w:val="en-US"/>
                </w:rPr>
                <m:t>1-r</m:t>
              </m:r>
            </m:den>
          </m:f>
          <m:r>
            <w:rPr>
              <w:rFonts w:ascii="Cambria Math" w:hAnsi="Cambria Math"/>
              <w:sz w:val="24"/>
              <w:szCs w:val="24"/>
              <w:lang w:val="en-US"/>
            </w:rPr>
            <m:t>)</m:t>
          </m:r>
        </m:oMath>
      </m:oMathPara>
    </w:p>
    <w:p w14:paraId="63666B5C" w14:textId="77777777" w:rsidR="00780F93" w:rsidRPr="00B14CA1" w:rsidRDefault="00780F93" w:rsidP="00780F93">
      <w:pPr>
        <w:spacing w:after="120" w:line="312" w:lineRule="auto"/>
        <w:jc w:val="both"/>
        <w:rPr>
          <w:lang w:val="en-US"/>
        </w:rPr>
      </w:pPr>
      <w:r w:rsidRPr="00B14CA1">
        <w:rPr>
          <w:lang w:val="en-US"/>
        </w:rPr>
        <w:t>With r = correlation coefficient and z = Fisher z.</w:t>
      </w:r>
    </w:p>
    <w:p w14:paraId="6B319417" w14:textId="77777777" w:rsidR="00780F93" w:rsidRPr="00B14CA1" w:rsidRDefault="00780F93" w:rsidP="00780F93">
      <w:pPr>
        <w:spacing w:after="120" w:line="312" w:lineRule="auto"/>
        <w:jc w:val="both"/>
        <w:rPr>
          <w:lang w:val="en-US"/>
        </w:rPr>
      </w:pPr>
      <w:r w:rsidRPr="00B14CA1">
        <w:rPr>
          <w:lang w:val="en-US"/>
        </w:rPr>
        <w:t xml:space="preserve">The standard error </w:t>
      </w:r>
      <w:proofErr w:type="spellStart"/>
      <w:r w:rsidRPr="00B14CA1">
        <w:rPr>
          <w:lang w:val="en-US"/>
        </w:rPr>
        <w:t>SE</w:t>
      </w:r>
      <w:r w:rsidRPr="00B14CA1">
        <w:rPr>
          <w:vertAlign w:val="subscript"/>
          <w:lang w:val="en-US"/>
        </w:rPr>
        <w:t>z</w:t>
      </w:r>
      <w:proofErr w:type="spellEnd"/>
      <w:r w:rsidRPr="00B14CA1">
        <w:rPr>
          <w:lang w:val="en-US"/>
        </w:rPr>
        <w:t xml:space="preserve"> of a Fisher z value is to an excellent degree approximated with (column 7):</w:t>
      </w:r>
    </w:p>
    <w:p w14:paraId="680B373B" w14:textId="77777777" w:rsidR="00780F93" w:rsidRPr="00B14CA1" w:rsidRDefault="00780F93" w:rsidP="00780F93">
      <w:pPr>
        <w:spacing w:after="120" w:line="312" w:lineRule="auto"/>
        <w:jc w:val="both"/>
        <w:rPr>
          <w:lang w:val="en-US"/>
        </w:rPr>
      </w:pPr>
      <m:oMathPara>
        <m:oMath>
          <m:sSub>
            <m:sSubPr>
              <m:ctrlPr>
                <w:rPr>
                  <w:rFonts w:ascii="Cambria Math" w:hAnsi="Cambria Math"/>
                  <w:i/>
                  <w:lang w:val="en-US"/>
                </w:rPr>
              </m:ctrlPr>
            </m:sSubPr>
            <m:e>
              <m:r>
                <w:rPr>
                  <w:rFonts w:ascii="Cambria Math" w:hAnsi="Cambria Math"/>
                  <w:lang w:val="en-US"/>
                </w:rPr>
                <m:t>SE</m:t>
              </m:r>
            </m:e>
            <m:sub>
              <m:r>
                <w:rPr>
                  <w:rFonts w:ascii="Cambria Math" w:hAnsi="Cambria Math"/>
                  <w:lang w:val="en-US"/>
                </w:rPr>
                <m:t>z</m:t>
              </m:r>
            </m:sub>
          </m:sSub>
          <m:r>
            <w:rPr>
              <w:rFonts w:ascii="Cambria Math" w:hAnsi="Cambria Math"/>
              <w:lang w:val="en-US"/>
            </w:rPr>
            <m:t>=</m:t>
          </m:r>
          <m:rad>
            <m:radPr>
              <m:degHide m:val="1"/>
              <m:ctrlPr>
                <w:rPr>
                  <w:rFonts w:ascii="Cambria Math" w:hAnsi="Cambria Math"/>
                  <w:i/>
                  <w:lang w:val="en-US"/>
                </w:rPr>
              </m:ctrlPr>
            </m:radPr>
            <m:deg/>
            <m:e>
              <m:f>
                <m:fPr>
                  <m:ctrlPr>
                    <w:rPr>
                      <w:rFonts w:ascii="Cambria Math" w:hAnsi="Cambria Math"/>
                      <w:i/>
                      <w:lang w:val="en-US"/>
                    </w:rPr>
                  </m:ctrlPr>
                </m:fPr>
                <m:num>
                  <m:r>
                    <w:rPr>
                      <w:rFonts w:ascii="Cambria Math" w:hAnsi="Cambria Math"/>
                      <w:lang w:val="en-US"/>
                    </w:rPr>
                    <m:t>1</m:t>
                  </m:r>
                </m:num>
                <m:den>
                  <m:r>
                    <w:rPr>
                      <w:rFonts w:ascii="Cambria Math" w:hAnsi="Cambria Math"/>
                      <w:lang w:val="en-US"/>
                    </w:rPr>
                    <m:t>n-3</m:t>
                  </m:r>
                </m:den>
              </m:f>
            </m:e>
          </m:rad>
        </m:oMath>
      </m:oMathPara>
    </w:p>
    <w:p w14:paraId="1152BC76" w14:textId="77777777" w:rsidR="00780F93" w:rsidRPr="00B14CA1" w:rsidRDefault="00780F93" w:rsidP="00780F93">
      <w:pPr>
        <w:spacing w:after="120" w:line="312" w:lineRule="auto"/>
        <w:jc w:val="both"/>
        <w:rPr>
          <w:lang w:val="en-US"/>
        </w:rPr>
      </w:pPr>
      <w:r w:rsidRPr="00B14CA1">
        <w:rPr>
          <w:lang w:val="en-US"/>
        </w:rPr>
        <w:t>For reporting purposes, the Fisher z-values are converted back to correlations via:</w:t>
      </w:r>
    </w:p>
    <w:p w14:paraId="2E14AF2B" w14:textId="77777777" w:rsidR="00780F93" w:rsidRPr="00B14CA1" w:rsidRDefault="00780F93" w:rsidP="00780F93">
      <m:oMathPara>
        <m:oMath>
          <m:r>
            <w:rPr>
              <w:rFonts w:ascii="Cambria Math" w:hAnsi="Cambria Math"/>
            </w:rPr>
            <m:t xml:space="preserve">r= </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2z</m:t>
                  </m:r>
                </m:sup>
              </m:sSup>
              <m:r>
                <w:rPr>
                  <w:rFonts w:ascii="Cambria Math" w:hAnsi="Cambria Math"/>
                </w:rPr>
                <m:t>-1</m:t>
              </m:r>
            </m:num>
            <m:den>
              <m:sSup>
                <m:sSupPr>
                  <m:ctrlPr>
                    <w:rPr>
                      <w:rFonts w:ascii="Cambria Math" w:hAnsi="Cambria Math"/>
                      <w:i/>
                    </w:rPr>
                  </m:ctrlPr>
                </m:sSupPr>
                <m:e>
                  <m:r>
                    <w:rPr>
                      <w:rFonts w:ascii="Cambria Math" w:hAnsi="Cambria Math"/>
                    </w:rPr>
                    <m:t>e</m:t>
                  </m:r>
                </m:e>
                <m:sup>
                  <m:r>
                    <w:rPr>
                      <w:rFonts w:ascii="Cambria Math" w:hAnsi="Cambria Math"/>
                    </w:rPr>
                    <m:t>2z</m:t>
                  </m:r>
                </m:sup>
              </m:sSup>
              <m:r>
                <w:rPr>
                  <w:rFonts w:ascii="Cambria Math" w:hAnsi="Cambria Math"/>
                </w:rPr>
                <m:t>+1</m:t>
              </m:r>
            </m:den>
          </m:f>
        </m:oMath>
      </m:oMathPara>
    </w:p>
    <w:p w14:paraId="6A90D637" w14:textId="77777777" w:rsidR="00780F93" w:rsidRPr="00B14CA1" w:rsidRDefault="00780F93" w:rsidP="00780F93">
      <w:pPr>
        <w:spacing w:after="120" w:line="312" w:lineRule="auto"/>
        <w:jc w:val="both"/>
        <w:rPr>
          <w:lang w:val="en-US"/>
        </w:rPr>
      </w:pPr>
    </w:p>
    <w:p w14:paraId="5176F4C4" w14:textId="77777777" w:rsidR="00780F93" w:rsidRPr="00B14CA1" w:rsidRDefault="00780F93" w:rsidP="00780F93">
      <w:pPr>
        <w:spacing w:after="120" w:line="312" w:lineRule="auto"/>
        <w:jc w:val="both"/>
        <w:rPr>
          <w:u w:val="single"/>
        </w:rPr>
      </w:pPr>
      <w:r w:rsidRPr="00B14CA1">
        <w:rPr>
          <w:u w:val="single"/>
        </w:rPr>
        <w:t xml:space="preserve">Step 5: Statistically combining effect sizes (section 3.5): </w:t>
      </w:r>
    </w:p>
    <w:p w14:paraId="5B98D58C" w14:textId="77777777" w:rsidR="00780F93" w:rsidRPr="00B14CA1" w:rsidRDefault="00780F93" w:rsidP="00780F93">
      <w:pPr>
        <w:jc w:val="both"/>
      </w:pPr>
      <w:r w:rsidRPr="00B14CA1">
        <w:t xml:space="preserve">Aggregating studies would be easy if they were all basically replications of each other </w:t>
      </w:r>
      <w:r w:rsidRPr="00B14CA1">
        <w:rPr>
          <w:noProof/>
        </w:rPr>
        <w:t>(Shadish and Haddock 2009)</w:t>
      </w:r>
      <w:r w:rsidRPr="00B14CA1">
        <w:t xml:space="preserve">. The reality is that differences exist in methodology, sample selection and size, topics and research questions and so on. Three main aspects in coping with study differences are a) variance within studies, b) assumption about distribution of effect sizes, and c) study artefacts. </w:t>
      </w:r>
    </w:p>
    <w:p w14:paraId="11454D9B" w14:textId="77777777" w:rsidR="00780F93" w:rsidRPr="00B14CA1" w:rsidRDefault="00780F93" w:rsidP="00780F93">
      <w:pPr>
        <w:jc w:val="both"/>
      </w:pPr>
      <w:r w:rsidRPr="00B14CA1">
        <w:t xml:space="preserve">Ad a) Variance of estimates within a certain study is linked to the sample size of this study - in general, the larger the sample size, the lower the variance or standard error of an estimate. Hence, meta-analytic procedures give study a weight depending on the standard error of the estimate, the larger the study the more weight is assigned. </w:t>
      </w:r>
    </w:p>
    <w:p w14:paraId="2ABEDC72" w14:textId="77777777" w:rsidR="00780F93" w:rsidRPr="00B14CA1" w:rsidRDefault="00780F93" w:rsidP="00780F93">
      <w:pPr>
        <w:jc w:val="both"/>
      </w:pPr>
      <w:r w:rsidRPr="00B14CA1">
        <w:t xml:space="preserve">Ad b) Given that different studies often measure their central variables differently, estimates of studies differ not only because of variation due to sampling differences. A meta-analytic model that assumes that all included studies measure the estimate in the same way – or put in another way, the true effect is the same in all studies - is called a </w:t>
      </w:r>
      <w:r w:rsidRPr="00B14CA1">
        <w:rPr>
          <w:b/>
        </w:rPr>
        <w:t>fixed-effect model</w:t>
      </w:r>
      <w:r w:rsidRPr="00B14CA1">
        <w:t xml:space="preserve">. If this condition is not met, the assumption is that study estimates are samples of a distribution of true effect, or in other words, every study estimate is an estimate of a study-specific true effect. Such models are called </w:t>
      </w:r>
      <w:r w:rsidRPr="00B14CA1">
        <w:rPr>
          <w:b/>
        </w:rPr>
        <w:t>random-effects models</w:t>
      </w:r>
      <w:r w:rsidRPr="00B14CA1">
        <w:t xml:space="preserve">. This will lead to different weights of smaller and larger studies as in fixed-effects models </w:t>
      </w:r>
      <w:r w:rsidRPr="00B14CA1">
        <w:rPr>
          <w:noProof/>
        </w:rPr>
        <w:t>(Borenstein et al. 2009)</w:t>
      </w:r>
      <w:r w:rsidRPr="00B14CA1">
        <w:t>. For both models, examples based on the data of this paper illustrate the application of both types of models. Given that we plausibly do not assume that all studies considered in our meta-analysis used the same methods and measurements, we argue for using a random-effects model.</w:t>
      </w:r>
    </w:p>
    <w:p w14:paraId="771BD089" w14:textId="77777777" w:rsidR="00780F93" w:rsidRPr="00B14CA1" w:rsidRDefault="00780F93" w:rsidP="00780F93">
      <w:pPr>
        <w:jc w:val="both"/>
      </w:pPr>
      <w:r w:rsidRPr="00B14CA1">
        <w:t xml:space="preserve">Ad c) Besides sampling error which depends on sample size, different studies may have other imperfections due to study design that affect estimates. Such imperfections are called </w:t>
      </w:r>
      <w:r w:rsidRPr="00B14CA1">
        <w:rPr>
          <w:b/>
        </w:rPr>
        <w:t>study artefacts</w:t>
      </w:r>
      <w:r w:rsidRPr="00B14CA1">
        <w:t xml:space="preserve">. These include: different reliabilities in measuring variables, dichotomization and range restriction or reduced validity of variables (see for a detailed discussion </w:t>
      </w:r>
      <w:r w:rsidRPr="00B14CA1">
        <w:rPr>
          <w:noProof/>
        </w:rPr>
        <w:t>Schmidt and Hunter 2014</w:t>
      </w:r>
      <w:r w:rsidRPr="00B14CA1">
        <w:t xml:space="preserve">). We were not able to correct such study artefacts because the studies at hand did not provide sufficient information. </w:t>
      </w:r>
    </w:p>
    <w:p w14:paraId="011C10C8" w14:textId="77777777" w:rsidR="00780F93" w:rsidRDefault="00780F93" w:rsidP="00780F93">
      <w:pPr>
        <w:jc w:val="both"/>
      </w:pPr>
      <w:r w:rsidRPr="00B14CA1">
        <w:t>The following example based on the subset of study effects listed above illustrate the two basic meta-analysis models, fixed-effect and random-effect.</w:t>
      </w:r>
      <w:r w:rsidRPr="00B14CA1">
        <w:rPr>
          <w:rStyle w:val="Funotenzeichen"/>
        </w:rPr>
        <w:footnoteReference w:id="1"/>
      </w:r>
      <w:r w:rsidRPr="00B14CA1">
        <w:t xml:space="preserve"> The fixed-effect model indicates the hypothesized negative relationship between </w:t>
      </w:r>
      <w:r>
        <w:t xml:space="preserve">voluntary </w:t>
      </w:r>
      <w:r w:rsidRPr="00B14CA1">
        <w:t xml:space="preserve">ICD and cost of equity, </w:t>
      </w:r>
      <w:proofErr w:type="gramStart"/>
      <w:r w:rsidRPr="00B14CA1">
        <w:t>i.e.</w:t>
      </w:r>
      <w:proofErr w:type="gramEnd"/>
      <w:r w:rsidRPr="00B14CA1">
        <w:t xml:space="preserve"> </w:t>
      </w:r>
      <w:r>
        <w:t xml:space="preserve">voluntary </w:t>
      </w:r>
      <w:r w:rsidRPr="00B14CA1">
        <w:t>ICD reduces cost of equity. The results of the random-effects model are basically the same but the mean effect is smaller and the 95% confidence interval wider.</w:t>
      </w:r>
    </w:p>
    <w:p w14:paraId="2CBC899F" w14:textId="77777777" w:rsidR="00780F93" w:rsidRPr="00B14CA1" w:rsidRDefault="00780F93" w:rsidP="00780F93">
      <w:pPr>
        <w:jc w:val="both"/>
      </w:pPr>
    </w:p>
    <w:p w14:paraId="57F85EBF" w14:textId="77777777" w:rsidR="00780F93" w:rsidRDefault="00780F93" w:rsidP="00780F93">
      <w:pPr>
        <w:jc w:val="center"/>
      </w:pPr>
      <w:r w:rsidRPr="00F86A66">
        <w:rPr>
          <w:noProof/>
        </w:rPr>
        <w:drawing>
          <wp:inline distT="0" distB="0" distL="0" distR="0" wp14:anchorId="4CAC793F" wp14:editId="0FB44A38">
            <wp:extent cx="5219700" cy="4609901"/>
            <wp:effectExtent l="0" t="0" r="0" b="63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4077" cy="4613766"/>
                    </a:xfrm>
                    <a:prstGeom prst="rect">
                      <a:avLst/>
                    </a:prstGeom>
                    <a:noFill/>
                    <a:ln>
                      <a:noFill/>
                    </a:ln>
                  </pic:spPr>
                </pic:pic>
              </a:graphicData>
            </a:graphic>
          </wp:inline>
        </w:drawing>
      </w:r>
    </w:p>
    <w:p w14:paraId="6E579D63" w14:textId="77777777" w:rsidR="00780F93" w:rsidRPr="00B14CA1" w:rsidRDefault="00780F93" w:rsidP="00780F93">
      <w:pPr>
        <w:jc w:val="center"/>
      </w:pPr>
      <w:r w:rsidRPr="00B14CA1">
        <w:rPr>
          <w:b/>
        </w:rPr>
        <w:t>Table Appendix-3</w:t>
      </w:r>
      <w:r w:rsidRPr="00B14CA1">
        <w:t>: Fixed-effect model for subset (only for illustrative purpose)</w:t>
      </w:r>
    </w:p>
    <w:p w14:paraId="323DD8F3" w14:textId="77777777" w:rsidR="00780F93" w:rsidRDefault="00780F93" w:rsidP="00780F93"/>
    <w:p w14:paraId="09B8B108" w14:textId="77777777" w:rsidR="00780F93" w:rsidRDefault="00780F93" w:rsidP="00780F93">
      <w:pPr>
        <w:jc w:val="center"/>
      </w:pPr>
      <w:r w:rsidRPr="00BC0DCA">
        <w:rPr>
          <w:noProof/>
        </w:rPr>
        <w:lastRenderedPageBreak/>
        <w:drawing>
          <wp:inline distT="0" distB="0" distL="0" distR="0" wp14:anchorId="12900224" wp14:editId="39AED09B">
            <wp:extent cx="4968873" cy="5021580"/>
            <wp:effectExtent l="0" t="0" r="3810" b="762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0062" cy="5022782"/>
                    </a:xfrm>
                    <a:prstGeom prst="rect">
                      <a:avLst/>
                    </a:prstGeom>
                    <a:noFill/>
                    <a:ln>
                      <a:noFill/>
                    </a:ln>
                  </pic:spPr>
                </pic:pic>
              </a:graphicData>
            </a:graphic>
          </wp:inline>
        </w:drawing>
      </w:r>
    </w:p>
    <w:p w14:paraId="0D6C2FB7" w14:textId="77777777" w:rsidR="00780F93" w:rsidRPr="00B14CA1" w:rsidRDefault="00780F93" w:rsidP="00780F93">
      <w:pPr>
        <w:jc w:val="center"/>
      </w:pPr>
      <w:r w:rsidRPr="00B14CA1">
        <w:rPr>
          <w:b/>
        </w:rPr>
        <w:t>Table Appendix-4</w:t>
      </w:r>
      <w:r w:rsidRPr="00B14CA1">
        <w:t>: Random-effect model for subset (only for illustrative purpose)</w:t>
      </w:r>
    </w:p>
    <w:p w14:paraId="0A6F2E9D" w14:textId="77777777" w:rsidR="00780F93" w:rsidRPr="00B14CA1" w:rsidRDefault="00780F93" w:rsidP="00780F93">
      <w:pPr>
        <w:jc w:val="both"/>
      </w:pPr>
      <w:r w:rsidRPr="00B14CA1">
        <w:t xml:space="preserve">The variation of effect sizes stems basically from variances within studies as well as variances between studies. The latter, also known as </w:t>
      </w:r>
      <w:r w:rsidRPr="00B14CA1">
        <w:rPr>
          <w:b/>
        </w:rPr>
        <w:t>heterogeneity</w:t>
      </w:r>
      <w:r w:rsidRPr="00B14CA1">
        <w:t>, indicates significant variation of the true effect sizes between studies, such variation does not stem from different sample sizes and is a sign of real differences between studies which should be analysed further.</w:t>
      </w:r>
    </w:p>
    <w:p w14:paraId="665BFA2D" w14:textId="77777777" w:rsidR="00780F93" w:rsidRPr="00B14CA1" w:rsidRDefault="00780F93" w:rsidP="00780F93">
      <w:pPr>
        <w:jc w:val="both"/>
      </w:pPr>
      <w:r w:rsidRPr="00B14CA1">
        <w:t xml:space="preserve">Several metrics are available for assessing heterogeneity in meta-analyses. Absolute variance (standard deviation) of true effect sizes </w:t>
      </w:r>
      <w:proofErr w:type="gramStart"/>
      <w:r w:rsidRPr="00B14CA1">
        <w:t>are</w:t>
      </w:r>
      <w:proofErr w:type="gramEnd"/>
      <w:r w:rsidRPr="00B14CA1">
        <w:t xml:space="preserve"> measured with Τ² or tau² (tau) which is reported in the metric of the effect sizes at hand. For the illustrated subset tau² is 0.060 and tau is 0.245 (unit: correlation coefficients). Since total variation includes also sampling variances, the relation of variance of true effects to total variance helps in understanding further the relative amount of variation due to study differences. This metric, called I² is defined as </w:t>
      </w:r>
      <w:r w:rsidRPr="00B14CA1">
        <w:rPr>
          <w:noProof/>
        </w:rPr>
        <w:t>(Borenstein et al. 2009)</w:t>
      </w:r>
      <w:r w:rsidRPr="00B14CA1">
        <w:t>:</w:t>
      </w:r>
    </w:p>
    <w:p w14:paraId="71997293" w14:textId="77777777" w:rsidR="00780F93" w:rsidRPr="00B14CA1" w:rsidRDefault="00780F93" w:rsidP="00780F93">
      <w:pPr>
        <w:jc w:val="both"/>
      </w:pPr>
      <m:oMathPara>
        <m:oMath>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m:t>
          </m:r>
          <m:sSup>
            <m:sSupPr>
              <m:ctrlPr>
                <w:rPr>
                  <w:rFonts w:ascii="Cambria Math" w:hAnsi="Cambria Math"/>
                  <w:i/>
                </w:rPr>
              </m:ctrlPr>
            </m:sSupPr>
            <m:e>
              <m:r>
                <m:rPr>
                  <m:sty m:val="p"/>
                </m:rPr>
                <w:rPr>
                  <w:rFonts w:ascii="Cambria Math" w:hAnsi="Cambria Math"/>
                </w:rPr>
                <m:t>Τ</m:t>
              </m:r>
            </m:e>
            <m:sup>
              <m:r>
                <w:rPr>
                  <w:rFonts w:ascii="Cambria Math" w:hAnsi="Cambria Math"/>
                </w:rPr>
                <m:t>2</m:t>
              </m:r>
            </m:sup>
          </m:sSup>
          <m:r>
            <w:rPr>
              <w:rFonts w:ascii="Cambria Math" w:hAnsi="Cambria Math"/>
            </w:rPr>
            <m:t>/(</m:t>
          </m:r>
          <m:sSup>
            <m:sSupPr>
              <m:ctrlPr>
                <w:rPr>
                  <w:rFonts w:ascii="Cambria Math" w:hAnsi="Cambria Math"/>
                  <w:i/>
                </w:rPr>
              </m:ctrlPr>
            </m:sSupPr>
            <m:e>
              <m:r>
                <m:rPr>
                  <m:sty m:val="p"/>
                </m:rPr>
                <w:rPr>
                  <w:rFonts w:ascii="Cambria Math" w:hAnsi="Cambria Math"/>
                </w:rPr>
                <m:t>Τ</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oMath>
      </m:oMathPara>
    </w:p>
    <w:p w14:paraId="26CD76A0" w14:textId="77777777" w:rsidR="00780F93" w:rsidRPr="00B14CA1" w:rsidRDefault="00780F93" w:rsidP="00780F93">
      <w:pPr>
        <w:jc w:val="both"/>
        <w:rPr>
          <w:szCs w:val="24"/>
        </w:rPr>
      </w:pPr>
      <w:r w:rsidRPr="00B14CA1">
        <w:rPr>
          <w:szCs w:val="24"/>
        </w:rPr>
        <w:t xml:space="preserve">With </w:t>
      </w:r>
      <m:oMath>
        <m:sSup>
          <m:sSupPr>
            <m:ctrlPr>
              <w:rPr>
                <w:rFonts w:ascii="Cambria Math" w:hAnsi="Cambria Math"/>
                <w:i/>
                <w:szCs w:val="24"/>
              </w:rPr>
            </m:ctrlPr>
          </m:sSupPr>
          <m:e>
            <m:r>
              <w:rPr>
                <w:rFonts w:ascii="Cambria Math" w:hAnsi="Cambria Math"/>
                <w:szCs w:val="24"/>
              </w:rPr>
              <m:t>σ</m:t>
            </m:r>
          </m:e>
          <m:sup>
            <m:r>
              <w:rPr>
                <w:rFonts w:ascii="Cambria Math" w:hAnsi="Cambria Math"/>
                <w:szCs w:val="24"/>
              </w:rPr>
              <m:t>2</m:t>
            </m:r>
          </m:sup>
        </m:sSup>
      </m:oMath>
      <w:r w:rsidRPr="00B14CA1">
        <w:rPr>
          <w:rFonts w:eastAsiaTheme="minorEastAsia"/>
          <w:szCs w:val="24"/>
        </w:rPr>
        <w:t xml:space="preserve"> as variance of studies. I² for the f</w:t>
      </w:r>
      <w:proofErr w:type="spellStart"/>
      <w:r w:rsidRPr="00B14CA1">
        <w:rPr>
          <w:rFonts w:eastAsiaTheme="minorEastAsia"/>
          <w:szCs w:val="24"/>
        </w:rPr>
        <w:t>ixed</w:t>
      </w:r>
      <w:proofErr w:type="spellEnd"/>
      <w:r w:rsidRPr="00B14CA1">
        <w:rPr>
          <w:rFonts w:eastAsiaTheme="minorEastAsia"/>
          <w:szCs w:val="24"/>
        </w:rPr>
        <w:t xml:space="preserve">-effect model is 56%, for the random-effects model 65%. The difference stems from the different assumptions about variation concerning the studies. I² tells the reader that for the random-effects model 65% of the variance of tau² = 0.06 is due to variation in true effects between studies while the metric tau depicts the range of this variation for the effect size. In this case the distribution of effects is wide given a standard deviation of 0.245 compared to the </w:t>
      </w:r>
      <w:r w:rsidRPr="00B14CA1">
        <w:rPr>
          <w:rFonts w:eastAsiaTheme="minorEastAsia"/>
          <w:szCs w:val="24"/>
        </w:rPr>
        <w:lastRenderedPageBreak/>
        <w:t xml:space="preserve">mean effect of -0.186. To sum up, both metrics are helpful in order to understand study differences </w:t>
      </w:r>
      <w:r w:rsidRPr="00B14CA1">
        <w:rPr>
          <w:rFonts w:eastAsiaTheme="minorEastAsia"/>
          <w:noProof/>
          <w:szCs w:val="24"/>
        </w:rPr>
        <w:t>(Borenstein et al. 2017)</w:t>
      </w:r>
      <w:r w:rsidRPr="00B14CA1">
        <w:rPr>
          <w:rFonts w:eastAsiaTheme="minorEastAsia"/>
          <w:szCs w:val="24"/>
        </w:rPr>
        <w:t>.</w:t>
      </w:r>
    </w:p>
    <w:p w14:paraId="334CB077" w14:textId="77777777" w:rsidR="00780F93" w:rsidRPr="00B14CA1" w:rsidRDefault="00780F93" w:rsidP="00780F93">
      <w:pPr>
        <w:jc w:val="both"/>
        <w:rPr>
          <w:szCs w:val="24"/>
          <w:u w:val="single"/>
          <w:lang w:val="en-US"/>
        </w:rPr>
      </w:pPr>
      <w:r w:rsidRPr="00B14CA1">
        <w:rPr>
          <w:szCs w:val="24"/>
          <w:u w:val="single"/>
          <w:lang w:val="en-US"/>
        </w:rPr>
        <w:t>Alternative statistical inferences: NHST and Bayes</w:t>
      </w:r>
    </w:p>
    <w:p w14:paraId="201AA4FE" w14:textId="77777777" w:rsidR="00780F93" w:rsidRPr="00B14CA1" w:rsidRDefault="00780F93" w:rsidP="00780F93">
      <w:pPr>
        <w:jc w:val="both"/>
        <w:rPr>
          <w:szCs w:val="24"/>
        </w:rPr>
      </w:pPr>
      <w:r w:rsidRPr="00B14CA1">
        <w:rPr>
          <w:szCs w:val="24"/>
          <w:lang w:val="en-US"/>
        </w:rPr>
        <w:t xml:space="preserve">The estimation of aggregated effects can be done in two ways. Often, statistical inference of single studies, as well as meta-analyses, relied on the framework of Null Hypothesis Significance Tests (NHST). This approach came under severe critic (Fanelli and Ioannidis 2013; Ioannidis 2005; Kline 2013). Not least the American Statistical Association recommends going beyond NHST (Wasserstein et al. 2019; Wasserstein and Lazar 2016). A proposed way beyond is to apply Bayes’ theorem which estimates probabilities of hypotheses to be true given the data at hand, </w:t>
      </w:r>
      <w:proofErr w:type="gramStart"/>
      <w:r w:rsidRPr="00B14CA1">
        <w:rPr>
          <w:szCs w:val="24"/>
          <w:lang w:val="en-US"/>
        </w:rPr>
        <w:t>i.e.</w:t>
      </w:r>
      <w:proofErr w:type="gramEnd"/>
      <w:r w:rsidRPr="00B14CA1">
        <w:rPr>
          <w:szCs w:val="24"/>
          <w:lang w:val="en-US"/>
        </w:rPr>
        <w:t xml:space="preserve"> p(H|D), instead of probabilities of getting the data if the null hypothesis is correct, which is p(D|H). The latter is not what researchers want to know (</w:t>
      </w:r>
      <w:proofErr w:type="spellStart"/>
      <w:r w:rsidRPr="00B14CA1">
        <w:rPr>
          <w:szCs w:val="24"/>
          <w:lang w:val="en-US"/>
        </w:rPr>
        <w:t>Kruschke</w:t>
      </w:r>
      <w:proofErr w:type="spellEnd"/>
      <w:r w:rsidRPr="00B14CA1">
        <w:rPr>
          <w:szCs w:val="24"/>
          <w:lang w:val="en-US"/>
        </w:rPr>
        <w:t xml:space="preserve"> and Liddell 2018). Also, recent developments of software for applied researchers allow performing Bayesian meta-analyses without prohibitive time and effort (</w:t>
      </w:r>
      <w:proofErr w:type="spellStart"/>
      <w:r w:rsidRPr="00B14CA1">
        <w:rPr>
          <w:szCs w:val="24"/>
          <w:lang w:val="en-US"/>
        </w:rPr>
        <w:t>Roever</w:t>
      </w:r>
      <w:proofErr w:type="spellEnd"/>
      <w:r w:rsidRPr="00B14CA1">
        <w:rPr>
          <w:szCs w:val="24"/>
          <w:lang w:val="en-US"/>
        </w:rPr>
        <w:t xml:space="preserve"> 2020)</w:t>
      </w:r>
      <w:r w:rsidRPr="00B14CA1">
        <w:rPr>
          <w:szCs w:val="24"/>
        </w:rPr>
        <w:t>.</w:t>
      </w:r>
    </w:p>
    <w:p w14:paraId="39385CFF" w14:textId="77777777" w:rsidR="00780F93" w:rsidRPr="00B14CA1" w:rsidRDefault="00780F93" w:rsidP="00780F93">
      <w:pPr>
        <w:jc w:val="both"/>
        <w:rPr>
          <w:szCs w:val="24"/>
          <w:lang w:val="en-US"/>
        </w:rPr>
      </w:pPr>
      <w:r w:rsidRPr="00B14CA1">
        <w:rPr>
          <w:szCs w:val="24"/>
        </w:rPr>
        <w:t xml:space="preserve">The Bayesian approach estimates a posterior probability distribution </w:t>
      </w:r>
      <w:r w:rsidRPr="00B14CA1">
        <w:rPr>
          <w:szCs w:val="24"/>
          <w:lang w:val="en-US"/>
        </w:rPr>
        <w:t xml:space="preserve">p(H|D) </w:t>
      </w:r>
      <w:r w:rsidRPr="00B14CA1">
        <w:rPr>
          <w:szCs w:val="24"/>
        </w:rPr>
        <w:t xml:space="preserve">from the likelihood </w:t>
      </w:r>
      <w:r w:rsidRPr="00B14CA1">
        <w:rPr>
          <w:szCs w:val="24"/>
          <w:lang w:val="en-US"/>
        </w:rPr>
        <w:t xml:space="preserve">p(D|H), a prior p(H) and the marginal likelihood p(D) </w:t>
      </w:r>
      <w:r w:rsidRPr="00B14CA1">
        <w:rPr>
          <w:noProof/>
          <w:szCs w:val="24"/>
          <w:lang w:val="en-US"/>
        </w:rPr>
        <w:t>(Kruschke 2015)</w:t>
      </w:r>
      <w:r w:rsidRPr="00B14CA1">
        <w:rPr>
          <w:szCs w:val="24"/>
          <w:lang w:val="en-US"/>
        </w:rPr>
        <w:t xml:space="preserve">. The estimation requires numerical simulations, typically some variant of Monte-Carlo simulation </w:t>
      </w:r>
      <w:r w:rsidRPr="00B14CA1">
        <w:rPr>
          <w:noProof/>
          <w:szCs w:val="24"/>
          <w:lang w:val="en-US"/>
        </w:rPr>
        <w:t>(see for a detailed discussion Roever 2020)</w:t>
      </w:r>
      <w:r w:rsidRPr="00B14CA1">
        <w:rPr>
          <w:szCs w:val="24"/>
          <w:lang w:val="en-US"/>
        </w:rPr>
        <w:t xml:space="preserve">. </w:t>
      </w:r>
    </w:p>
    <w:p w14:paraId="4254695F" w14:textId="77777777" w:rsidR="00780F93" w:rsidRPr="00B14CA1" w:rsidRDefault="00780F93" w:rsidP="00780F93">
      <w:pPr>
        <w:spacing w:after="120" w:line="312" w:lineRule="auto"/>
        <w:jc w:val="both"/>
        <w:rPr>
          <w:szCs w:val="24"/>
          <w:lang w:val="en-US"/>
        </w:rPr>
      </w:pPr>
      <w:bookmarkStart w:id="2" w:name="_Hlk83286078"/>
      <w:r w:rsidRPr="00B14CA1">
        <w:rPr>
          <w:szCs w:val="24"/>
          <w:lang w:val="en-US"/>
        </w:rPr>
        <w:t xml:space="preserve">For several reasons we do not apply a Bayesian approach. First, a Bayesian estimation requires prior probabilities or probability distributions to start with. Without any information on the subject, one could choose a so-called “uninformative” prior. Given that there is no previous knowledge on mean effects of </w:t>
      </w:r>
      <w:r>
        <w:rPr>
          <w:szCs w:val="24"/>
          <w:lang w:val="en-US"/>
        </w:rPr>
        <w:t xml:space="preserve">voluntary </w:t>
      </w:r>
      <w:r w:rsidRPr="00B14CA1">
        <w:rPr>
          <w:szCs w:val="24"/>
          <w:lang w:val="en-US"/>
        </w:rPr>
        <w:t>ICD on financial outcome, the choice of an informative prior seems subjective and open to discussion. Second, without an informative prior and with sufficient sample sizes</w:t>
      </w:r>
      <w:r w:rsidRPr="00B14CA1">
        <w:rPr>
          <w:rStyle w:val="Funotenzeichen"/>
          <w:szCs w:val="24"/>
          <w:lang w:val="en-US"/>
        </w:rPr>
        <w:footnoteReference w:id="2"/>
      </w:r>
      <w:r w:rsidRPr="00B14CA1">
        <w:rPr>
          <w:szCs w:val="24"/>
          <w:lang w:val="en-US"/>
        </w:rPr>
        <w:t xml:space="preserve"> as in our case, the differences between a NHST and Bayes estimation are typically small (Kelter 2020). Third, Bayesian estimation procedures ar</w:t>
      </w:r>
      <w:r>
        <w:rPr>
          <w:szCs w:val="24"/>
          <w:lang w:val="en-US"/>
        </w:rPr>
        <w:t>e</w:t>
      </w:r>
      <w:r w:rsidRPr="00B14CA1">
        <w:rPr>
          <w:szCs w:val="24"/>
          <w:lang w:val="en-US"/>
        </w:rPr>
        <w:t xml:space="preserve"> not for all analyses </w:t>
      </w:r>
      <w:r>
        <w:rPr>
          <w:szCs w:val="24"/>
          <w:lang w:val="en-US"/>
        </w:rPr>
        <w:t xml:space="preserve">readily </w:t>
      </w:r>
      <w:r w:rsidRPr="00B14CA1">
        <w:rPr>
          <w:szCs w:val="24"/>
          <w:lang w:val="en-US"/>
        </w:rPr>
        <w:t xml:space="preserve">available. There are no applied </w:t>
      </w:r>
      <w:r>
        <w:rPr>
          <w:szCs w:val="24"/>
          <w:lang w:val="en-US"/>
        </w:rPr>
        <w:t xml:space="preserve">Bayesian </w:t>
      </w:r>
      <w:r w:rsidRPr="00B14CA1">
        <w:rPr>
          <w:szCs w:val="24"/>
          <w:lang w:val="en-US"/>
        </w:rPr>
        <w:t>methods for meta-regression</w:t>
      </w:r>
      <w:r>
        <w:rPr>
          <w:szCs w:val="24"/>
          <w:lang w:val="en-US"/>
        </w:rPr>
        <w:t>, for example</w:t>
      </w:r>
      <w:r w:rsidRPr="00B14CA1">
        <w:rPr>
          <w:szCs w:val="24"/>
          <w:lang w:val="en-US"/>
        </w:rPr>
        <w:t>. Without that we would need to combine Bayesian and NHST approaches in one paper which might seem inconsistent to readers.</w:t>
      </w:r>
    </w:p>
    <w:bookmarkEnd w:id="2"/>
    <w:p w14:paraId="3B5B26F9" w14:textId="77777777" w:rsidR="00780F93" w:rsidRPr="00B14CA1" w:rsidRDefault="00780F93" w:rsidP="00780F93">
      <w:pPr>
        <w:spacing w:after="120" w:line="312" w:lineRule="auto"/>
        <w:jc w:val="both"/>
        <w:rPr>
          <w:szCs w:val="24"/>
          <w:lang w:val="en-US"/>
        </w:rPr>
      </w:pPr>
    </w:p>
    <w:p w14:paraId="32F2E08B" w14:textId="77777777" w:rsidR="00780F93" w:rsidRPr="00B14CA1" w:rsidRDefault="00780F93" w:rsidP="00780F93">
      <w:pPr>
        <w:jc w:val="both"/>
        <w:rPr>
          <w:szCs w:val="24"/>
          <w:u w:val="single"/>
          <w:lang w:val="en-US"/>
        </w:rPr>
      </w:pPr>
      <w:r w:rsidRPr="00B14CA1">
        <w:rPr>
          <w:szCs w:val="24"/>
          <w:u w:val="single"/>
          <w:lang w:val="en-US"/>
        </w:rPr>
        <w:t>Moderator analysis</w:t>
      </w:r>
    </w:p>
    <w:p w14:paraId="2A9D1647" w14:textId="77777777" w:rsidR="00780F93" w:rsidRPr="00B14CA1" w:rsidRDefault="00780F93" w:rsidP="00780F93">
      <w:pPr>
        <w:jc w:val="both"/>
      </w:pPr>
      <w:r w:rsidRPr="00B14CA1">
        <w:t xml:space="preserve">Meta-analysis allows to evaluate impacts of moderator variables which are characteristics of studies and vary between studies. This allows a deeper insight into possible causes of heterogeneity. The way forward is to apply meta-regression which is based on the same concept for regressions in primary studies </w:t>
      </w:r>
      <w:r w:rsidRPr="00B14CA1">
        <w:rPr>
          <w:noProof/>
        </w:rPr>
        <w:t>(for a thorough discussion Stanley and Doucouliagos 2012)</w:t>
      </w:r>
      <w:r w:rsidRPr="00B14CA1">
        <w:t>. A meta-regression uses the effects of studies as dependent variable and – in our case categorical – moderators as dependent variables in a random-effects model (</w:t>
      </w:r>
      <w:proofErr w:type="spellStart"/>
      <w:r w:rsidRPr="00B14CA1">
        <w:t>Borenstein</w:t>
      </w:r>
      <w:proofErr w:type="spellEnd"/>
      <w:r w:rsidRPr="00B14CA1">
        <w:t xml:space="preserve"> et al. 2009). The main differences of a meta-regression based on study effects as data points from a regression in primary studies are (1) the level of analysis is the study (effects per study) not the subjects (firms, individuals), (2) like in aggregating studies in a meta-analysis, assigning a weight for each study effect is needed, and (3) the decision between a fixed- and a random-effects model has to be made </w:t>
      </w:r>
      <w:r w:rsidRPr="00B14CA1">
        <w:rPr>
          <w:noProof/>
        </w:rPr>
        <w:t>(Borenstein et al. 2009)</w:t>
      </w:r>
      <w:r w:rsidRPr="00B14CA1">
        <w:t xml:space="preserve">. In accordance with the meta-analysis described </w:t>
      </w:r>
      <w:r w:rsidRPr="00B14CA1">
        <w:lastRenderedPageBreak/>
        <w:t>before, we use effects and effect variances of primary studies and employ a random-effects model for meta-regression. Meta-regression is performed with the R package “</w:t>
      </w:r>
      <w:proofErr w:type="spellStart"/>
      <w:r w:rsidRPr="00B14CA1">
        <w:t>metafor</w:t>
      </w:r>
      <w:proofErr w:type="spellEnd"/>
      <w:r w:rsidRPr="00B14CA1">
        <w:t xml:space="preserve">” </w:t>
      </w:r>
      <w:r w:rsidRPr="00B14CA1">
        <w:rPr>
          <w:noProof/>
        </w:rPr>
        <w:t>(Viechtbauer 2010)</w:t>
      </w:r>
      <w:r w:rsidRPr="00B14CA1">
        <w:t>.</w:t>
      </w:r>
    </w:p>
    <w:p w14:paraId="676C7D34" w14:textId="77777777" w:rsidR="00780F93" w:rsidRDefault="00780F93" w:rsidP="00780F93">
      <w:pPr>
        <w:jc w:val="both"/>
        <w:rPr>
          <w:sz w:val="20"/>
        </w:rPr>
      </w:pPr>
    </w:p>
    <w:p w14:paraId="480C24CF" w14:textId="4FE38066" w:rsidR="00780F93" w:rsidRPr="00C2225F" w:rsidRDefault="00780F93" w:rsidP="00780F93">
      <w:pPr>
        <w:pStyle w:val="berschrift1"/>
        <w:numPr>
          <w:ilvl w:val="0"/>
          <w:numId w:val="2"/>
        </w:numPr>
        <w:rPr>
          <w:b w:val="0"/>
          <w:bCs w:val="0"/>
        </w:rPr>
      </w:pPr>
      <w:bookmarkStart w:id="3" w:name="_Toc127861326"/>
      <w:r w:rsidRPr="00C2225F">
        <w:rPr>
          <w:bCs w:val="0"/>
        </w:rPr>
        <w:t>Interpretation of effects in sub-group analysis and meta-regression</w:t>
      </w:r>
      <w:bookmarkEnd w:id="3"/>
    </w:p>
    <w:p w14:paraId="14ECE8C7" w14:textId="77777777" w:rsidR="00780F93" w:rsidRDefault="00780F93" w:rsidP="00780F93">
      <w:pPr>
        <w:spacing w:after="120" w:line="312" w:lineRule="auto"/>
        <w:jc w:val="both"/>
      </w:pPr>
    </w:p>
    <w:p w14:paraId="5FAACA05" w14:textId="77777777" w:rsidR="00780F93" w:rsidRPr="00C2225F" w:rsidRDefault="00780F93" w:rsidP="00780F93">
      <w:pPr>
        <w:spacing w:after="120" w:line="312" w:lineRule="auto"/>
        <w:jc w:val="both"/>
      </w:pPr>
      <w:r w:rsidRPr="00C2225F">
        <w:t>It would go too far to discuss in more detail the interpretation of effects and their credible intervals in the original paper. Yet, for the interested reader, it might help to go deeper in how to interpret a) the size of an effect as significant or not, and b) the meaning of confidence intervals especially comparing between several effects in this meta-analysis, especially interpreting differing results between the sub-group analysis (section 4.2) and meta-regression (section 4.3).</w:t>
      </w:r>
    </w:p>
    <w:p w14:paraId="361516B5" w14:textId="77777777" w:rsidR="00780F93" w:rsidRPr="00C2225F" w:rsidRDefault="00780F93" w:rsidP="00780F93">
      <w:pPr>
        <w:spacing w:after="120" w:line="312" w:lineRule="auto"/>
        <w:jc w:val="both"/>
      </w:pPr>
      <w:r w:rsidRPr="00C2225F">
        <w:t xml:space="preserve">Ad a) Effects like a mean or differences of means of two groups are estimated through sampling and a selected statistical procedure (Ellis 2012). Given that such effects are not determined through an analysis of the total population but has to be estimated from a limited sample, they are uncertain and it is usually not possible to determine an exact value, rather it can be measured and estimated to a certain degree of precision (Cumming 2011). Hence, an effect is always existing in a numerical sense but sometimes so small that it is not of economic relevance for a certain research question (Kline 2013). </w:t>
      </w:r>
    </w:p>
    <w:p w14:paraId="6214DF04" w14:textId="77777777" w:rsidR="00780F93" w:rsidRPr="00C2225F" w:rsidRDefault="00780F93" w:rsidP="00780F93">
      <w:pPr>
        <w:spacing w:after="120" w:line="312" w:lineRule="auto"/>
        <w:jc w:val="both"/>
      </w:pPr>
      <w:r w:rsidRPr="00C2225F">
        <w:t>The precision depends mainly on four elements: the estimation procedure, the sample size and the underlying uncertainty in the sample as well as the size of the “true” effect in the population (ibid.). Confidence intervals (CI) are one instrument to document the precision of an effect (Cumming and Calin-</w:t>
      </w:r>
      <w:proofErr w:type="spellStart"/>
      <w:r w:rsidRPr="00C2225F">
        <w:t>Jageman</w:t>
      </w:r>
      <w:proofErr w:type="spellEnd"/>
      <w:r w:rsidRPr="00C2225F">
        <w:t xml:space="preserve"> 2016): the wider the less precise was the effect measured in a sample.</w:t>
      </w:r>
    </w:p>
    <w:p w14:paraId="55BC7E4F" w14:textId="77777777" w:rsidR="00780F93" w:rsidRPr="00C2225F" w:rsidRDefault="00780F93" w:rsidP="00780F93">
      <w:pPr>
        <w:jc w:val="both"/>
      </w:pPr>
      <w:r w:rsidRPr="00C2225F">
        <w:t>Ad b) In the meta-analysis at hand, a second question arises: how do we handle and interpret differences in means between two groups we want to compare if we find overlapping or non-overlapping confidence intervals between the two effects?</w:t>
      </w:r>
    </w:p>
    <w:p w14:paraId="3B467F15" w14:textId="77777777" w:rsidR="00780F93" w:rsidRPr="00C2225F" w:rsidRDefault="00780F93" w:rsidP="00780F93">
      <w:pPr>
        <w:jc w:val="both"/>
      </w:pPr>
      <w:r w:rsidRPr="00C2225F">
        <w:t>The following hypothetical examples illustrate this discussion (based on the software ESCI provided by Cumming and Calin-</w:t>
      </w:r>
      <w:proofErr w:type="spellStart"/>
      <w:r w:rsidRPr="00C2225F">
        <w:t>Jageman</w:t>
      </w:r>
      <w:proofErr w:type="spellEnd"/>
      <w:r w:rsidRPr="00C2225F">
        <w:t xml:space="preserve"> 2016)</w:t>
      </w:r>
    </w:p>
    <w:p w14:paraId="1A860F10" w14:textId="77777777" w:rsidR="00780F93" w:rsidRDefault="00780F93" w:rsidP="00780F93">
      <w:pPr>
        <w:jc w:val="both"/>
        <w:rPr>
          <w:lang w:val="en-US"/>
        </w:rPr>
      </w:pPr>
    </w:p>
    <w:p w14:paraId="23FCA8C3" w14:textId="77777777" w:rsidR="00780F93" w:rsidRDefault="00780F93" w:rsidP="00780F93">
      <w:pPr>
        <w:jc w:val="center"/>
        <w:rPr>
          <w:lang w:val="en-US"/>
        </w:rPr>
      </w:pPr>
      <w:r w:rsidRPr="009C697F">
        <w:rPr>
          <w:noProof/>
          <w:lang w:val="en-US"/>
        </w:rPr>
        <w:lastRenderedPageBreak/>
        <w:drawing>
          <wp:inline distT="0" distB="0" distL="0" distR="0" wp14:anchorId="0285A6A0" wp14:editId="5C55F335">
            <wp:extent cx="3644461" cy="2936317"/>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47350" cy="2938645"/>
                    </a:xfrm>
                    <a:prstGeom prst="rect">
                      <a:avLst/>
                    </a:prstGeom>
                    <a:noFill/>
                    <a:ln>
                      <a:noFill/>
                    </a:ln>
                  </pic:spPr>
                </pic:pic>
              </a:graphicData>
            </a:graphic>
          </wp:inline>
        </w:drawing>
      </w:r>
    </w:p>
    <w:p w14:paraId="2EE3136A" w14:textId="77777777" w:rsidR="00780F93" w:rsidRPr="00C2225F" w:rsidRDefault="00780F93" w:rsidP="00780F93">
      <w:pPr>
        <w:spacing w:after="120" w:line="312" w:lineRule="auto"/>
        <w:jc w:val="both"/>
      </w:pPr>
      <w:r w:rsidRPr="00C2225F">
        <w:t xml:space="preserve">On the left panel we find two groups with non-overlapping CI and a clear difference in mean effects. </w:t>
      </w:r>
    </w:p>
    <w:p w14:paraId="586C836D" w14:textId="77777777" w:rsidR="00780F93" w:rsidRPr="00C2225F" w:rsidRDefault="00780F93" w:rsidP="00780F93">
      <w:pPr>
        <w:spacing w:after="120" w:line="312" w:lineRule="auto"/>
        <w:jc w:val="both"/>
      </w:pPr>
      <w:r w:rsidRPr="00C2225F">
        <w:t xml:space="preserve">On the right panel we have two groups with a difference in mean effects but an overlapping CI. In this case the effect difference exists definitely, but is it relevant? Yet, in general the statistics cannot tell us if this difference is economically relevant and important. </w:t>
      </w:r>
      <w:proofErr w:type="gramStart"/>
      <w:r w:rsidRPr="00C2225F">
        <w:t>Instead</w:t>
      </w:r>
      <w:proofErr w:type="gramEnd"/>
      <w:r w:rsidRPr="00C2225F">
        <w:t xml:space="preserve"> we can conclude from an overlapping CI that a difference exists between the two groups but it is corrupted by low measurement precision. Hence, further studies with larger sample sizes and/or better measurement procedures and research designs might shed more light on this.</w:t>
      </w:r>
    </w:p>
    <w:p w14:paraId="55FAD618" w14:textId="77777777" w:rsidR="00780F93" w:rsidRPr="00C2225F" w:rsidRDefault="00780F93" w:rsidP="00780F93">
      <w:pPr>
        <w:spacing w:after="120" w:line="312" w:lineRule="auto"/>
        <w:jc w:val="both"/>
      </w:pPr>
      <w:r w:rsidRPr="00C2225F">
        <w:t>The situation in the right panel is found in our meta-analysis results several times: CI of sub-groups overlap in many of the results tables.</w:t>
      </w:r>
    </w:p>
    <w:p w14:paraId="12F44D55" w14:textId="77777777" w:rsidR="00780F93" w:rsidRPr="00C2225F" w:rsidRDefault="00780F93" w:rsidP="00780F93">
      <w:pPr>
        <w:spacing w:after="120" w:line="312" w:lineRule="auto"/>
        <w:jc w:val="both"/>
      </w:pPr>
      <w:r w:rsidRPr="00C2225F">
        <w:t>Consider for example table 3, human capital has a CI of [0.049; 0.171] and ranked publications one of [0.084; 0.153]. A similar result overlap is found in several of our meta-regressions. In meta-regression 1 for example: human capital has an estimated CI of [- 0.062; 0.121] and journal rank one of [0.011; 0.144]. Again, both confidence intervals overlap. How do we interpret this?</w:t>
      </w:r>
    </w:p>
    <w:p w14:paraId="41477DF6" w14:textId="77777777" w:rsidR="00780F93" w:rsidRPr="00C2225F" w:rsidRDefault="00780F93" w:rsidP="00780F93">
      <w:pPr>
        <w:spacing w:after="120" w:line="312" w:lineRule="auto"/>
        <w:jc w:val="both"/>
      </w:pPr>
      <w:r w:rsidRPr="00C2225F">
        <w:t xml:space="preserve">The first analysis of sub samples and sub-groups (section 4.2) considers two types of effects: 1) the effect of voluntary ICD studies on the outcome of the sample, in table 3 for example for equity value (= all studies); and 2) the effect of a sub-group unconditional and irrespective of other sub-groups. So, we do not compare two sub groups like human capital and ranked publications directly based on a statistical test of the similarity or difference of the mean effects. The likelihood ratio test (LRT, last column in the result tables) is used to test if there is a statistically significant difference of a sub-group like human capital compared to the overall effect in the relevant (sub-)sample like equity value (table 3), so for example in table 3 no sub-group effect is statistically significantly different from the sample mean effect of 0.116. </w:t>
      </w:r>
    </w:p>
    <w:p w14:paraId="6EB8162A" w14:textId="77777777" w:rsidR="00780F93" w:rsidRPr="00C2225F" w:rsidRDefault="00780F93" w:rsidP="00780F93">
      <w:pPr>
        <w:spacing w:after="120" w:line="312" w:lineRule="auto"/>
        <w:jc w:val="both"/>
      </w:pPr>
      <w:r w:rsidRPr="00C2225F">
        <w:t xml:space="preserve">In that sense, one might view the LRT similar to estimating the raw bivariate correlation coefficient of two variables independent of other variables in a sample. We do not statistically compare two sub-groups in section 4.2. What we can infer is if sub groups show similar effect sizes or not between each </w:t>
      </w:r>
      <w:r w:rsidRPr="00C2225F">
        <w:lastRenderedPageBreak/>
        <w:t>other. In the case of human capital and ranked publication both are small and in similar ranges. Both are not in a statistical significance sense different from the mean effect of the sample which we interpret as that the sub groups exert not different effects compared to the effect over all studies included in this (sub-) sample.</w:t>
      </w:r>
    </w:p>
    <w:p w14:paraId="27373442" w14:textId="77777777" w:rsidR="00780F93" w:rsidRPr="00C2225F" w:rsidRDefault="00780F93" w:rsidP="00780F93">
      <w:pPr>
        <w:spacing w:after="120" w:line="312" w:lineRule="auto"/>
        <w:jc w:val="both"/>
      </w:pPr>
      <w:r w:rsidRPr="00C2225F">
        <w:t>The second analysis, the meta-regression (section 4.3) estimates the additional effect of a sub-group on the dependent variable conditional on all other sub-groups included in the regression model (so holding the other variables constant or at the mean to isolate the effect for a given and predefined set of independent variables). This is similar to estimating a partial correlation coefficient where one has to specify which other variables to include in the variable set. The interpretation is therefore different from the sub-group analysis above.</w:t>
      </w:r>
    </w:p>
    <w:p w14:paraId="0BDC8A24" w14:textId="77777777" w:rsidR="00780F93" w:rsidRPr="00C2225F" w:rsidRDefault="00780F93" w:rsidP="00780F93">
      <w:pPr>
        <w:spacing w:after="120" w:line="312" w:lineRule="auto"/>
        <w:jc w:val="both"/>
      </w:pPr>
      <w:r w:rsidRPr="00C2225F">
        <w:t xml:space="preserve">In case one would have only two values to compare (sample mean effect and only one sub-group effect) the difference of the mean effects in the first analysis and the regression coefficient with only one independent variable (the sub-group) would be basically identical (except for some sampling and estimation differences), because both measure a difference but one is unconditional and the other is conditional (Gelman et al. 2021). Only because we introduce a set of variables in our regression model the resulting coefficients cannot be directly compared between the sub-group analysis and the meta-regression. </w:t>
      </w:r>
    </w:p>
    <w:p w14:paraId="26AC4977" w14:textId="77777777" w:rsidR="00780F93" w:rsidRPr="00C2225F" w:rsidRDefault="00780F93" w:rsidP="00780F93">
      <w:pPr>
        <w:spacing w:after="120" w:line="312" w:lineRule="auto"/>
        <w:jc w:val="both"/>
      </w:pPr>
      <w:r w:rsidRPr="00C2225F">
        <w:t>The rationale behind using meta-regressions is exactly what is mentioned above: understanding the additional effect of a sub-group on the dependent variable conditional on a set of other sub-groups that are selected based on theoretical arguments. To sum up this creates four possible situations:</w:t>
      </w:r>
    </w:p>
    <w:tbl>
      <w:tblPr>
        <w:tblStyle w:val="Tabellenraster"/>
        <w:tblW w:w="0" w:type="auto"/>
        <w:tblInd w:w="-5" w:type="dxa"/>
        <w:tblLook w:val="04A0" w:firstRow="1" w:lastRow="0" w:firstColumn="1" w:lastColumn="0" w:noHBand="0" w:noVBand="1"/>
      </w:tblPr>
      <w:tblGrid>
        <w:gridCol w:w="2694"/>
        <w:gridCol w:w="2693"/>
        <w:gridCol w:w="3680"/>
      </w:tblGrid>
      <w:tr w:rsidR="00780F93" w:rsidRPr="00C2225F" w14:paraId="47D074D9" w14:textId="77777777" w:rsidTr="009516BD">
        <w:tc>
          <w:tcPr>
            <w:tcW w:w="2694" w:type="dxa"/>
          </w:tcPr>
          <w:p w14:paraId="08F7AC9D" w14:textId="77777777" w:rsidR="00780F93" w:rsidRPr="00C2225F" w:rsidRDefault="00780F93" w:rsidP="009516BD">
            <w:pPr>
              <w:spacing w:after="120" w:line="312" w:lineRule="auto"/>
              <w:jc w:val="both"/>
            </w:pPr>
            <w:r w:rsidRPr="00C2225F">
              <w:t>Sub-group in Sub-group analysis (section 4.2)</w:t>
            </w:r>
          </w:p>
        </w:tc>
        <w:tc>
          <w:tcPr>
            <w:tcW w:w="2693" w:type="dxa"/>
          </w:tcPr>
          <w:p w14:paraId="20A5A8BA" w14:textId="77777777" w:rsidR="00780F93" w:rsidRPr="00C2225F" w:rsidRDefault="00780F93" w:rsidP="009516BD">
            <w:pPr>
              <w:spacing w:after="120" w:line="312" w:lineRule="auto"/>
              <w:jc w:val="both"/>
            </w:pPr>
            <w:r w:rsidRPr="00C2225F">
              <w:t>Sub-group in Meta-regression (section 4.3)</w:t>
            </w:r>
          </w:p>
        </w:tc>
        <w:tc>
          <w:tcPr>
            <w:tcW w:w="3680" w:type="dxa"/>
          </w:tcPr>
          <w:p w14:paraId="0E46A910" w14:textId="77777777" w:rsidR="00780F93" w:rsidRPr="00C2225F" w:rsidRDefault="00780F93" w:rsidP="009516BD">
            <w:pPr>
              <w:spacing w:after="120" w:line="312" w:lineRule="auto"/>
              <w:jc w:val="both"/>
            </w:pPr>
            <w:r w:rsidRPr="00C2225F">
              <w:t>Interpretation</w:t>
            </w:r>
          </w:p>
        </w:tc>
      </w:tr>
      <w:tr w:rsidR="00780F93" w:rsidRPr="00C2225F" w14:paraId="3F712E9E" w14:textId="77777777" w:rsidTr="009516BD">
        <w:tc>
          <w:tcPr>
            <w:tcW w:w="2694" w:type="dxa"/>
          </w:tcPr>
          <w:p w14:paraId="231F7EDA" w14:textId="77777777" w:rsidR="00780F93" w:rsidRPr="00C2225F" w:rsidRDefault="00780F93" w:rsidP="009516BD">
            <w:pPr>
              <w:spacing w:after="120" w:line="312" w:lineRule="auto"/>
              <w:jc w:val="both"/>
            </w:pPr>
            <w:r w:rsidRPr="00C2225F">
              <w:t>Significant result</w:t>
            </w:r>
          </w:p>
        </w:tc>
        <w:tc>
          <w:tcPr>
            <w:tcW w:w="2693" w:type="dxa"/>
          </w:tcPr>
          <w:p w14:paraId="0A5238C1" w14:textId="77777777" w:rsidR="00780F93" w:rsidRPr="00C2225F" w:rsidRDefault="00780F93" w:rsidP="009516BD">
            <w:pPr>
              <w:spacing w:after="120" w:line="312" w:lineRule="auto"/>
              <w:jc w:val="both"/>
            </w:pPr>
            <w:r w:rsidRPr="00C2225F">
              <w:t>Significant result</w:t>
            </w:r>
          </w:p>
        </w:tc>
        <w:tc>
          <w:tcPr>
            <w:tcW w:w="3680" w:type="dxa"/>
          </w:tcPr>
          <w:p w14:paraId="0F580980" w14:textId="77777777" w:rsidR="00780F93" w:rsidRPr="00C2225F" w:rsidRDefault="00780F93" w:rsidP="009516BD">
            <w:pPr>
              <w:spacing w:after="120" w:line="312" w:lineRule="auto"/>
              <w:jc w:val="both"/>
            </w:pPr>
            <w:r w:rsidRPr="00C2225F">
              <w:t>Sub-group shows significant difference to the sample effect unconditionally and conditional on a set of other sub-groups</w:t>
            </w:r>
          </w:p>
        </w:tc>
      </w:tr>
      <w:tr w:rsidR="00780F93" w:rsidRPr="00C2225F" w14:paraId="62BC664E" w14:textId="77777777" w:rsidTr="009516BD">
        <w:tc>
          <w:tcPr>
            <w:tcW w:w="2694" w:type="dxa"/>
          </w:tcPr>
          <w:p w14:paraId="7416494C" w14:textId="77777777" w:rsidR="00780F93" w:rsidRPr="00C2225F" w:rsidRDefault="00780F93" w:rsidP="009516BD">
            <w:pPr>
              <w:spacing w:after="120" w:line="312" w:lineRule="auto"/>
              <w:jc w:val="both"/>
            </w:pPr>
            <w:r w:rsidRPr="00C2225F">
              <w:t>Significant result</w:t>
            </w:r>
          </w:p>
        </w:tc>
        <w:tc>
          <w:tcPr>
            <w:tcW w:w="2693" w:type="dxa"/>
          </w:tcPr>
          <w:p w14:paraId="1606EA03" w14:textId="77777777" w:rsidR="00780F93" w:rsidRPr="00C2225F" w:rsidRDefault="00780F93" w:rsidP="009516BD">
            <w:pPr>
              <w:spacing w:after="120" w:line="312" w:lineRule="auto"/>
              <w:jc w:val="both"/>
            </w:pPr>
            <w:r w:rsidRPr="00C2225F">
              <w:t>Insignificant result</w:t>
            </w:r>
          </w:p>
        </w:tc>
        <w:tc>
          <w:tcPr>
            <w:tcW w:w="3680" w:type="dxa"/>
          </w:tcPr>
          <w:p w14:paraId="224C433E" w14:textId="77777777" w:rsidR="00780F93" w:rsidRPr="00C2225F" w:rsidRDefault="00780F93" w:rsidP="009516BD">
            <w:pPr>
              <w:spacing w:after="120" w:line="312" w:lineRule="auto"/>
              <w:jc w:val="both"/>
            </w:pPr>
            <w:r w:rsidRPr="00C2225F">
              <w:t>Sub-group shows significant difference to the sample effect but not conditional on a set of other sub-groups</w:t>
            </w:r>
          </w:p>
        </w:tc>
      </w:tr>
      <w:tr w:rsidR="00780F93" w:rsidRPr="00C2225F" w14:paraId="1D6B09F0" w14:textId="77777777" w:rsidTr="009516BD">
        <w:tc>
          <w:tcPr>
            <w:tcW w:w="2694" w:type="dxa"/>
          </w:tcPr>
          <w:p w14:paraId="70ADB4CB" w14:textId="77777777" w:rsidR="00780F93" w:rsidRPr="00C2225F" w:rsidRDefault="00780F93" w:rsidP="009516BD">
            <w:pPr>
              <w:spacing w:after="120" w:line="312" w:lineRule="auto"/>
              <w:jc w:val="both"/>
            </w:pPr>
            <w:r w:rsidRPr="00C2225F">
              <w:t>Insignificant result</w:t>
            </w:r>
          </w:p>
        </w:tc>
        <w:tc>
          <w:tcPr>
            <w:tcW w:w="2693" w:type="dxa"/>
          </w:tcPr>
          <w:p w14:paraId="52FDD69E" w14:textId="77777777" w:rsidR="00780F93" w:rsidRPr="00C2225F" w:rsidRDefault="00780F93" w:rsidP="009516BD">
            <w:pPr>
              <w:spacing w:after="120" w:line="312" w:lineRule="auto"/>
              <w:jc w:val="both"/>
            </w:pPr>
            <w:r w:rsidRPr="00C2225F">
              <w:t>Significant result</w:t>
            </w:r>
          </w:p>
        </w:tc>
        <w:tc>
          <w:tcPr>
            <w:tcW w:w="3680" w:type="dxa"/>
          </w:tcPr>
          <w:p w14:paraId="6F1F4370" w14:textId="77777777" w:rsidR="00780F93" w:rsidRPr="00C2225F" w:rsidRDefault="00780F93" w:rsidP="009516BD">
            <w:pPr>
              <w:spacing w:after="120" w:line="312" w:lineRule="auto"/>
              <w:jc w:val="both"/>
            </w:pPr>
            <w:r w:rsidRPr="00C2225F">
              <w:t>Conditioning on a set of other sub-groups a significant effect is detected</w:t>
            </w:r>
          </w:p>
        </w:tc>
      </w:tr>
      <w:tr w:rsidR="00780F93" w:rsidRPr="00C2225F" w14:paraId="7DA03520" w14:textId="77777777" w:rsidTr="009516BD">
        <w:tc>
          <w:tcPr>
            <w:tcW w:w="2694" w:type="dxa"/>
          </w:tcPr>
          <w:p w14:paraId="2E69058B" w14:textId="77777777" w:rsidR="00780F93" w:rsidRPr="00C2225F" w:rsidRDefault="00780F93" w:rsidP="009516BD">
            <w:pPr>
              <w:spacing w:after="120" w:line="312" w:lineRule="auto"/>
              <w:jc w:val="both"/>
            </w:pPr>
            <w:r w:rsidRPr="00C2225F">
              <w:t>Insignificant result</w:t>
            </w:r>
          </w:p>
        </w:tc>
        <w:tc>
          <w:tcPr>
            <w:tcW w:w="2693" w:type="dxa"/>
          </w:tcPr>
          <w:p w14:paraId="0E0678AB" w14:textId="77777777" w:rsidR="00780F93" w:rsidRPr="00C2225F" w:rsidRDefault="00780F93" w:rsidP="009516BD">
            <w:pPr>
              <w:spacing w:after="120" w:line="312" w:lineRule="auto"/>
              <w:jc w:val="both"/>
            </w:pPr>
            <w:r w:rsidRPr="00C2225F">
              <w:t>insignificant result</w:t>
            </w:r>
          </w:p>
        </w:tc>
        <w:tc>
          <w:tcPr>
            <w:tcW w:w="3680" w:type="dxa"/>
          </w:tcPr>
          <w:p w14:paraId="2950036D" w14:textId="77777777" w:rsidR="00780F93" w:rsidRPr="00C2225F" w:rsidRDefault="00780F93" w:rsidP="009516BD">
            <w:pPr>
              <w:spacing w:after="120" w:line="312" w:lineRule="auto"/>
              <w:jc w:val="both"/>
            </w:pPr>
            <w:r w:rsidRPr="00C2225F">
              <w:t>No evidence for a significant effect</w:t>
            </w:r>
          </w:p>
        </w:tc>
      </w:tr>
    </w:tbl>
    <w:p w14:paraId="0623063D" w14:textId="77777777" w:rsidR="00780F93" w:rsidRPr="00C2225F" w:rsidRDefault="00780F93" w:rsidP="00780F93">
      <w:pPr>
        <w:spacing w:after="120" w:line="312" w:lineRule="auto"/>
        <w:jc w:val="both"/>
      </w:pPr>
      <w:r w:rsidRPr="00C2225F">
        <w:t>Concerning the second and third situation: this hints at more complex relations of sub-groups to the sample outcome and it needs further research because there might exist more complex causal relations between these sub-groups.</w:t>
      </w:r>
    </w:p>
    <w:p w14:paraId="08B2FE26" w14:textId="77777777" w:rsidR="00780F93" w:rsidRPr="00C2225F" w:rsidRDefault="00780F93" w:rsidP="00780F93">
      <w:pPr>
        <w:spacing w:after="120" w:line="312" w:lineRule="auto"/>
        <w:jc w:val="both"/>
      </w:pPr>
      <w:r w:rsidRPr="00C2225F">
        <w:lastRenderedPageBreak/>
        <w:t xml:space="preserve">Here an example for this argument (based on </w:t>
      </w:r>
      <w:proofErr w:type="spellStart"/>
      <w:r w:rsidRPr="00C2225F">
        <w:t>McBee</w:t>
      </w:r>
      <w:proofErr w:type="spellEnd"/>
      <w:r w:rsidRPr="00C2225F">
        <w:t xml:space="preserve"> 2022, chapter 2): assume we have three variables A, B, and C. B influences A and C, so A does not influence C. A correlational analysis would yield a positive correlation between A and C despite that both are not causally connected. Only in conditioning on B in a regression, </w:t>
      </w:r>
      <w:proofErr w:type="gramStart"/>
      <w:r w:rsidRPr="00C2225F">
        <w:t>i.e.</w:t>
      </w:r>
      <w:proofErr w:type="gramEnd"/>
      <w:r w:rsidRPr="00C2225F">
        <w:t xml:space="preserve"> including it in a regression formula (C ~ A + B) we will find that A has no significant effect and B has a significant effect on C. So, in situation two in the table above, this might be case; In situation three there might exist collider variables (ibid., pp. 61-65) that can lead to spurious correlations. </w:t>
      </w:r>
    </w:p>
    <w:p w14:paraId="55CC9CD1" w14:textId="77777777" w:rsidR="00780F93" w:rsidRDefault="00780F93" w:rsidP="00780F93">
      <w:pPr>
        <w:jc w:val="both"/>
        <w:rPr>
          <w:sz w:val="20"/>
        </w:rPr>
      </w:pPr>
    </w:p>
    <w:p w14:paraId="25A8F3CA" w14:textId="77777777" w:rsidR="00780F93" w:rsidRDefault="00780F93" w:rsidP="00780F93">
      <w:pPr>
        <w:jc w:val="both"/>
        <w:rPr>
          <w:sz w:val="20"/>
        </w:rPr>
      </w:pPr>
    </w:p>
    <w:p w14:paraId="5D9D5B81" w14:textId="77777777" w:rsidR="00780F93" w:rsidRDefault="00780F93" w:rsidP="00780F93">
      <w:pPr>
        <w:jc w:val="both"/>
        <w:rPr>
          <w:sz w:val="20"/>
        </w:rPr>
      </w:pPr>
    </w:p>
    <w:p w14:paraId="78CC5CDF" w14:textId="77777777" w:rsidR="00780F93" w:rsidRDefault="00780F93" w:rsidP="00780F93">
      <w:pPr>
        <w:jc w:val="both"/>
        <w:rPr>
          <w:sz w:val="20"/>
        </w:rPr>
      </w:pPr>
    </w:p>
    <w:p w14:paraId="5313BE43" w14:textId="77777777" w:rsidR="00780F93" w:rsidRPr="00B14CA1" w:rsidRDefault="00780F93" w:rsidP="00780F93">
      <w:pPr>
        <w:jc w:val="both"/>
        <w:rPr>
          <w:sz w:val="20"/>
        </w:rPr>
      </w:pPr>
    </w:p>
    <w:p w14:paraId="3776F5DE" w14:textId="77777777" w:rsidR="00780F93" w:rsidRDefault="00780F93" w:rsidP="00780F93">
      <w:pPr>
        <w:rPr>
          <w:rFonts w:asciiTheme="majorHAnsi" w:eastAsiaTheme="majorEastAsia" w:hAnsiTheme="majorHAnsi" w:cstheme="majorBidi"/>
          <w:color w:val="2F5496" w:themeColor="accent1" w:themeShade="BF"/>
          <w:sz w:val="32"/>
          <w:szCs w:val="32"/>
        </w:rPr>
      </w:pPr>
      <w:r>
        <w:br w:type="page"/>
      </w:r>
    </w:p>
    <w:p w14:paraId="69C32435" w14:textId="4CB724E1" w:rsidR="00780F93" w:rsidRDefault="00780F93" w:rsidP="00780F93">
      <w:pPr>
        <w:pStyle w:val="berschrift1"/>
        <w:numPr>
          <w:ilvl w:val="0"/>
          <w:numId w:val="2"/>
        </w:numPr>
      </w:pPr>
      <w:bookmarkStart w:id="4" w:name="_Toc127861327"/>
      <w:r>
        <w:lastRenderedPageBreak/>
        <w:t>Publication bias: funnel plots and tests</w:t>
      </w:r>
      <w:bookmarkEnd w:id="4"/>
    </w:p>
    <w:p w14:paraId="7E50E7EE" w14:textId="77777777" w:rsidR="00780F93" w:rsidRDefault="00780F93" w:rsidP="00780F93">
      <w:pPr>
        <w:jc w:val="both"/>
      </w:pPr>
      <w:r>
        <w:t>We document here the results of funnel plots and rank and regression tests for testing asymmetries in funnel plots. Both tests evaluate the p-value of standard errors by chance. That means, a larger p-value indicates a larger probability that the standard error estimates are a result of chance. Overall, we find no indication of asymmetries and hence publication bias in these sub-groups for a 5 % significance level.</w:t>
      </w:r>
    </w:p>
    <w:p w14:paraId="00DE9E22" w14:textId="6ACFA6D8" w:rsidR="00780F93" w:rsidRDefault="00780F93" w:rsidP="00780F93">
      <w:pPr>
        <w:pStyle w:val="berschrift2"/>
      </w:pPr>
      <w:bookmarkStart w:id="5" w:name="_Toc127861328"/>
      <w:r>
        <w:t xml:space="preserve">3.1 </w:t>
      </w:r>
      <w:r>
        <w:t>Sub-group Market Value</w:t>
      </w:r>
      <w:bookmarkEnd w:id="5"/>
    </w:p>
    <w:p w14:paraId="77653DD0" w14:textId="77777777" w:rsidR="00780F93" w:rsidRDefault="00780F93" w:rsidP="00780F93">
      <w:pPr>
        <w:jc w:val="both"/>
      </w:pPr>
    </w:p>
    <w:p w14:paraId="02014F00" w14:textId="77777777" w:rsidR="00780F93" w:rsidRDefault="00780F93" w:rsidP="00780F93">
      <w:pPr>
        <w:jc w:val="center"/>
      </w:pPr>
      <w:r w:rsidRPr="00822A44">
        <w:rPr>
          <w:noProof/>
        </w:rPr>
        <w:drawing>
          <wp:inline distT="0" distB="0" distL="0" distR="0" wp14:anchorId="6860231A" wp14:editId="4B2F8E09">
            <wp:extent cx="4432300" cy="3581400"/>
            <wp:effectExtent l="0" t="0" r="635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r="22211" b="21667"/>
                    <a:stretch/>
                  </pic:blipFill>
                  <pic:spPr bwMode="auto">
                    <a:xfrm>
                      <a:off x="0" y="0"/>
                      <a:ext cx="4432300" cy="3581400"/>
                    </a:xfrm>
                    <a:prstGeom prst="rect">
                      <a:avLst/>
                    </a:prstGeom>
                    <a:noFill/>
                    <a:ln>
                      <a:noFill/>
                    </a:ln>
                    <a:extLst>
                      <a:ext uri="{53640926-AAD7-44D8-BBD7-CCE9431645EC}">
                        <a14:shadowObscured xmlns:a14="http://schemas.microsoft.com/office/drawing/2010/main"/>
                      </a:ext>
                    </a:extLst>
                  </pic:spPr>
                </pic:pic>
              </a:graphicData>
            </a:graphic>
          </wp:inline>
        </w:drawing>
      </w:r>
    </w:p>
    <w:p w14:paraId="07406A60" w14:textId="77777777" w:rsidR="00780F93" w:rsidRPr="00B14CA1" w:rsidRDefault="00780F93" w:rsidP="00780F93">
      <w:pPr>
        <w:jc w:val="center"/>
      </w:pPr>
      <w:r w:rsidRPr="00B14CA1">
        <w:rPr>
          <w:b/>
        </w:rPr>
        <w:t xml:space="preserve">Figure A-1: </w:t>
      </w:r>
      <w:r w:rsidRPr="00B14CA1">
        <w:t>Funnel plot for sub-group market value</w:t>
      </w:r>
    </w:p>
    <w:p w14:paraId="4D3DA145" w14:textId="77777777" w:rsidR="00780F93" w:rsidRDefault="00780F93" w:rsidP="00780F93">
      <w:pPr>
        <w:jc w:val="both"/>
      </w:pPr>
      <w:r w:rsidRPr="00D24880">
        <w:t>Rank Correlation Test for Funnel Plot Asymmetry</w:t>
      </w:r>
      <w:r>
        <w:t xml:space="preserve">: </w:t>
      </w:r>
      <w:r w:rsidRPr="00D24880">
        <w:t>Kendall's tau = 0.1897, p = 0.0820</w:t>
      </w:r>
    </w:p>
    <w:p w14:paraId="5060ADF8" w14:textId="77777777" w:rsidR="00780F93" w:rsidRPr="00D24880" w:rsidRDefault="00780F93" w:rsidP="00780F93">
      <w:pPr>
        <w:jc w:val="both"/>
      </w:pPr>
      <w:r w:rsidRPr="00D24880">
        <w:t>Regression Test for Funnel Plot Asymmetry</w:t>
      </w:r>
    </w:p>
    <w:p w14:paraId="27FEF2D0" w14:textId="77777777" w:rsidR="00780F93" w:rsidRPr="00D24880" w:rsidRDefault="00780F93" w:rsidP="00780F93">
      <w:pPr>
        <w:ind w:firstLine="708"/>
        <w:jc w:val="both"/>
      </w:pPr>
      <w:r w:rsidRPr="00D24880">
        <w:t>Model:     mixed-effects meta-regression model</w:t>
      </w:r>
      <w:r>
        <w:t xml:space="preserve">, </w:t>
      </w:r>
      <w:r w:rsidRPr="00D24880">
        <w:t>Predictor: standard error</w:t>
      </w:r>
    </w:p>
    <w:p w14:paraId="7AB5E8BB" w14:textId="77777777" w:rsidR="00780F93" w:rsidRPr="00D24880" w:rsidRDefault="00780F93" w:rsidP="00780F93">
      <w:pPr>
        <w:ind w:firstLine="708"/>
        <w:jc w:val="both"/>
      </w:pPr>
      <w:r w:rsidRPr="00D24880">
        <w:t>Test for Funnel Plot Asymmetry: z = 1.4225, p = 0.1549</w:t>
      </w:r>
    </w:p>
    <w:p w14:paraId="2FAE3F9A" w14:textId="77777777" w:rsidR="00780F93" w:rsidRDefault="00780F93" w:rsidP="00780F93">
      <w:pPr>
        <w:ind w:firstLine="708"/>
        <w:jc w:val="both"/>
      </w:pPr>
      <w:r w:rsidRPr="00D24880">
        <w:t>Limit Estimate (as sei -&gt; 0):   b = 0.0069 (CI: -0.1827, 0.1965)</w:t>
      </w:r>
    </w:p>
    <w:p w14:paraId="4ACABF8D" w14:textId="77777777" w:rsidR="00780F93" w:rsidRDefault="00780F93" w:rsidP="00780F93">
      <w:pPr>
        <w:jc w:val="both"/>
      </w:pPr>
    </w:p>
    <w:p w14:paraId="5F235E6F" w14:textId="77777777" w:rsidR="00780F93" w:rsidRDefault="00780F93" w:rsidP="00780F93">
      <w:pPr>
        <w:jc w:val="both"/>
      </w:pPr>
    </w:p>
    <w:p w14:paraId="6AEABCD6" w14:textId="77777777" w:rsidR="00780F93" w:rsidRDefault="00780F93" w:rsidP="00780F93">
      <w:pPr>
        <w:jc w:val="both"/>
      </w:pPr>
    </w:p>
    <w:p w14:paraId="4A5B48E4" w14:textId="77777777" w:rsidR="00780F93" w:rsidRDefault="00780F93" w:rsidP="00780F93">
      <w:pPr>
        <w:jc w:val="both"/>
      </w:pPr>
    </w:p>
    <w:p w14:paraId="2B082314" w14:textId="77777777" w:rsidR="00780F93" w:rsidRDefault="00780F93" w:rsidP="00780F93">
      <w:pPr>
        <w:jc w:val="both"/>
      </w:pPr>
    </w:p>
    <w:p w14:paraId="72367E58" w14:textId="77F36804" w:rsidR="00780F93" w:rsidRDefault="00780F93" w:rsidP="00780F93">
      <w:pPr>
        <w:pStyle w:val="berschrift2"/>
      </w:pPr>
      <w:bookmarkStart w:id="6" w:name="_Toc127861329"/>
      <w:r>
        <w:lastRenderedPageBreak/>
        <w:t xml:space="preserve">3.2 </w:t>
      </w:r>
      <w:r>
        <w:t>Sub group cost of equity</w:t>
      </w:r>
      <w:bookmarkEnd w:id="6"/>
    </w:p>
    <w:p w14:paraId="2F99EC22" w14:textId="77777777" w:rsidR="00780F93" w:rsidRDefault="00780F93" w:rsidP="00780F93">
      <w:pPr>
        <w:jc w:val="both"/>
      </w:pPr>
    </w:p>
    <w:p w14:paraId="3F049910" w14:textId="77777777" w:rsidR="00780F93" w:rsidRDefault="00780F93" w:rsidP="00780F93">
      <w:pPr>
        <w:jc w:val="center"/>
      </w:pPr>
      <w:r w:rsidRPr="00E2737E">
        <w:rPr>
          <w:noProof/>
        </w:rPr>
        <w:drawing>
          <wp:inline distT="0" distB="0" distL="0" distR="0" wp14:anchorId="7A68D731" wp14:editId="23147088">
            <wp:extent cx="4337050" cy="3448050"/>
            <wp:effectExtent l="0" t="0" r="635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3750" r="23883" b="20833"/>
                    <a:stretch/>
                  </pic:blipFill>
                  <pic:spPr bwMode="auto">
                    <a:xfrm>
                      <a:off x="0" y="0"/>
                      <a:ext cx="4337050" cy="3448050"/>
                    </a:xfrm>
                    <a:prstGeom prst="rect">
                      <a:avLst/>
                    </a:prstGeom>
                    <a:noFill/>
                    <a:ln>
                      <a:noFill/>
                    </a:ln>
                    <a:extLst>
                      <a:ext uri="{53640926-AAD7-44D8-BBD7-CCE9431645EC}">
                        <a14:shadowObscured xmlns:a14="http://schemas.microsoft.com/office/drawing/2010/main"/>
                      </a:ext>
                    </a:extLst>
                  </pic:spPr>
                </pic:pic>
              </a:graphicData>
            </a:graphic>
          </wp:inline>
        </w:drawing>
      </w:r>
    </w:p>
    <w:p w14:paraId="2E70C3F2" w14:textId="77777777" w:rsidR="00780F93" w:rsidRPr="00B14CA1" w:rsidRDefault="00780F93" w:rsidP="00780F93">
      <w:pPr>
        <w:jc w:val="center"/>
      </w:pPr>
      <w:r w:rsidRPr="00B14CA1">
        <w:rPr>
          <w:b/>
        </w:rPr>
        <w:t xml:space="preserve">Figure A-2: </w:t>
      </w:r>
      <w:r w:rsidRPr="00B14CA1">
        <w:t>Funnel plot for sub-group cost of equity</w:t>
      </w:r>
    </w:p>
    <w:p w14:paraId="3719D92E" w14:textId="77777777" w:rsidR="00780F93" w:rsidRDefault="00780F93" w:rsidP="00780F93">
      <w:pPr>
        <w:jc w:val="both"/>
      </w:pPr>
    </w:p>
    <w:p w14:paraId="75AD9160" w14:textId="77777777" w:rsidR="00780F93" w:rsidRDefault="00780F93" w:rsidP="00780F93">
      <w:pPr>
        <w:jc w:val="both"/>
      </w:pPr>
      <w:r>
        <w:t>R</w:t>
      </w:r>
      <w:r w:rsidRPr="00E2737E">
        <w:t>ank Correlation Test for Funnel Plot Asymmetry</w:t>
      </w:r>
      <w:r>
        <w:t xml:space="preserve">: </w:t>
      </w:r>
      <w:r w:rsidRPr="00E2737E">
        <w:t>Kendall's tau = 0.1919, p = 0.2184</w:t>
      </w:r>
    </w:p>
    <w:p w14:paraId="1EAEFDA6" w14:textId="77777777" w:rsidR="00780F93" w:rsidRDefault="00780F93" w:rsidP="00780F93">
      <w:pPr>
        <w:jc w:val="both"/>
      </w:pPr>
    </w:p>
    <w:p w14:paraId="3A4580D4" w14:textId="77777777" w:rsidR="00780F93" w:rsidRPr="00E2737E" w:rsidRDefault="00780F93" w:rsidP="00780F93">
      <w:pPr>
        <w:jc w:val="both"/>
      </w:pPr>
      <w:r w:rsidRPr="00E2737E">
        <w:t>Regression Test for Funnel Plot Asymmetry</w:t>
      </w:r>
    </w:p>
    <w:p w14:paraId="176C0F59" w14:textId="77777777" w:rsidR="00780F93" w:rsidRPr="00E2737E" w:rsidRDefault="00780F93" w:rsidP="00780F93">
      <w:pPr>
        <w:ind w:firstLine="708"/>
        <w:jc w:val="both"/>
      </w:pPr>
      <w:r w:rsidRPr="00E2737E">
        <w:t>Model:     mixed-effects meta-regression model</w:t>
      </w:r>
      <w:r>
        <w:t xml:space="preserve">, </w:t>
      </w:r>
      <w:r w:rsidRPr="00E2737E">
        <w:t>Predictor: standard error</w:t>
      </w:r>
    </w:p>
    <w:p w14:paraId="27958401" w14:textId="77777777" w:rsidR="00780F93" w:rsidRPr="00E2737E" w:rsidRDefault="00780F93" w:rsidP="00780F93">
      <w:pPr>
        <w:ind w:firstLine="708"/>
        <w:jc w:val="both"/>
      </w:pPr>
      <w:r w:rsidRPr="00E2737E">
        <w:t>Test for Funnel Plot Asymmetry: z = 1.0501, p = 0.2937</w:t>
      </w:r>
    </w:p>
    <w:p w14:paraId="2DF5D675" w14:textId="77777777" w:rsidR="00780F93" w:rsidRDefault="00780F93" w:rsidP="00780F93">
      <w:pPr>
        <w:ind w:firstLine="708"/>
        <w:jc w:val="both"/>
      </w:pPr>
      <w:r w:rsidRPr="00E2737E">
        <w:t>Limit Estimate (as sei -&gt; 0):   b = -0.2973 (CI: -0.5003, -0.0944)</w:t>
      </w:r>
    </w:p>
    <w:p w14:paraId="4B3113E8" w14:textId="77777777" w:rsidR="00780F93" w:rsidRDefault="00780F93" w:rsidP="00780F93">
      <w:pPr>
        <w:jc w:val="both"/>
      </w:pPr>
    </w:p>
    <w:p w14:paraId="34D5771C" w14:textId="77777777" w:rsidR="00780F93" w:rsidRDefault="00780F93" w:rsidP="00780F93">
      <w:pPr>
        <w:jc w:val="both"/>
      </w:pPr>
    </w:p>
    <w:p w14:paraId="7C47401D" w14:textId="77777777" w:rsidR="00780F93" w:rsidRDefault="00780F93" w:rsidP="00780F93">
      <w:pPr>
        <w:jc w:val="both"/>
      </w:pPr>
    </w:p>
    <w:p w14:paraId="54739BA9" w14:textId="77777777" w:rsidR="00780F93" w:rsidRDefault="00780F93" w:rsidP="00780F93">
      <w:pPr>
        <w:jc w:val="both"/>
      </w:pPr>
    </w:p>
    <w:p w14:paraId="7227776F" w14:textId="77777777" w:rsidR="00780F93" w:rsidRDefault="00780F93" w:rsidP="00780F93">
      <w:pPr>
        <w:jc w:val="both"/>
      </w:pPr>
    </w:p>
    <w:p w14:paraId="6F1DE3BE" w14:textId="77777777" w:rsidR="00780F93" w:rsidRDefault="00780F93" w:rsidP="00780F93">
      <w:pPr>
        <w:jc w:val="both"/>
      </w:pPr>
    </w:p>
    <w:p w14:paraId="68B6EB21" w14:textId="77777777" w:rsidR="00780F93" w:rsidRDefault="00780F93" w:rsidP="00780F93">
      <w:pPr>
        <w:jc w:val="both"/>
      </w:pPr>
    </w:p>
    <w:p w14:paraId="4C673B9C" w14:textId="77777777" w:rsidR="00780F93" w:rsidRDefault="00780F93" w:rsidP="00780F93">
      <w:pPr>
        <w:jc w:val="both"/>
      </w:pPr>
    </w:p>
    <w:p w14:paraId="2F66BBB8" w14:textId="123D86E4" w:rsidR="00780F93" w:rsidRDefault="00780F93" w:rsidP="00780F93">
      <w:pPr>
        <w:pStyle w:val="berschrift2"/>
      </w:pPr>
      <w:bookmarkStart w:id="7" w:name="_Toc127861330"/>
      <w:r>
        <w:t xml:space="preserve">3.3 </w:t>
      </w:r>
      <w:r>
        <w:t>Sub group cost of debt</w:t>
      </w:r>
      <w:bookmarkEnd w:id="7"/>
    </w:p>
    <w:p w14:paraId="133C58D7" w14:textId="77777777" w:rsidR="00780F93" w:rsidRDefault="00780F93" w:rsidP="00780F93">
      <w:pPr>
        <w:jc w:val="both"/>
      </w:pPr>
    </w:p>
    <w:p w14:paraId="0D28DF2A" w14:textId="77777777" w:rsidR="00780F93" w:rsidRDefault="00780F93" w:rsidP="00780F93">
      <w:pPr>
        <w:jc w:val="center"/>
      </w:pPr>
      <w:r w:rsidRPr="00E2737E">
        <w:rPr>
          <w:noProof/>
        </w:rPr>
        <w:drawing>
          <wp:inline distT="0" distB="0" distL="0" distR="0" wp14:anchorId="622DE373" wp14:editId="157BAF03">
            <wp:extent cx="4508500" cy="3441700"/>
            <wp:effectExtent l="0" t="0" r="6350" b="635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t="3056" r="20874" b="21667"/>
                    <a:stretch/>
                  </pic:blipFill>
                  <pic:spPr bwMode="auto">
                    <a:xfrm>
                      <a:off x="0" y="0"/>
                      <a:ext cx="4508500" cy="3441700"/>
                    </a:xfrm>
                    <a:prstGeom prst="rect">
                      <a:avLst/>
                    </a:prstGeom>
                    <a:noFill/>
                    <a:ln>
                      <a:noFill/>
                    </a:ln>
                    <a:extLst>
                      <a:ext uri="{53640926-AAD7-44D8-BBD7-CCE9431645EC}">
                        <a14:shadowObscured xmlns:a14="http://schemas.microsoft.com/office/drawing/2010/main"/>
                      </a:ext>
                    </a:extLst>
                  </pic:spPr>
                </pic:pic>
              </a:graphicData>
            </a:graphic>
          </wp:inline>
        </w:drawing>
      </w:r>
    </w:p>
    <w:p w14:paraId="7406046E" w14:textId="77777777" w:rsidR="00780F93" w:rsidRPr="00B14CA1" w:rsidRDefault="00780F93" w:rsidP="00780F93">
      <w:pPr>
        <w:jc w:val="center"/>
      </w:pPr>
      <w:r w:rsidRPr="00B14CA1">
        <w:rPr>
          <w:b/>
        </w:rPr>
        <w:t xml:space="preserve">Figure A-3: </w:t>
      </w:r>
      <w:r w:rsidRPr="00B14CA1">
        <w:t>Funnel plot for sub-group cost of debt</w:t>
      </w:r>
    </w:p>
    <w:p w14:paraId="25E4D651" w14:textId="77777777" w:rsidR="00780F93" w:rsidRDefault="00780F93" w:rsidP="00780F93">
      <w:pPr>
        <w:jc w:val="both"/>
      </w:pPr>
    </w:p>
    <w:p w14:paraId="56FE99B2" w14:textId="77777777" w:rsidR="00780F93" w:rsidRDefault="00780F93" w:rsidP="00780F93">
      <w:pPr>
        <w:jc w:val="both"/>
      </w:pPr>
      <w:r w:rsidRPr="00E2737E">
        <w:t>Rank Correlation Test for Funnel Plot Asymmetry</w:t>
      </w:r>
      <w:r>
        <w:t xml:space="preserve">: </w:t>
      </w:r>
      <w:r w:rsidRPr="00E2737E">
        <w:t>Kendall's tau = 0.0239, p = 0.9261</w:t>
      </w:r>
    </w:p>
    <w:p w14:paraId="005B2B51" w14:textId="77777777" w:rsidR="00780F93" w:rsidRPr="00E2737E" w:rsidRDefault="00780F93" w:rsidP="00780F93">
      <w:pPr>
        <w:jc w:val="both"/>
      </w:pPr>
      <w:r w:rsidRPr="00E2737E">
        <w:t>Regression Test for Funnel Plot Asymmetry</w:t>
      </w:r>
    </w:p>
    <w:p w14:paraId="44997A3F" w14:textId="77777777" w:rsidR="00780F93" w:rsidRPr="00E2737E" w:rsidRDefault="00780F93" w:rsidP="00780F93">
      <w:pPr>
        <w:ind w:firstLine="708"/>
        <w:jc w:val="both"/>
      </w:pPr>
      <w:r w:rsidRPr="00E2737E">
        <w:t>Model:     mixed-effects meta-regression model</w:t>
      </w:r>
      <w:r>
        <w:t xml:space="preserve">, </w:t>
      </w:r>
      <w:r w:rsidRPr="00E2737E">
        <w:t>Predictor: standard error</w:t>
      </w:r>
    </w:p>
    <w:p w14:paraId="4EF3A917" w14:textId="77777777" w:rsidR="00780F93" w:rsidRPr="00E2737E" w:rsidRDefault="00780F93" w:rsidP="00780F93">
      <w:pPr>
        <w:ind w:firstLine="708"/>
        <w:jc w:val="both"/>
      </w:pPr>
      <w:r w:rsidRPr="00E2737E">
        <w:t>Test for Funnel Plot Asymmetry: z = -0.8419, p = 0.3999</w:t>
      </w:r>
    </w:p>
    <w:p w14:paraId="74AAB649" w14:textId="77777777" w:rsidR="00780F93" w:rsidRDefault="00780F93" w:rsidP="00780F93">
      <w:pPr>
        <w:ind w:firstLine="708"/>
        <w:jc w:val="both"/>
      </w:pPr>
      <w:r w:rsidRPr="00E2737E">
        <w:t>Limit Estimate (as sei -&gt; 0):   b = 0.1196 (CI: -0.0875, 0.3266)</w:t>
      </w:r>
    </w:p>
    <w:p w14:paraId="5420140A" w14:textId="77777777" w:rsidR="00780F93" w:rsidRDefault="00780F93" w:rsidP="00780F93">
      <w:pPr>
        <w:jc w:val="both"/>
      </w:pPr>
    </w:p>
    <w:p w14:paraId="6DADB7D8" w14:textId="77777777" w:rsidR="00780F93" w:rsidRDefault="00780F93" w:rsidP="00780F93">
      <w:pPr>
        <w:jc w:val="both"/>
      </w:pPr>
    </w:p>
    <w:p w14:paraId="3C72CF1B" w14:textId="77777777" w:rsidR="00780F93" w:rsidRDefault="00780F93" w:rsidP="00780F93">
      <w:pPr>
        <w:rPr>
          <w:rFonts w:asciiTheme="majorHAnsi" w:eastAsiaTheme="majorEastAsia" w:hAnsiTheme="majorHAnsi" w:cstheme="majorBidi"/>
          <w:color w:val="2F5496" w:themeColor="accent1" w:themeShade="BF"/>
          <w:sz w:val="26"/>
          <w:szCs w:val="26"/>
        </w:rPr>
      </w:pPr>
      <w:r>
        <w:br w:type="page"/>
      </w:r>
    </w:p>
    <w:p w14:paraId="1B801F8B" w14:textId="4A4088C6" w:rsidR="00780F93" w:rsidRDefault="00780F93" w:rsidP="00780F93">
      <w:pPr>
        <w:pStyle w:val="berschrift2"/>
      </w:pPr>
      <w:bookmarkStart w:id="8" w:name="_Toc127861331"/>
      <w:r>
        <w:lastRenderedPageBreak/>
        <w:t xml:space="preserve">3.4 </w:t>
      </w:r>
      <w:r>
        <w:t>Sub group accounting returns</w:t>
      </w:r>
      <w:bookmarkEnd w:id="8"/>
    </w:p>
    <w:p w14:paraId="1D46DE15" w14:textId="77777777" w:rsidR="00780F93" w:rsidRDefault="00780F93" w:rsidP="00780F93">
      <w:pPr>
        <w:jc w:val="both"/>
      </w:pPr>
    </w:p>
    <w:p w14:paraId="42C28327" w14:textId="77777777" w:rsidR="00780F93" w:rsidRDefault="00780F93" w:rsidP="00780F93">
      <w:pPr>
        <w:jc w:val="center"/>
      </w:pPr>
      <w:r w:rsidRPr="002C77E6">
        <w:rPr>
          <w:noProof/>
        </w:rPr>
        <w:drawing>
          <wp:inline distT="0" distB="0" distL="0" distR="0" wp14:anchorId="44F5BFB6" wp14:editId="22C876BF">
            <wp:extent cx="4425950" cy="34163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t="3611" r="22323" b="21667"/>
                    <a:stretch/>
                  </pic:blipFill>
                  <pic:spPr bwMode="auto">
                    <a:xfrm>
                      <a:off x="0" y="0"/>
                      <a:ext cx="4425950" cy="3416300"/>
                    </a:xfrm>
                    <a:prstGeom prst="rect">
                      <a:avLst/>
                    </a:prstGeom>
                    <a:noFill/>
                    <a:ln>
                      <a:noFill/>
                    </a:ln>
                    <a:extLst>
                      <a:ext uri="{53640926-AAD7-44D8-BBD7-CCE9431645EC}">
                        <a14:shadowObscured xmlns:a14="http://schemas.microsoft.com/office/drawing/2010/main"/>
                      </a:ext>
                    </a:extLst>
                  </pic:spPr>
                </pic:pic>
              </a:graphicData>
            </a:graphic>
          </wp:inline>
        </w:drawing>
      </w:r>
    </w:p>
    <w:p w14:paraId="3B2E397F" w14:textId="77777777" w:rsidR="00780F93" w:rsidRPr="00B14CA1" w:rsidRDefault="00780F93" w:rsidP="00780F93">
      <w:pPr>
        <w:jc w:val="center"/>
      </w:pPr>
      <w:r w:rsidRPr="00B14CA1">
        <w:rPr>
          <w:b/>
        </w:rPr>
        <w:t xml:space="preserve">Figure A-4: </w:t>
      </w:r>
      <w:r w:rsidRPr="00B14CA1">
        <w:t>Funnel plot for sub-group accounting returns</w:t>
      </w:r>
    </w:p>
    <w:p w14:paraId="77609E2A" w14:textId="77777777" w:rsidR="00780F93" w:rsidRDefault="00780F93" w:rsidP="00780F93">
      <w:pPr>
        <w:jc w:val="both"/>
      </w:pPr>
    </w:p>
    <w:p w14:paraId="50A0BA14" w14:textId="77777777" w:rsidR="00780F93" w:rsidRDefault="00780F93" w:rsidP="00780F93">
      <w:pPr>
        <w:jc w:val="both"/>
      </w:pPr>
      <w:r w:rsidRPr="002C77E6">
        <w:t>Rank Correlation Test for Funnel Plot Asymmetry</w:t>
      </w:r>
      <w:r>
        <w:t xml:space="preserve">: </w:t>
      </w:r>
      <w:r w:rsidRPr="002C77E6">
        <w:t>Kendall's tau = 0.0857, p = 0.4362</w:t>
      </w:r>
    </w:p>
    <w:p w14:paraId="410F5ED1" w14:textId="77777777" w:rsidR="00780F93" w:rsidRDefault="00780F93" w:rsidP="00780F93">
      <w:pPr>
        <w:jc w:val="both"/>
      </w:pPr>
    </w:p>
    <w:p w14:paraId="05B551B2" w14:textId="77777777" w:rsidR="00780F93" w:rsidRPr="002C77E6" w:rsidRDefault="00780F93" w:rsidP="00780F93">
      <w:pPr>
        <w:jc w:val="both"/>
      </w:pPr>
      <w:r w:rsidRPr="002C77E6">
        <w:t>Regression Test for Funnel Plot Asymmetry</w:t>
      </w:r>
    </w:p>
    <w:p w14:paraId="180BBE02" w14:textId="77777777" w:rsidR="00780F93" w:rsidRPr="002C77E6" w:rsidRDefault="00780F93" w:rsidP="00780F93">
      <w:pPr>
        <w:ind w:firstLine="708"/>
        <w:jc w:val="both"/>
      </w:pPr>
      <w:r w:rsidRPr="002C77E6">
        <w:t>Model:     mixed-effects meta-regression model</w:t>
      </w:r>
      <w:r>
        <w:t xml:space="preserve">, </w:t>
      </w:r>
      <w:r w:rsidRPr="002C77E6">
        <w:t>Predictor: standard error</w:t>
      </w:r>
    </w:p>
    <w:p w14:paraId="158509E0" w14:textId="77777777" w:rsidR="00780F93" w:rsidRPr="002C77E6" w:rsidRDefault="00780F93" w:rsidP="00780F93">
      <w:pPr>
        <w:ind w:firstLine="708"/>
        <w:jc w:val="both"/>
      </w:pPr>
      <w:r w:rsidRPr="002C77E6">
        <w:t>Test for Funnel Plot Asymmetry: z = 1.2184, p = 0.2231</w:t>
      </w:r>
    </w:p>
    <w:p w14:paraId="2BD8A43A" w14:textId="77777777" w:rsidR="00780F93" w:rsidRDefault="00780F93" w:rsidP="00780F93">
      <w:pPr>
        <w:ind w:firstLine="708"/>
        <w:jc w:val="both"/>
      </w:pPr>
      <w:r w:rsidRPr="002C77E6">
        <w:t>Limit Estimate (as sei -&gt; 0):   b = 0.0420 (CI: -0.1586, 0.2427)</w:t>
      </w:r>
    </w:p>
    <w:p w14:paraId="31211458" w14:textId="77777777" w:rsidR="00780F93" w:rsidRDefault="00780F93" w:rsidP="00780F93">
      <w:pPr>
        <w:jc w:val="both"/>
      </w:pPr>
    </w:p>
    <w:p w14:paraId="5D16548D" w14:textId="77777777" w:rsidR="00780F93" w:rsidRDefault="00780F93" w:rsidP="00780F93">
      <w:pPr>
        <w:jc w:val="both"/>
      </w:pPr>
    </w:p>
    <w:p w14:paraId="3CB6843B" w14:textId="77777777" w:rsidR="00780F93" w:rsidRDefault="00780F93" w:rsidP="00780F93">
      <w:pPr>
        <w:jc w:val="both"/>
      </w:pPr>
    </w:p>
    <w:p w14:paraId="40FBB190" w14:textId="77777777" w:rsidR="00780F93" w:rsidRDefault="00780F93" w:rsidP="00780F93">
      <w:r>
        <w:br w:type="page"/>
      </w:r>
    </w:p>
    <w:p w14:paraId="12D7AAE5" w14:textId="77777777" w:rsidR="00780F93" w:rsidRPr="001176C5" w:rsidRDefault="00780F93" w:rsidP="00780F93">
      <w:pPr>
        <w:jc w:val="both"/>
      </w:pPr>
    </w:p>
    <w:p w14:paraId="76C3D4E7" w14:textId="77777777" w:rsidR="00780F93" w:rsidRDefault="00780F93" w:rsidP="00780F93">
      <w:pPr>
        <w:pStyle w:val="CitaviBibliographyHeading"/>
      </w:pPr>
      <w:bookmarkStart w:id="9" w:name="_Toc127861332"/>
      <w:r>
        <w:t>References</w:t>
      </w:r>
      <w:bookmarkEnd w:id="9"/>
    </w:p>
    <w:p w14:paraId="51CB8738" w14:textId="77777777" w:rsidR="00780F93" w:rsidRDefault="00780F93" w:rsidP="00780F93">
      <w:pPr>
        <w:pStyle w:val="CitaviBibliographyEntry"/>
      </w:pPr>
      <w:proofErr w:type="spellStart"/>
      <w:r>
        <w:t>Abeysekera</w:t>
      </w:r>
      <w:proofErr w:type="spellEnd"/>
      <w:r>
        <w:t xml:space="preserve"> I (2014) Signalling external capital disclosure in annual reports. Corporate Governance and Control 11:193–202</w:t>
      </w:r>
    </w:p>
    <w:p w14:paraId="080F5F5E" w14:textId="77777777" w:rsidR="00780F93" w:rsidRDefault="00780F93" w:rsidP="00780F93">
      <w:pPr>
        <w:pStyle w:val="CitaviBibliographyEntry"/>
      </w:pPr>
      <w:proofErr w:type="spellStart"/>
      <w:r>
        <w:t>Borenstein</w:t>
      </w:r>
      <w:proofErr w:type="spellEnd"/>
      <w:r>
        <w:t xml:space="preserve"> M, Hedges LV, Higgins JP, Rothstein HR (2009) Introduction to Meta-Analysis. John Wiley &amp; Sons, New York</w:t>
      </w:r>
    </w:p>
    <w:p w14:paraId="50CA3B77" w14:textId="77777777" w:rsidR="00780F93" w:rsidRDefault="00780F93" w:rsidP="00780F93">
      <w:pPr>
        <w:pStyle w:val="CitaviBibliographyEntry"/>
      </w:pPr>
      <w:proofErr w:type="spellStart"/>
      <w:r>
        <w:t>Borenstein</w:t>
      </w:r>
      <w:proofErr w:type="spellEnd"/>
      <w:r>
        <w:t xml:space="preserve"> M, Higgins JPT, Hedges LV, Rothstein HR (2017) Basics of meta-analysis: I2 is not an absolute measure of heterogeneity. Res Synth Methods 8:5–18. </w:t>
      </w:r>
      <w:hyperlink r:id="rId19" w:history="1">
        <w:r w:rsidRPr="00527568">
          <w:rPr>
            <w:rStyle w:val="Hyperlink"/>
          </w:rPr>
          <w:t>https://doi.org/10.1002/jrsm.1230</w:t>
        </w:r>
      </w:hyperlink>
    </w:p>
    <w:p w14:paraId="79582569" w14:textId="77777777" w:rsidR="00780F93" w:rsidRDefault="00780F93" w:rsidP="00780F93">
      <w:pPr>
        <w:pStyle w:val="CitaviBibliographyEntry"/>
      </w:pPr>
      <w:r>
        <w:t xml:space="preserve">Buckley PJ, </w:t>
      </w:r>
      <w:proofErr w:type="spellStart"/>
      <w:r>
        <w:t>Devinney</w:t>
      </w:r>
      <w:proofErr w:type="spellEnd"/>
      <w:r>
        <w:t xml:space="preserve"> TM, Tang RW (2014) Meta-Analytic Research in International Business and International Management. In: Buckley PJ (ed) The Multinational Enterprise and the Emergence of the Global Factory. Palgrave Macmillan UK, London, pp 100–134</w:t>
      </w:r>
    </w:p>
    <w:p w14:paraId="45A01D89" w14:textId="77777777" w:rsidR="00780F93" w:rsidRDefault="00780F93" w:rsidP="00780F93">
      <w:pPr>
        <w:pStyle w:val="CitaviBibliographyEntry"/>
      </w:pPr>
      <w:r>
        <w:t>Clarke M (2009) Reporting Format. In: Cooper HM, Hedges LV, Valentine JC (eds) The handbook of research synthesis and meta-analysis, 2</w:t>
      </w:r>
      <w:r w:rsidRPr="0040497B">
        <w:rPr>
          <w:vertAlign w:val="superscript"/>
        </w:rPr>
        <w:t>nd</w:t>
      </w:r>
      <w:r>
        <w:t xml:space="preserve"> </w:t>
      </w:r>
      <w:proofErr w:type="spellStart"/>
      <w:r>
        <w:t>edn</w:t>
      </w:r>
      <w:proofErr w:type="spellEnd"/>
      <w:r>
        <w:t>. Russell Sage Foundation, New York, pp 521–534</w:t>
      </w:r>
    </w:p>
    <w:p w14:paraId="2A99FC4B" w14:textId="77777777" w:rsidR="00780F93" w:rsidRDefault="00780F93" w:rsidP="00780F93">
      <w:pPr>
        <w:pStyle w:val="CitaviBibliographyEntry"/>
      </w:pPr>
      <w:r>
        <w:t>Cooper HM (2010) Research synthesis and meta-analysis: A step-by-step approach, 4</w:t>
      </w:r>
      <w:r w:rsidRPr="0040497B">
        <w:rPr>
          <w:vertAlign w:val="superscript"/>
        </w:rPr>
        <w:t>th</w:t>
      </w:r>
      <w:r>
        <w:t xml:space="preserve"> </w:t>
      </w:r>
      <w:proofErr w:type="spellStart"/>
      <w:r>
        <w:t>edn</w:t>
      </w:r>
      <w:proofErr w:type="spellEnd"/>
      <w:r>
        <w:t>. Applied social research methods series, v. 2. SAGE, Los Angeles, [Calif.], London</w:t>
      </w:r>
    </w:p>
    <w:p w14:paraId="707095D2" w14:textId="77777777" w:rsidR="00780F93" w:rsidRDefault="00780F93" w:rsidP="00780F93">
      <w:pPr>
        <w:pStyle w:val="CitaviBibliographyEntry"/>
      </w:pPr>
      <w:r>
        <w:t>Cooper HM, Hedges LV, Valentine JC (eds) (2009) The handbook of research synthesis and meta-analysis, 2</w:t>
      </w:r>
      <w:r w:rsidRPr="0040497B">
        <w:rPr>
          <w:vertAlign w:val="superscript"/>
        </w:rPr>
        <w:t>nd</w:t>
      </w:r>
      <w:r>
        <w:t xml:space="preserve"> </w:t>
      </w:r>
      <w:proofErr w:type="spellStart"/>
      <w:r>
        <w:t>edn</w:t>
      </w:r>
      <w:proofErr w:type="spellEnd"/>
      <w:r>
        <w:t>. Russell Sage Foundation, New York</w:t>
      </w:r>
    </w:p>
    <w:p w14:paraId="2A308B8E" w14:textId="77777777" w:rsidR="00780F93" w:rsidRPr="00C2225F" w:rsidRDefault="00780F93" w:rsidP="00780F93">
      <w:pPr>
        <w:pStyle w:val="CitaviBibliographyEntry"/>
      </w:pPr>
      <w:bookmarkStart w:id="10" w:name="_CTVL001f1689d1b95df4e678109c061ca40d509"/>
      <w:bookmarkStart w:id="11" w:name="_CTVL001b3ffe76a8f7440ed9c716c5e19f95e74"/>
      <w:r w:rsidRPr="00C2225F">
        <w:t>Cumming G (2011) Understanding the new statistics: Effect sizes, confidence intervals, and meta-analysis. Routledge, New York</w:t>
      </w:r>
    </w:p>
    <w:p w14:paraId="2366A094" w14:textId="77777777" w:rsidR="00780F93" w:rsidRPr="00C2225F" w:rsidRDefault="00780F93" w:rsidP="00780F93">
      <w:pPr>
        <w:pStyle w:val="CitaviBibliographyEntry"/>
      </w:pPr>
      <w:bookmarkStart w:id="12" w:name="_CTVL0015e5f3a311fba4ca499074f78ba53c287"/>
      <w:bookmarkEnd w:id="10"/>
      <w:r w:rsidRPr="00C2225F">
        <w:t>Cumming G, Calin-</w:t>
      </w:r>
      <w:proofErr w:type="spellStart"/>
      <w:r w:rsidRPr="00C2225F">
        <w:t>Jageman</w:t>
      </w:r>
      <w:proofErr w:type="spellEnd"/>
      <w:r w:rsidRPr="00C2225F">
        <w:t xml:space="preserve"> R (2016) Introduction to the new statistics: Estimation, open science, &amp; beyond. Routledge</w:t>
      </w:r>
      <w:r>
        <w:t>, New York.</w:t>
      </w:r>
    </w:p>
    <w:bookmarkEnd w:id="12"/>
    <w:p w14:paraId="332B0703" w14:textId="77777777" w:rsidR="00780F93" w:rsidRDefault="00780F93" w:rsidP="00780F93">
      <w:pPr>
        <w:pStyle w:val="CitaviBibliographyEntry"/>
      </w:pPr>
      <w:r>
        <w:t>Ellis PD (2010) The Essential Guide to Effect Sizes: Statistical Power, Meta-Analysis, and the Interpretation of Research Results. Cambridge University Press, Cambridge et.al</w:t>
      </w:r>
    </w:p>
    <w:bookmarkEnd w:id="11"/>
    <w:p w14:paraId="14B8CF3D" w14:textId="77777777" w:rsidR="00780F93" w:rsidRDefault="00780F93" w:rsidP="00780F93">
      <w:pPr>
        <w:pStyle w:val="CitaviBibliographyEntry"/>
      </w:pPr>
      <w:proofErr w:type="spellStart"/>
      <w:r>
        <w:t>Endrikat</w:t>
      </w:r>
      <w:proofErr w:type="spellEnd"/>
      <w:r>
        <w:t xml:space="preserve"> J, Guenther TW, Titus R (2019) Consequences of Strategic Performance Measurement Systems: A Meta-Analytic Review. Journal of Management Accounting Research. </w:t>
      </w:r>
      <w:hyperlink r:id="rId20" w:history="1">
        <w:r w:rsidRPr="00527568">
          <w:rPr>
            <w:rStyle w:val="Hyperlink"/>
          </w:rPr>
          <w:t>https://doi.org/10.2308/jmar-52575</w:t>
        </w:r>
      </w:hyperlink>
    </w:p>
    <w:p w14:paraId="10F32623" w14:textId="77777777" w:rsidR="00780F93" w:rsidRDefault="00780F93" w:rsidP="00780F93">
      <w:pPr>
        <w:pStyle w:val="CitaviBibliographyEntry"/>
      </w:pPr>
      <w:bookmarkStart w:id="13" w:name="_CTVL00171919a57713b4206a3ca31544e3cf1fa"/>
      <w:r>
        <w:t xml:space="preserve">Fanelli D, Ioannidis JP (2013) US studies may overestimate effect sizes in softer research. Proceedings of the National Academy of Sciences 110:15031–15036. </w:t>
      </w:r>
      <w:hyperlink r:id="rId21" w:history="1">
        <w:r w:rsidRPr="00527568">
          <w:rPr>
            <w:rStyle w:val="Hyperlink"/>
          </w:rPr>
          <w:t>https://doi.org/10.1073/pnas.1302997110</w:t>
        </w:r>
      </w:hyperlink>
    </w:p>
    <w:p w14:paraId="5B0AD16C" w14:textId="77777777" w:rsidR="00780F93" w:rsidRPr="00C2225F" w:rsidRDefault="00780F93" w:rsidP="00780F93">
      <w:pPr>
        <w:pStyle w:val="CitaviBibliographyEntry"/>
      </w:pPr>
      <w:bookmarkStart w:id="14" w:name="_CTVL001026983f621af4c79b6f865f6e4b88d0f"/>
      <w:bookmarkStart w:id="15" w:name="_CTVL001569761b8d3534a38a4e383ff3c4d86f3"/>
      <w:bookmarkEnd w:id="13"/>
      <w:r w:rsidRPr="00C2225F">
        <w:t xml:space="preserve">Gelman A, Hill J, </w:t>
      </w:r>
      <w:proofErr w:type="spellStart"/>
      <w:r w:rsidRPr="00C2225F">
        <w:t>Vehtari</w:t>
      </w:r>
      <w:proofErr w:type="spellEnd"/>
      <w:r w:rsidRPr="00C2225F">
        <w:t xml:space="preserve"> A (2021) Regression and other stories. Analytical methods for social research. Cambridge University Press, Cambridge, New York, NY, Port Melbourne, VIC, New Delhi, Singapore</w:t>
      </w:r>
    </w:p>
    <w:bookmarkEnd w:id="14"/>
    <w:p w14:paraId="49110BBA" w14:textId="77777777" w:rsidR="00780F93" w:rsidRDefault="00780F93" w:rsidP="00780F93">
      <w:pPr>
        <w:pStyle w:val="CitaviBibliographyEntry"/>
      </w:pPr>
      <w:proofErr w:type="spellStart"/>
      <w:r>
        <w:t>Havránek</w:t>
      </w:r>
      <w:proofErr w:type="spellEnd"/>
      <w:r>
        <w:t xml:space="preserve"> T, Stanley TD, </w:t>
      </w:r>
      <w:proofErr w:type="spellStart"/>
      <w:r>
        <w:t>Doucouliagos</w:t>
      </w:r>
      <w:proofErr w:type="spellEnd"/>
      <w:r>
        <w:t xml:space="preserve"> H, Bom P, Geyer‐</w:t>
      </w:r>
      <w:proofErr w:type="spellStart"/>
      <w:r>
        <w:t>Klingeberg</w:t>
      </w:r>
      <w:proofErr w:type="spellEnd"/>
      <w:r>
        <w:t xml:space="preserve"> J, Iwasaki I, Reed WR, </w:t>
      </w:r>
      <w:proofErr w:type="spellStart"/>
      <w:r>
        <w:t>Rost</w:t>
      </w:r>
      <w:proofErr w:type="spellEnd"/>
      <w:r>
        <w:t xml:space="preserve"> K, </w:t>
      </w:r>
      <w:proofErr w:type="spellStart"/>
      <w:r>
        <w:t>Aert</w:t>
      </w:r>
      <w:proofErr w:type="spellEnd"/>
      <w:r>
        <w:t xml:space="preserve"> RCM (2020) REPORTING GUIDELINES FOR META‐ANALYSIS IN ECONOMICS. Journal of Economic Surveys. </w:t>
      </w:r>
      <w:hyperlink r:id="rId22" w:history="1">
        <w:r w:rsidRPr="00527568">
          <w:rPr>
            <w:rStyle w:val="Hyperlink"/>
          </w:rPr>
          <w:t>https://doi.org/10.1111/joes.12363</w:t>
        </w:r>
      </w:hyperlink>
    </w:p>
    <w:p w14:paraId="2DFBC333" w14:textId="77777777" w:rsidR="00780F93" w:rsidRDefault="00780F93" w:rsidP="00780F93">
      <w:pPr>
        <w:pStyle w:val="CitaviBibliographyEntry"/>
      </w:pPr>
      <w:bookmarkStart w:id="16" w:name="_CTVL001378a5109cb12415aa1d30b54906254b6"/>
      <w:bookmarkEnd w:id="15"/>
      <w:r>
        <w:t xml:space="preserve">Ioannidis JP (2005) Why most published research findings are false. </w:t>
      </w:r>
      <w:proofErr w:type="spellStart"/>
      <w:r>
        <w:t>PLoS</w:t>
      </w:r>
      <w:proofErr w:type="spellEnd"/>
      <w:r>
        <w:t xml:space="preserve"> Medicine </w:t>
      </w:r>
      <w:proofErr w:type="gramStart"/>
      <w:r>
        <w:t>2:e</w:t>
      </w:r>
      <w:proofErr w:type="gramEnd"/>
      <w:r>
        <w:t xml:space="preserve">124. </w:t>
      </w:r>
      <w:hyperlink r:id="rId23" w:history="1">
        <w:r w:rsidRPr="00527568">
          <w:rPr>
            <w:rStyle w:val="Hyperlink"/>
          </w:rPr>
          <w:t>https://doi.org/10.1371/journal.pmed.0020124</w:t>
        </w:r>
      </w:hyperlink>
    </w:p>
    <w:p w14:paraId="2E7C5332" w14:textId="77777777" w:rsidR="00780F93" w:rsidRDefault="00780F93" w:rsidP="00780F93">
      <w:pPr>
        <w:pStyle w:val="CitaviBibliographyEntry"/>
      </w:pPr>
      <w:bookmarkStart w:id="17" w:name="_CTVL001b06699667c644c70ab7c3d05d3eeabc5"/>
      <w:bookmarkEnd w:id="16"/>
      <w:r>
        <w:t xml:space="preserve">Kelter R (2020) Analysis of Bayesian posterior significance and effect size indices for the two-sample t-test to support reproducible medical research. BMC Med Res </w:t>
      </w:r>
      <w:proofErr w:type="spellStart"/>
      <w:r>
        <w:t>Methodol</w:t>
      </w:r>
      <w:proofErr w:type="spellEnd"/>
      <w:r>
        <w:t xml:space="preserve"> 20:88. </w:t>
      </w:r>
      <w:hyperlink r:id="rId24" w:history="1">
        <w:r w:rsidRPr="00527568">
          <w:rPr>
            <w:rStyle w:val="Hyperlink"/>
          </w:rPr>
          <w:t>https://doi.org/10.1186/s12874-020-00968-2</w:t>
        </w:r>
      </w:hyperlink>
    </w:p>
    <w:p w14:paraId="72906C91" w14:textId="77777777" w:rsidR="00780F93" w:rsidRDefault="00780F93" w:rsidP="00780F93">
      <w:pPr>
        <w:pStyle w:val="CitaviBibliographyEntry"/>
      </w:pPr>
      <w:bookmarkStart w:id="18" w:name="_CTVL00192de3592e22543ffac46a88d16002f0f"/>
      <w:bookmarkEnd w:id="17"/>
      <w:proofErr w:type="spellStart"/>
      <w:r>
        <w:t>Kirca</w:t>
      </w:r>
      <w:proofErr w:type="spellEnd"/>
      <w:r>
        <w:t xml:space="preserve"> AH, </w:t>
      </w:r>
      <w:proofErr w:type="spellStart"/>
      <w:r>
        <w:t>Yaprak</w:t>
      </w:r>
      <w:proofErr w:type="spellEnd"/>
      <w:r>
        <w:t xml:space="preserve"> A (2010) The use of meta-analysis in international business research: Its current status and suggestions for better practice. International Business Review 19:306–314. </w:t>
      </w:r>
      <w:hyperlink r:id="rId25" w:history="1">
        <w:r w:rsidRPr="00527568">
          <w:rPr>
            <w:rStyle w:val="Hyperlink"/>
          </w:rPr>
          <w:t>https://doi.org/10.1016/j.ibusrev.2010.01.001</w:t>
        </w:r>
      </w:hyperlink>
    </w:p>
    <w:p w14:paraId="29A1FADA" w14:textId="77777777" w:rsidR="00780F93" w:rsidRDefault="00780F93" w:rsidP="00780F93">
      <w:pPr>
        <w:pStyle w:val="CitaviBibliographyEntry"/>
      </w:pPr>
      <w:bookmarkStart w:id="19" w:name="_CTVL00163819f8e067c49cba5cb4482e675369b"/>
      <w:bookmarkEnd w:id="18"/>
      <w:r>
        <w:lastRenderedPageBreak/>
        <w:t xml:space="preserve">Kline RB (2013) Beyond significance testing: Statistics reform in the </w:t>
      </w:r>
      <w:proofErr w:type="spellStart"/>
      <w:r>
        <w:t>behavioral</w:t>
      </w:r>
      <w:proofErr w:type="spellEnd"/>
      <w:r>
        <w:t xml:space="preserve"> sciences (2</w:t>
      </w:r>
      <w:r w:rsidRPr="0040497B">
        <w:rPr>
          <w:vertAlign w:val="superscript"/>
        </w:rPr>
        <w:t>nd</w:t>
      </w:r>
      <w:r>
        <w:t xml:space="preserve"> ed.). American Psychological Association, Washington</w:t>
      </w:r>
    </w:p>
    <w:p w14:paraId="4621408E" w14:textId="77777777" w:rsidR="00780F93" w:rsidRDefault="00780F93" w:rsidP="00780F93">
      <w:pPr>
        <w:pStyle w:val="CitaviBibliographyEntry"/>
      </w:pPr>
      <w:bookmarkStart w:id="20" w:name="_CTVL001cb8182667e07451f9dd2b7c7a3c60a90"/>
      <w:bookmarkEnd w:id="19"/>
      <w:proofErr w:type="spellStart"/>
      <w:r>
        <w:t>Kruschke</w:t>
      </w:r>
      <w:proofErr w:type="spellEnd"/>
      <w:r>
        <w:t xml:space="preserve"> JK (2015) Doing Bayesian data analysis: A tutorial with R JAGS and Stan, 2</w:t>
      </w:r>
      <w:r w:rsidRPr="0040497B">
        <w:rPr>
          <w:vertAlign w:val="superscript"/>
        </w:rPr>
        <w:t>nd</w:t>
      </w:r>
      <w:r>
        <w:t xml:space="preserve"> </w:t>
      </w:r>
      <w:proofErr w:type="spellStart"/>
      <w:r>
        <w:t>edn</w:t>
      </w:r>
      <w:proofErr w:type="spellEnd"/>
      <w:r>
        <w:t>. AP Academic Press/Elsevier, Amsterdam</w:t>
      </w:r>
    </w:p>
    <w:p w14:paraId="04B66CBE" w14:textId="77777777" w:rsidR="00780F93" w:rsidRDefault="00780F93" w:rsidP="00780F93">
      <w:pPr>
        <w:pStyle w:val="CitaviBibliographyEntry"/>
      </w:pPr>
      <w:bookmarkStart w:id="21" w:name="_CTVL0010a8a430ec08d429f966794b595ae9485"/>
      <w:bookmarkEnd w:id="20"/>
      <w:proofErr w:type="spellStart"/>
      <w:r>
        <w:t>Kruschke</w:t>
      </w:r>
      <w:proofErr w:type="spellEnd"/>
      <w:r>
        <w:t xml:space="preserve"> JK, Liddell TM (2018) The Bayesian New Statistics: Hypothesis testing, estimation, meta-analysis, and power analysis from a Bayesian perspective. Psychonomic Bulletin &amp; Review 25:178–206. </w:t>
      </w:r>
      <w:hyperlink r:id="rId26" w:history="1">
        <w:r w:rsidRPr="00527568">
          <w:rPr>
            <w:rStyle w:val="Hyperlink"/>
          </w:rPr>
          <w:t>https://doi.org/10.3758/s13423-016-1221-4</w:t>
        </w:r>
      </w:hyperlink>
    </w:p>
    <w:bookmarkEnd w:id="21"/>
    <w:p w14:paraId="657670BD" w14:textId="77777777" w:rsidR="00780F93" w:rsidRDefault="00780F93" w:rsidP="00780F93">
      <w:pPr>
        <w:pStyle w:val="CitaviBibliographyEntry"/>
      </w:pPr>
      <w:r>
        <w:t>Lev B (2001) Intangibles: Management, Measurement, and Reporting. Brooking Institution Press, Washington D.C</w:t>
      </w:r>
    </w:p>
    <w:p w14:paraId="0BCFF9F3" w14:textId="77777777" w:rsidR="00780F93" w:rsidRDefault="00780F93" w:rsidP="00780F93">
      <w:pPr>
        <w:pStyle w:val="CitaviBibliographyEntry"/>
      </w:pPr>
      <w:r>
        <w:t xml:space="preserve">Li J, Mangena M (2014) Capital market pressures and the format of intellectual capital disclosure in intellectual </w:t>
      </w:r>
      <w:proofErr w:type="gramStart"/>
      <w:r>
        <w:t>capital intensive</w:t>
      </w:r>
      <w:proofErr w:type="gramEnd"/>
      <w:r>
        <w:t xml:space="preserve"> firms. Journal of Applied Accounting Research 15:339–354. </w:t>
      </w:r>
      <w:hyperlink r:id="rId27" w:history="1">
        <w:r w:rsidRPr="00527568">
          <w:rPr>
            <w:rStyle w:val="Hyperlink"/>
          </w:rPr>
          <w:t>https://doi.org/10.1108/JAAR-12-2013-0117</w:t>
        </w:r>
      </w:hyperlink>
    </w:p>
    <w:p w14:paraId="44B49959" w14:textId="77777777" w:rsidR="00780F93" w:rsidRPr="00C2225F" w:rsidRDefault="00780F93" w:rsidP="00780F93">
      <w:pPr>
        <w:pStyle w:val="CitaviBibliographyEntry"/>
      </w:pPr>
      <w:bookmarkStart w:id="22" w:name="_CTVL001c30378f57f78468390df873f0cb1437c"/>
      <w:proofErr w:type="spellStart"/>
      <w:r w:rsidRPr="00C2225F">
        <w:t>McBee</w:t>
      </w:r>
      <w:proofErr w:type="spellEnd"/>
      <w:r w:rsidRPr="00C2225F">
        <w:t xml:space="preserve"> M (2022) Statistical approaches to causal analysis. SAGE, Los Angeles, London, New Delhi, Singapore, Washington DC, Melbourn</w:t>
      </w:r>
      <w:bookmarkEnd w:id="22"/>
      <w:r w:rsidRPr="00C2225F">
        <w:t>e</w:t>
      </w:r>
    </w:p>
    <w:p w14:paraId="5F6BBC67" w14:textId="77777777" w:rsidR="00780F93" w:rsidRDefault="00780F93" w:rsidP="00780F93">
      <w:pPr>
        <w:pStyle w:val="CitaviBibliographyEntry"/>
      </w:pPr>
      <w:proofErr w:type="spellStart"/>
      <w:r>
        <w:t>Roever</w:t>
      </w:r>
      <w:proofErr w:type="spellEnd"/>
      <w:r>
        <w:t xml:space="preserve"> C (2020) Bayesian random-effects meta-analysis using the </w:t>
      </w:r>
      <w:proofErr w:type="spellStart"/>
      <w:r>
        <w:t>bayesmeta</w:t>
      </w:r>
      <w:proofErr w:type="spellEnd"/>
      <w:r>
        <w:t xml:space="preserve"> R package. Journal of Statistical Software 93:1–51</w:t>
      </w:r>
    </w:p>
    <w:p w14:paraId="4327A9CA" w14:textId="77777777" w:rsidR="00780F93" w:rsidRDefault="00780F93" w:rsidP="00780F93">
      <w:pPr>
        <w:pStyle w:val="CitaviBibliographyEntry"/>
      </w:pPr>
      <w:r>
        <w:t xml:space="preserve">Schmidt FL, Hunter JE (2014) Methods of meta-analysis: Correcting error and bias in research findings. SAGE Publications, Los Angeles. </w:t>
      </w:r>
    </w:p>
    <w:p w14:paraId="63A97336" w14:textId="77777777" w:rsidR="00780F93" w:rsidRDefault="00780F93" w:rsidP="00780F93">
      <w:pPr>
        <w:pStyle w:val="CitaviBibliographyEntry"/>
      </w:pPr>
      <w:bookmarkStart w:id="23" w:name="_CTVL0014ac23f2ad734408f95339e48f2bdca2f"/>
      <w:proofErr w:type="spellStart"/>
      <w:r>
        <w:t>Shadish</w:t>
      </w:r>
      <w:proofErr w:type="spellEnd"/>
      <w:r>
        <w:t xml:space="preserve"> WR, Haddock CK (2009) Combining Estimates of Effect Size. In: Cooper HM, Hedges LV, Valentine JC (eds) The handbook of research synthesis and meta-analysis, 2</w:t>
      </w:r>
      <w:r w:rsidRPr="0040497B">
        <w:rPr>
          <w:vertAlign w:val="superscript"/>
        </w:rPr>
        <w:t>nd</w:t>
      </w:r>
      <w:r>
        <w:t xml:space="preserve"> </w:t>
      </w:r>
      <w:proofErr w:type="spellStart"/>
      <w:r>
        <w:t>edn</w:t>
      </w:r>
      <w:proofErr w:type="spellEnd"/>
      <w:r>
        <w:t>. Russell Sage Foundation, New York, pp 257–277</w:t>
      </w:r>
    </w:p>
    <w:p w14:paraId="76B5CDBC" w14:textId="77777777" w:rsidR="00780F93" w:rsidRDefault="00780F93" w:rsidP="00780F93">
      <w:pPr>
        <w:pStyle w:val="CitaviBibliographyEntry"/>
      </w:pPr>
      <w:bookmarkStart w:id="24" w:name="_CTVL001c55ef7f762134a15a8a951fd3a67160d"/>
      <w:bookmarkEnd w:id="23"/>
      <w:r>
        <w:t xml:space="preserve">Stanley TD, </w:t>
      </w:r>
      <w:proofErr w:type="spellStart"/>
      <w:r>
        <w:t>Doucouliagos</w:t>
      </w:r>
      <w:proofErr w:type="spellEnd"/>
      <w:r>
        <w:t xml:space="preserve"> C (2012) Meta-regression analysis in economics and business. Routledge advances in research methods, vol 5. Routledge, London</w:t>
      </w:r>
    </w:p>
    <w:bookmarkEnd w:id="24"/>
    <w:p w14:paraId="37A28D73" w14:textId="77777777" w:rsidR="00780F93" w:rsidRDefault="00780F93" w:rsidP="00780F93">
      <w:pPr>
        <w:pStyle w:val="CitaviBibliographyEntry"/>
      </w:pPr>
      <w:r>
        <w:t>Vanini U, Rieg R (2019) Effects of voluntary intellectual capital disclosure for disclosing firms - a structured literature review. J Applied Accounting Research 20:349–364</w:t>
      </w:r>
    </w:p>
    <w:p w14:paraId="72193AD5" w14:textId="77777777" w:rsidR="00780F93" w:rsidRDefault="00780F93" w:rsidP="00780F93">
      <w:pPr>
        <w:pStyle w:val="CitaviBibliographyEntry"/>
      </w:pPr>
      <w:proofErr w:type="spellStart"/>
      <w:r>
        <w:t>Veltri</w:t>
      </w:r>
      <w:proofErr w:type="spellEnd"/>
      <w:r>
        <w:t xml:space="preserve"> S, </w:t>
      </w:r>
      <w:proofErr w:type="spellStart"/>
      <w:r>
        <w:t>Bronzetti</w:t>
      </w:r>
      <w:proofErr w:type="spellEnd"/>
      <w:r>
        <w:t xml:space="preserve"> G (2014) A Critical Analysis of the Intellectual Capital Measuring, Managing, and Reporting Practices in the Non-profit Sector: Lessons Learnt from a Case Study: Journal of Business Ethics. J Bus Ethics:1–14. </w:t>
      </w:r>
      <w:hyperlink r:id="rId28" w:history="1">
        <w:r w:rsidRPr="00527568">
          <w:rPr>
            <w:rStyle w:val="Hyperlink"/>
          </w:rPr>
          <w:t>https://doi.org/10.1007/s10551-014-2284-7</w:t>
        </w:r>
      </w:hyperlink>
    </w:p>
    <w:p w14:paraId="4CF2F736" w14:textId="77777777" w:rsidR="00780F93" w:rsidRDefault="00780F93" w:rsidP="00780F93">
      <w:pPr>
        <w:pStyle w:val="CitaviBibliographyEntry"/>
      </w:pPr>
      <w:proofErr w:type="spellStart"/>
      <w:r>
        <w:t>Viechtbauer</w:t>
      </w:r>
      <w:proofErr w:type="spellEnd"/>
      <w:r>
        <w:t xml:space="preserve"> W (2010) Conducting Meta-Analyses in R with the </w:t>
      </w:r>
      <w:proofErr w:type="spellStart"/>
      <w:r>
        <w:t>metafor</w:t>
      </w:r>
      <w:proofErr w:type="spellEnd"/>
      <w:r>
        <w:t xml:space="preserve"> Package. Journal of Statistical Software, 36(3). J. Stat. Soft. 36. </w:t>
      </w:r>
      <w:hyperlink r:id="rId29" w:history="1">
        <w:r w:rsidRPr="00527568">
          <w:rPr>
            <w:rStyle w:val="Hyperlink"/>
          </w:rPr>
          <w:t>https://doi.org/10.18637/JSS.V036.I03</w:t>
        </w:r>
      </w:hyperlink>
    </w:p>
    <w:p w14:paraId="2002B9F2" w14:textId="77777777" w:rsidR="00780F93" w:rsidRDefault="00780F93" w:rsidP="00780F93">
      <w:pPr>
        <w:pStyle w:val="CitaviBibliographyEntry"/>
      </w:pPr>
      <w:bookmarkStart w:id="25" w:name="_CTVL001c4374e38cdd14c1c906993085093548b"/>
      <w:r>
        <w:t xml:space="preserve">Wasserstein RL, Lazar NA (2016) The ASA’s Statement on p-Values: Context, Process, and Purpose. The American Statistician 70:129–133. </w:t>
      </w:r>
      <w:hyperlink r:id="rId30" w:history="1">
        <w:r w:rsidRPr="00527568">
          <w:rPr>
            <w:rStyle w:val="Hyperlink"/>
          </w:rPr>
          <w:t>https://doi.org/10.1080/00031305.2016.1154108</w:t>
        </w:r>
      </w:hyperlink>
    </w:p>
    <w:p w14:paraId="23A43EE6" w14:textId="77777777" w:rsidR="00780F93" w:rsidRDefault="00780F93" w:rsidP="00780F93">
      <w:pPr>
        <w:pStyle w:val="CitaviBibliographyEntry"/>
      </w:pPr>
      <w:bookmarkStart w:id="26" w:name="_CTVL001161015fbd0f343b19760b159bc5af8d6"/>
      <w:bookmarkEnd w:id="25"/>
      <w:r>
        <w:t xml:space="preserve">Wasserstein RL, </w:t>
      </w:r>
      <w:proofErr w:type="spellStart"/>
      <w:r>
        <w:t>Schirm</w:t>
      </w:r>
      <w:proofErr w:type="spellEnd"/>
      <w:r>
        <w:t xml:space="preserve"> AL, Lazar NA (2019) Moving to a World Beyond </w:t>
      </w:r>
      <w:proofErr w:type="gramStart"/>
      <w:r>
        <w:t>“ p</w:t>
      </w:r>
      <w:proofErr w:type="gramEnd"/>
      <w:r>
        <w:t xml:space="preserve"> &lt; 0.05”. The American Statistician 73:1–19. </w:t>
      </w:r>
      <w:hyperlink r:id="rId31" w:history="1">
        <w:r w:rsidRPr="00527568">
          <w:rPr>
            <w:rStyle w:val="Hyperlink"/>
          </w:rPr>
          <w:t>https://doi.org/10.1080/00031305.2019.1583913</w:t>
        </w:r>
      </w:hyperlink>
    </w:p>
    <w:bookmarkEnd w:id="26"/>
    <w:p w14:paraId="6F0DCA0E" w14:textId="77777777" w:rsidR="00780F93" w:rsidRDefault="00780F93" w:rsidP="00780F93">
      <w:pPr>
        <w:pStyle w:val="CitaviBibliographyEntry"/>
      </w:pPr>
      <w:r>
        <w:t>Yin RK (2009) Case study research: Design and methods, 4</w:t>
      </w:r>
      <w:r w:rsidRPr="0040497B">
        <w:rPr>
          <w:vertAlign w:val="superscript"/>
        </w:rPr>
        <w:t>th</w:t>
      </w:r>
      <w:r>
        <w:t xml:space="preserve"> </w:t>
      </w:r>
      <w:proofErr w:type="spellStart"/>
      <w:r>
        <w:t>edn</w:t>
      </w:r>
      <w:proofErr w:type="spellEnd"/>
      <w:r>
        <w:t>. Applied social research methods series, vol 5. SAGE, Los Angeles</w:t>
      </w:r>
    </w:p>
    <w:p w14:paraId="7F0D6661" w14:textId="77777777" w:rsidR="00780F93" w:rsidRPr="001176C5" w:rsidRDefault="00780F93" w:rsidP="00780F93">
      <w:pPr>
        <w:pStyle w:val="CitaviBibliographyEntry"/>
      </w:pPr>
      <w:proofErr w:type="spellStart"/>
      <w:r>
        <w:t>Zéghal</w:t>
      </w:r>
      <w:proofErr w:type="spellEnd"/>
      <w:r>
        <w:t xml:space="preserve"> D, </w:t>
      </w:r>
      <w:proofErr w:type="spellStart"/>
      <w:r>
        <w:t>Maaloul</w:t>
      </w:r>
      <w:proofErr w:type="spellEnd"/>
      <w:r>
        <w:t xml:space="preserve"> A (2010) Analysing value added as an indicator of intellectual capital and its consequences on company performance. </w:t>
      </w:r>
      <w:proofErr w:type="spellStart"/>
      <w:r>
        <w:t>Jnl</w:t>
      </w:r>
      <w:proofErr w:type="spellEnd"/>
      <w:r>
        <w:t xml:space="preserve"> of Intellectual Capital 11:39–60. </w:t>
      </w:r>
      <w:hyperlink r:id="rId32" w:history="1">
        <w:r w:rsidRPr="00527568">
          <w:rPr>
            <w:rStyle w:val="Hyperlink"/>
          </w:rPr>
          <w:t>https://doi.org/10.1108/14691931011013325</w:t>
        </w:r>
      </w:hyperlink>
    </w:p>
    <w:p w14:paraId="401D9BA3" w14:textId="77777777" w:rsidR="00780F93" w:rsidRPr="001176C5" w:rsidRDefault="00780F93" w:rsidP="00780F93"/>
    <w:p w14:paraId="4AE8948E" w14:textId="77777777" w:rsidR="00780F93" w:rsidRDefault="00780F93" w:rsidP="00780F93">
      <w:pPr>
        <w:rPr>
          <w:lang w:val="en-US"/>
        </w:rPr>
      </w:pPr>
    </w:p>
    <w:p w14:paraId="07A2C568" w14:textId="77777777" w:rsidR="0023202D" w:rsidRDefault="0023202D"/>
    <w:sectPr w:rsidR="002320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24F53" w14:textId="77777777" w:rsidR="00215C58" w:rsidRDefault="00215C58" w:rsidP="00780F93">
      <w:pPr>
        <w:spacing w:after="0" w:line="240" w:lineRule="auto"/>
      </w:pPr>
      <w:r>
        <w:separator/>
      </w:r>
    </w:p>
  </w:endnote>
  <w:endnote w:type="continuationSeparator" w:id="0">
    <w:p w14:paraId="1BEF31C5" w14:textId="77777777" w:rsidR="00215C58" w:rsidRDefault="00215C58" w:rsidP="00780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83519" w14:textId="77777777" w:rsidR="00215C58" w:rsidRDefault="00215C58" w:rsidP="00780F93">
      <w:pPr>
        <w:spacing w:after="0" w:line="240" w:lineRule="auto"/>
      </w:pPr>
      <w:r>
        <w:separator/>
      </w:r>
    </w:p>
  </w:footnote>
  <w:footnote w:type="continuationSeparator" w:id="0">
    <w:p w14:paraId="48CF8202" w14:textId="77777777" w:rsidR="00215C58" w:rsidRDefault="00215C58" w:rsidP="00780F93">
      <w:pPr>
        <w:spacing w:after="0" w:line="240" w:lineRule="auto"/>
      </w:pPr>
      <w:r>
        <w:continuationSeparator/>
      </w:r>
    </w:p>
  </w:footnote>
  <w:footnote w:id="1">
    <w:p w14:paraId="7F8037C1" w14:textId="77777777" w:rsidR="00780F93" w:rsidRPr="00ED266C" w:rsidRDefault="00780F93" w:rsidP="00780F93">
      <w:pPr>
        <w:pStyle w:val="Funotentext"/>
        <w:rPr>
          <w:rFonts w:ascii="Palatino Linotype" w:hAnsi="Palatino Linotype" w:cs="Times New Roman"/>
          <w:lang w:val="en-US"/>
        </w:rPr>
      </w:pPr>
      <w:r w:rsidRPr="00ED266C">
        <w:rPr>
          <w:rStyle w:val="Funotenzeichen"/>
          <w:rFonts w:ascii="Palatino Linotype" w:hAnsi="Palatino Linotype"/>
        </w:rPr>
        <w:footnoteRef/>
      </w:r>
      <w:r w:rsidRPr="00ED266C">
        <w:rPr>
          <w:rFonts w:ascii="Palatino Linotype" w:hAnsi="Palatino Linotype"/>
        </w:rPr>
        <w:t xml:space="preserve"> </w:t>
      </w:r>
      <w:r w:rsidRPr="00ED266C">
        <w:rPr>
          <w:rFonts w:ascii="Palatino Linotype" w:hAnsi="Palatino Linotype" w:cs="Times New Roman"/>
          <w:lang w:val="en-US"/>
        </w:rPr>
        <w:t xml:space="preserve">worked examples are available from </w:t>
      </w:r>
      <w:hyperlink r:id="rId1" w:history="1">
        <w:r w:rsidRPr="00ED266C">
          <w:rPr>
            <w:rStyle w:val="Hyperlink"/>
            <w:rFonts w:ascii="Palatino Linotype" w:hAnsi="Palatino Linotype" w:cs="Times New Roman"/>
            <w:lang w:val="en-US"/>
          </w:rPr>
          <w:t>https://www.meta-analysis.com/pages/book_introduction_to_meta-analysis.php</w:t>
        </w:r>
      </w:hyperlink>
      <w:r w:rsidRPr="00ED266C">
        <w:rPr>
          <w:rStyle w:val="Hyperlink"/>
          <w:rFonts w:ascii="Palatino Linotype" w:hAnsi="Palatino Linotype" w:cs="Times New Roman"/>
          <w:lang w:val="en-US"/>
        </w:rPr>
        <w:t>.</w:t>
      </w:r>
      <w:r w:rsidRPr="00ED266C">
        <w:rPr>
          <w:rFonts w:ascii="Palatino Linotype" w:hAnsi="Palatino Linotype" w:cs="Times New Roman"/>
          <w:lang w:val="en-US"/>
        </w:rPr>
        <w:t xml:space="preserve"> The calculation for this paper is available on request from the authors.</w:t>
      </w:r>
    </w:p>
  </w:footnote>
  <w:footnote w:id="2">
    <w:p w14:paraId="74E7D40E" w14:textId="77777777" w:rsidR="00780F93" w:rsidRPr="00A3167F" w:rsidRDefault="00780F93" w:rsidP="00780F93">
      <w:pPr>
        <w:pStyle w:val="Funotentext"/>
        <w:rPr>
          <w:lang w:val="en-US"/>
        </w:rPr>
      </w:pPr>
      <w:r>
        <w:rPr>
          <w:rStyle w:val="Funotenzeichen"/>
        </w:rPr>
        <w:footnoteRef/>
      </w:r>
      <w:r>
        <w:t xml:space="preserve"> </w:t>
      </w:r>
      <w:r w:rsidRPr="00A3167F">
        <w:rPr>
          <w:lang w:val="en-US"/>
        </w:rPr>
        <w:t xml:space="preserve">Often meta-analyses aggregate </w:t>
      </w:r>
      <w:r>
        <w:rPr>
          <w:lang w:val="en-US"/>
        </w:rPr>
        <w:t xml:space="preserve">less than ten studies, see </w:t>
      </w:r>
      <w:proofErr w:type="spellStart"/>
      <w:r>
        <w:rPr>
          <w:lang w:val="en-US"/>
        </w:rPr>
        <w:t>Roever</w:t>
      </w:r>
      <w:proofErr w:type="spellEnd"/>
      <w:r>
        <w:rPr>
          <w:lang w:val="en-US"/>
        </w:rPr>
        <w:t xml:space="preserve">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340EF"/>
    <w:multiLevelType w:val="hybridMultilevel"/>
    <w:tmpl w:val="86A84A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D5B331A"/>
    <w:multiLevelType w:val="hybridMultilevel"/>
    <w:tmpl w:val="987AF9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F93"/>
    <w:rsid w:val="00215C58"/>
    <w:rsid w:val="0023202D"/>
    <w:rsid w:val="00780F93"/>
    <w:rsid w:val="00A17E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81C87"/>
  <w15:chartTrackingRefBased/>
  <w15:docId w15:val="{23F3B89B-3857-45C8-B12B-E08D0F9D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0F93"/>
    <w:pPr>
      <w:spacing w:after="200" w:line="276" w:lineRule="auto"/>
    </w:pPr>
    <w:rPr>
      <w:lang w:val="en-GB"/>
    </w:rPr>
  </w:style>
  <w:style w:type="paragraph" w:styleId="berschrift1">
    <w:name w:val="heading 1"/>
    <w:basedOn w:val="Standard"/>
    <w:next w:val="Standard"/>
    <w:link w:val="berschrift1Zchn"/>
    <w:uiPriority w:val="9"/>
    <w:qFormat/>
    <w:rsid w:val="00780F93"/>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780F93"/>
    <w:pPr>
      <w:keepNext/>
      <w:keepLines/>
      <w:spacing w:before="200" w:after="0"/>
      <w:outlineLvl w:val="1"/>
    </w:pPr>
    <w:rPr>
      <w:rFonts w:eastAsiaTheme="majorEastAsia" w:cstheme="minorHAnsi"/>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80F93"/>
    <w:rPr>
      <w:rFonts w:eastAsiaTheme="majorEastAsia" w:cstheme="majorBidi"/>
      <w:b/>
      <w:bCs/>
      <w:sz w:val="28"/>
      <w:szCs w:val="28"/>
      <w:lang w:val="en-GB"/>
    </w:rPr>
  </w:style>
  <w:style w:type="character" w:customStyle="1" w:styleId="berschrift2Zchn">
    <w:name w:val="Überschrift 2 Zchn"/>
    <w:basedOn w:val="Absatz-Standardschriftart"/>
    <w:link w:val="berschrift2"/>
    <w:uiPriority w:val="9"/>
    <w:rsid w:val="00780F93"/>
    <w:rPr>
      <w:rFonts w:eastAsiaTheme="majorEastAsia" w:cstheme="minorHAnsi"/>
      <w:b/>
      <w:bCs/>
      <w:sz w:val="26"/>
      <w:szCs w:val="26"/>
      <w:lang w:val="en-GB"/>
    </w:rPr>
  </w:style>
  <w:style w:type="paragraph" w:customStyle="1" w:styleId="CitaviBibliographyEntry">
    <w:name w:val="Citavi Bibliography Entry"/>
    <w:basedOn w:val="Standard"/>
    <w:link w:val="CitaviBibliographyEntryZchn"/>
    <w:uiPriority w:val="99"/>
    <w:rsid w:val="00780F93"/>
    <w:pPr>
      <w:tabs>
        <w:tab w:val="left" w:pos="397"/>
      </w:tabs>
      <w:spacing w:after="0"/>
      <w:ind w:left="397" w:hanging="397"/>
    </w:pPr>
  </w:style>
  <w:style w:type="character" w:customStyle="1" w:styleId="CitaviBibliographyEntryZchn">
    <w:name w:val="Citavi Bibliography Entry Zchn"/>
    <w:basedOn w:val="Absatz-Standardschriftart"/>
    <w:link w:val="CitaviBibliographyEntry"/>
    <w:uiPriority w:val="99"/>
    <w:rsid w:val="00780F93"/>
    <w:rPr>
      <w:lang w:val="en-GB"/>
    </w:rPr>
  </w:style>
  <w:style w:type="paragraph" w:customStyle="1" w:styleId="CitaviBibliographyHeading">
    <w:name w:val="Citavi Bibliography Heading"/>
    <w:basedOn w:val="berschrift1"/>
    <w:link w:val="CitaviBibliographyHeadingZchn"/>
    <w:uiPriority w:val="99"/>
    <w:rsid w:val="00780F93"/>
  </w:style>
  <w:style w:type="character" w:customStyle="1" w:styleId="CitaviBibliographyHeadingZchn">
    <w:name w:val="Citavi Bibliography Heading Zchn"/>
    <w:basedOn w:val="Absatz-Standardschriftart"/>
    <w:link w:val="CitaviBibliographyHeading"/>
    <w:uiPriority w:val="99"/>
    <w:rsid w:val="00780F93"/>
    <w:rPr>
      <w:rFonts w:eastAsiaTheme="majorEastAsia" w:cstheme="majorBidi"/>
      <w:b/>
      <w:bCs/>
      <w:sz w:val="28"/>
      <w:szCs w:val="28"/>
      <w:lang w:val="en-GB"/>
    </w:rPr>
  </w:style>
  <w:style w:type="paragraph" w:styleId="Listenabsatz">
    <w:name w:val="List Paragraph"/>
    <w:basedOn w:val="Standard"/>
    <w:link w:val="ListenabsatzZchn"/>
    <w:uiPriority w:val="34"/>
    <w:qFormat/>
    <w:rsid w:val="00780F93"/>
    <w:pPr>
      <w:ind w:left="720"/>
      <w:contextualSpacing/>
    </w:pPr>
  </w:style>
  <w:style w:type="table" w:styleId="Tabellenraster">
    <w:name w:val="Table Grid"/>
    <w:basedOn w:val="NormaleTabelle"/>
    <w:uiPriority w:val="39"/>
    <w:rsid w:val="00780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80F93"/>
    <w:rPr>
      <w:color w:val="0563C1" w:themeColor="hyperlink"/>
      <w:u w:val="single"/>
    </w:rPr>
  </w:style>
  <w:style w:type="paragraph" w:styleId="Funotentext">
    <w:name w:val="footnote text"/>
    <w:basedOn w:val="Standard"/>
    <w:link w:val="FunotentextZchn"/>
    <w:uiPriority w:val="99"/>
    <w:semiHidden/>
    <w:unhideWhenUsed/>
    <w:rsid w:val="00780F9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80F93"/>
    <w:rPr>
      <w:sz w:val="20"/>
      <w:szCs w:val="20"/>
      <w:lang w:val="en-GB"/>
    </w:rPr>
  </w:style>
  <w:style w:type="character" w:styleId="Funotenzeichen">
    <w:name w:val="footnote reference"/>
    <w:basedOn w:val="Absatz-Standardschriftart"/>
    <w:uiPriority w:val="99"/>
    <w:semiHidden/>
    <w:unhideWhenUsed/>
    <w:rsid w:val="00780F93"/>
    <w:rPr>
      <w:vertAlign w:val="superscript"/>
    </w:rPr>
  </w:style>
  <w:style w:type="character" w:customStyle="1" w:styleId="ListenabsatzZchn">
    <w:name w:val="Listenabsatz Zchn"/>
    <w:basedOn w:val="Absatz-Standardschriftart"/>
    <w:link w:val="Listenabsatz"/>
    <w:uiPriority w:val="34"/>
    <w:rsid w:val="00780F93"/>
    <w:rPr>
      <w:lang w:val="en-GB"/>
    </w:rPr>
  </w:style>
  <w:style w:type="paragraph" w:styleId="Inhaltsverzeichnisberschrift">
    <w:name w:val="TOC Heading"/>
    <w:basedOn w:val="berschrift1"/>
    <w:next w:val="Standard"/>
    <w:uiPriority w:val="39"/>
    <w:unhideWhenUsed/>
    <w:qFormat/>
    <w:rsid w:val="00780F93"/>
    <w:pPr>
      <w:spacing w:before="240" w:line="259" w:lineRule="auto"/>
      <w:outlineLvl w:val="9"/>
    </w:pPr>
    <w:rPr>
      <w:rFonts w:asciiTheme="majorHAnsi" w:hAnsiTheme="majorHAnsi"/>
      <w:b w:val="0"/>
      <w:bCs w:val="0"/>
      <w:color w:val="2F5496" w:themeColor="accent1" w:themeShade="BF"/>
      <w:sz w:val="32"/>
      <w:szCs w:val="32"/>
      <w:lang w:val="de-DE" w:eastAsia="de-DE"/>
    </w:rPr>
  </w:style>
  <w:style w:type="paragraph" w:styleId="Verzeichnis1">
    <w:name w:val="toc 1"/>
    <w:basedOn w:val="Standard"/>
    <w:next w:val="Standard"/>
    <w:autoRedefine/>
    <w:uiPriority w:val="39"/>
    <w:unhideWhenUsed/>
    <w:rsid w:val="00780F93"/>
    <w:pPr>
      <w:spacing w:after="100" w:line="259" w:lineRule="auto"/>
    </w:pPr>
    <w:rPr>
      <w:rFonts w:ascii="Palatino Linotype" w:hAnsi="Palatino Linotype" w:cs="Arial"/>
      <w:lang w:val="de-DE"/>
    </w:rPr>
  </w:style>
  <w:style w:type="paragraph" w:styleId="Verzeichnis2">
    <w:name w:val="toc 2"/>
    <w:basedOn w:val="Standard"/>
    <w:next w:val="Standard"/>
    <w:autoRedefine/>
    <w:uiPriority w:val="39"/>
    <w:unhideWhenUsed/>
    <w:rsid w:val="00780F93"/>
    <w:pPr>
      <w:spacing w:after="100" w:line="259" w:lineRule="auto"/>
      <w:ind w:left="220"/>
    </w:pPr>
    <w:rPr>
      <w:rFonts w:ascii="Palatino Linotype" w:hAnsi="Palatino Linotype" w:cs="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hyperlink" Target="https://doi.org/10.3758/s13423-016-1221-4" TargetMode="External"/><Relationship Id="rId3" Type="http://schemas.openxmlformats.org/officeDocument/2006/relationships/settings" Target="settings.xml"/><Relationship Id="rId21" Type="http://schemas.openxmlformats.org/officeDocument/2006/relationships/hyperlink" Target="https://doi.org/10.1073/pnas.1302997110" TargetMode="External"/><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hyperlink" Target="https://doi.org/10.1016/j.ibusrev.2010.01.00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yperlink" Target="https://doi.org/10.2308/jmar-52575" TargetMode="External"/><Relationship Id="rId29" Type="http://schemas.openxmlformats.org/officeDocument/2006/relationships/hyperlink" Target="https://doi.org/10.18637/JSS.V036.I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yperlink" Target="https://doi.org/10.1186/s12874-020-00968-2" TargetMode="External"/><Relationship Id="rId32" Type="http://schemas.openxmlformats.org/officeDocument/2006/relationships/hyperlink" Target="https://doi.org/10.1108/14691931011013325" TargetMode="Externa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yperlink" Target="https://doi.org/10.1371/journal.pmed.0020124" TargetMode="External"/><Relationship Id="rId28" Type="http://schemas.openxmlformats.org/officeDocument/2006/relationships/hyperlink" Target="https://doi.org/10.1007/s10551-014-2284-7" TargetMode="External"/><Relationship Id="rId10" Type="http://schemas.openxmlformats.org/officeDocument/2006/relationships/image" Target="media/image4.png"/><Relationship Id="rId19" Type="http://schemas.openxmlformats.org/officeDocument/2006/relationships/hyperlink" Target="https://doi.org/10.1002/jrsm.1230" TargetMode="External"/><Relationship Id="rId31" Type="http://schemas.openxmlformats.org/officeDocument/2006/relationships/hyperlink" Target="https://doi.org/10.1080/00031305.2019.1583913"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hyperlink" Target="https://doi.org/10.1111/joes.12363" TargetMode="External"/><Relationship Id="rId27" Type="http://schemas.openxmlformats.org/officeDocument/2006/relationships/hyperlink" Target="https://doi.org/10.1108/JAAR-12-2013-0117" TargetMode="External"/><Relationship Id="rId30" Type="http://schemas.openxmlformats.org/officeDocument/2006/relationships/hyperlink" Target="https://doi.org/10.1080/00031305.2016.1154108" TargetMode="External"/><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meta-analysis.com/pages/book_introduction_to_meta-analysis.php"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4389</Words>
  <Characters>27653</Characters>
  <Application>Microsoft Office Word</Application>
  <DocSecurity>0</DocSecurity>
  <Lines>230</Lines>
  <Paragraphs>63</Paragraphs>
  <ScaleCrop>false</ScaleCrop>
  <Company/>
  <LinksUpToDate>false</LinksUpToDate>
  <CharactersWithSpaces>31979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Rieg</dc:creator>
  <cp:keywords/>
  <dc:description/>
  <cp:lastModifiedBy>Robert Rieg</cp:lastModifiedBy>
  <cp:revision>1</cp:revision>
  <dcterms:created xsi:type="dcterms:W3CDTF">2023-02-21T07:39:00Z</dcterms:created>
  <dcterms:modified xsi:type="dcterms:W3CDTF">2023-02-21T07:42:00Z</dcterms:modified>
</cp:coreProperties>
</file>