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60E3A" w14:textId="67DBADC9" w:rsidR="00780726" w:rsidRPr="009F2082" w:rsidRDefault="00A55F30" w:rsidP="00780726">
      <w:pPr>
        <w:pStyle w:val="TextAltF10"/>
        <w:spacing w:before="0" w:line="360" w:lineRule="auto"/>
        <w:jc w:val="left"/>
        <w:rPr>
          <w:rFonts w:cs="Times New Roman"/>
          <w:b/>
          <w:sz w:val="28"/>
        </w:rPr>
      </w:pPr>
      <w:r>
        <w:rPr>
          <w:rFonts w:cs="Times New Roman"/>
          <w:b/>
          <w:sz w:val="28"/>
          <w:szCs w:val="28"/>
        </w:rPr>
        <w:t>Online s</w:t>
      </w:r>
      <w:r w:rsidR="00780726" w:rsidRPr="00780726">
        <w:rPr>
          <w:rFonts w:cs="Times New Roman"/>
          <w:b/>
          <w:sz w:val="28"/>
          <w:szCs w:val="28"/>
        </w:rPr>
        <w:t xml:space="preserve">upplementary materials </w:t>
      </w:r>
      <w:r w:rsidR="00260E85">
        <w:rPr>
          <w:rFonts w:cs="Times New Roman"/>
          <w:b/>
          <w:sz w:val="28"/>
          <w:szCs w:val="28"/>
        </w:rPr>
        <w:t xml:space="preserve">(appendices) </w:t>
      </w:r>
      <w:r w:rsidR="00780726" w:rsidRPr="00780726">
        <w:rPr>
          <w:rFonts w:cs="Times New Roman"/>
          <w:b/>
          <w:sz w:val="28"/>
          <w:szCs w:val="28"/>
        </w:rPr>
        <w:t xml:space="preserve">to </w:t>
      </w:r>
      <w:r w:rsidR="00780726">
        <w:rPr>
          <w:rFonts w:cs="Times New Roman"/>
          <w:b/>
          <w:szCs w:val="24"/>
        </w:rPr>
        <w:t>“</w:t>
      </w:r>
      <w:r w:rsidR="00780726" w:rsidRPr="009F2082">
        <w:rPr>
          <w:rFonts w:cs="Times New Roman"/>
          <w:b/>
          <w:sz w:val="28"/>
        </w:rPr>
        <w:t>Revisiting Shimizu et al. (2004): What do we know and what should we know about cross-border mergers and acquisitions?</w:t>
      </w:r>
      <w:r w:rsidR="00260E85">
        <w:rPr>
          <w:rFonts w:cs="Times New Roman"/>
          <w:b/>
          <w:sz w:val="28"/>
        </w:rPr>
        <w:t xml:space="preserve">” (published in </w:t>
      </w:r>
      <w:r w:rsidR="00260E85" w:rsidRPr="00260E85">
        <w:rPr>
          <w:rFonts w:cs="Times New Roman"/>
          <w:b/>
          <w:i/>
          <w:sz w:val="28"/>
        </w:rPr>
        <w:t>Review of Managerial Science</w:t>
      </w:r>
      <w:r w:rsidR="00260E85">
        <w:rPr>
          <w:rFonts w:cs="Times New Roman"/>
          <w:b/>
          <w:sz w:val="28"/>
        </w:rPr>
        <w:t>)</w:t>
      </w:r>
    </w:p>
    <w:p w14:paraId="04C35923" w14:textId="0E4BE6E8" w:rsidR="00ED6E29" w:rsidRDefault="00ED6E29">
      <w:pPr>
        <w:rPr>
          <w:rFonts w:ascii="Times New Roman" w:hAnsi="Times New Roman" w:cs="Times New Roman"/>
          <w:b/>
          <w:sz w:val="24"/>
          <w:szCs w:val="24"/>
          <w:lang w:val="en-US"/>
        </w:rPr>
      </w:pPr>
    </w:p>
    <w:p w14:paraId="084609E4" w14:textId="66155C2B" w:rsidR="00FB3E83" w:rsidRDefault="00954877">
      <w:pPr>
        <w:rPr>
          <w:rFonts w:ascii="Times New Roman" w:hAnsi="Times New Roman" w:cs="Times New Roman"/>
          <w:b/>
          <w:sz w:val="24"/>
          <w:szCs w:val="24"/>
          <w:lang w:val="en-US"/>
        </w:rPr>
      </w:pPr>
      <w:r w:rsidRPr="00657E0C">
        <w:rPr>
          <w:rFonts w:ascii="Times New Roman" w:hAnsi="Times New Roman" w:cs="Times New Roman"/>
          <w:b/>
          <w:sz w:val="24"/>
          <w:szCs w:val="24"/>
          <w:lang w:val="en-US"/>
        </w:rPr>
        <w:t xml:space="preserve">Online appendix 1: </w:t>
      </w:r>
      <w:r w:rsidR="00905F7A" w:rsidRPr="00657E0C">
        <w:rPr>
          <w:rFonts w:ascii="Times New Roman" w:hAnsi="Times New Roman" w:cs="Times New Roman"/>
          <w:b/>
          <w:sz w:val="24"/>
          <w:szCs w:val="24"/>
          <w:lang w:val="en-US"/>
        </w:rPr>
        <w:t>Assignment of the focal articles to the research streams</w:t>
      </w:r>
      <w:r w:rsidR="0011304E">
        <w:rPr>
          <w:rFonts w:ascii="Times New Roman" w:hAnsi="Times New Roman" w:cs="Times New Roman"/>
          <w:b/>
          <w:sz w:val="24"/>
          <w:szCs w:val="24"/>
          <w:lang w:val="en-US"/>
        </w:rPr>
        <w:t xml:space="preserve"> presented by </w:t>
      </w:r>
      <w:sdt>
        <w:sdtPr>
          <w:rPr>
            <w:rFonts w:ascii="Times New Roman" w:hAnsi="Times New Roman" w:cs="Times New Roman"/>
            <w:b/>
            <w:sz w:val="24"/>
            <w:szCs w:val="24"/>
            <w:lang w:val="en-US"/>
          </w:rPr>
          <w:alias w:val="To edit, see citavi.com/edit"/>
          <w:tag w:val="CitaviPlaceholder#515d1a8d-39eb-4b82-b3a6-05fe83267de8"/>
          <w:id w:val="-288440899"/>
          <w:placeholder>
            <w:docPart w:val="DefaultPlaceholder_-1854013440"/>
          </w:placeholder>
        </w:sdtPr>
        <w:sdtEndPr/>
        <w:sdtContent>
          <w:r w:rsidR="0011304E">
            <w:rPr>
              <w:rFonts w:ascii="Times New Roman" w:hAnsi="Times New Roman" w:cs="Times New Roman"/>
              <w:b/>
              <w:sz w:val="24"/>
              <w:szCs w:val="24"/>
              <w:lang w:val="en-US"/>
            </w:rPr>
            <w:fldChar w:fldCharType="begin"/>
          </w:r>
          <w:r w:rsidR="00E44E46">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2M2MjA5MGI0LWRjMDktNGNhYy04ZWEwLWVkYTllNzhiZjYyYiIsIkVudHJpZXMiOlt7IiRpZCI6IjIiLCIkdHlwZSI6IlN3aXNzQWNhZGVtaWMuQ2l0YXZpLkNpdGF0aW9ucy5Xb3JkUGxhY2Vob2xkZXJFbnRyeSwgU3dpc3NBY2FkZW1pYy5DaXRhdmkiLCJJZCI6IjJhNDhiMjk4LThkOGItNDU5Yy05YzI1LTkzZWNkMjE2NjVkYSIsIlJhbmdlTGVuZ3RoIjoxNCwiUmVmZXJlbmNlSWQiOiJhNzZlMGUwNC01MWIyLTRiYjYtOWM2Ny0xNTk2YjQyNmQwO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NDM0NDU3OTcxMyZkb2k9MTAuMTAxNiUyZmouaW50bWFuLjIwMDQuMDUuMDA1JnBhcnRuZXJJRD00MCZtZDU9NDE4ZWMyMjFlZDY1Mjc0NDg4YzJmMDZjODU0MTcyODMiLCJVcmlTdHJpbmciOiJodHRwczovL3d3dy5zY29wdXMuY29tL2lud2FyZC9yZWNvcmQudXJpP2VpZD0yLXMyLjAtNDM0NDU3OTcxMyZkb2k9MTAuMTAxNiUyZmouaW50bWFuLjIwMDQuMDUuMDA1JnBhcnRuZXJJRD00MCZtZDU9NDE4ZWMyMjFlZDY1Mjc0NDg4YzJmMDZjODU0MTcyO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SXBwZW5kb3JmIiwiQ3JlYXRlZE9uIjoiMjAyNC0wNi0yNFQxMzo0OTo1NiIsIk1vZGlmaWVkQnkiOiJfTmlrbyBJcHBlbmRvcmYiLCJJZCI6Ijg2YmUzNDZmLTRiODAtNGZhOS05MWYzLTgyN2QxM2QxODk3MCIsIk1vZGlmaWVkT24iOiIyMDI0LTA2LTI0VDEzOjQ5OjU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udG1hbi4yMDA0LjA1LjAwNSIsIlVyaVN0cmluZyI6Imh0dHBzOi8vZG9pLm9yZy8xMC4xMDE2L2ouaW50bWFuLjIwMDQuMDUuMDA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}</w:instrText>
          </w:r>
          <w:r w:rsidR="0011304E">
            <w:rPr>
              <w:rFonts w:ascii="Times New Roman" w:hAnsi="Times New Roman" w:cs="Times New Roman"/>
              <w:b/>
              <w:sz w:val="24"/>
              <w:szCs w:val="24"/>
              <w:lang w:val="en-US"/>
            </w:rPr>
            <w:fldChar w:fldCharType="separate"/>
          </w:r>
          <w:r w:rsidR="0011304E">
            <w:rPr>
              <w:rFonts w:ascii="Times New Roman" w:hAnsi="Times New Roman" w:cs="Times New Roman"/>
              <w:b/>
              <w:sz w:val="24"/>
              <w:szCs w:val="24"/>
              <w:lang w:val="en-US"/>
            </w:rPr>
            <w:t>Shimizu et al.</w:t>
          </w:r>
          <w:r w:rsidR="0011304E">
            <w:rPr>
              <w:rFonts w:ascii="Times New Roman" w:hAnsi="Times New Roman" w:cs="Times New Roman"/>
              <w:b/>
              <w:sz w:val="24"/>
              <w:szCs w:val="24"/>
              <w:lang w:val="en-US"/>
            </w:rPr>
            <w:fldChar w:fldCharType="end"/>
          </w:r>
        </w:sdtContent>
      </w:sdt>
      <w:r w:rsidR="0011304E">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alias w:val="To edit, see citavi.com/edit"/>
          <w:tag w:val="CitaviPlaceholder#c62090b4-dc09-4cac-8ea0-eda9e78bf62b"/>
          <w:id w:val="413672348"/>
          <w:placeholder>
            <w:docPart w:val="DefaultPlaceholder_-1854013440"/>
          </w:placeholder>
        </w:sdtPr>
        <w:sdtEndPr/>
        <w:sdtContent>
          <w:r w:rsidR="0011304E">
            <w:rPr>
              <w:rFonts w:ascii="Times New Roman" w:hAnsi="Times New Roman" w:cs="Times New Roman"/>
              <w:b/>
              <w:sz w:val="24"/>
              <w:szCs w:val="24"/>
              <w:lang w:val="en-US"/>
            </w:rPr>
            <w:fldChar w:fldCharType="begin"/>
          </w:r>
          <w:r w:rsidR="00E44E46">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zUxNWQxYThkLTM5ZWItNGI4Mi1iM2E2LTA1ZmU4MzI2N2RlOCIsIkVudHJpZXMiOlt7IiRpZCI6IjIiLCIkdHlwZSI6IlN3aXNzQWNhZGVtaWMuQ2l0YXZpLkNpdGF0aW9ucy5Xb3JkUGxhY2Vob2xkZXJFbnRyeSwgU3dpc3NBY2FkZW1pYy5DaXRhdmkiLCJJZCI6IjFkMTQ5NTZkLTJhNTktNDczZi1iN2Q2LTRlOWIxNzM4ZmUzNyIsIlJhbmdlTGVuZ3RoIjo2LCJSZWZlcmVuY2VJZCI6ImE3NmUwZTA0LTUxYjItNGJiNi05YzY3LTE1OTZiNDI2ZDA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QzNDQ1Nzk3MTMmZG9pPTEwLjEwMTYlMmZqLmludG1hbi4yMDA0LjA1LjAwNSZwYXJ0bmVySUQ9NDAmbWQ1PTQxOGVjMjIxZWQ2NTI3NDQ4OGMyZjA2Yzg1NDE3MjgzIiwiVXJpU3RyaW5nIjoiaHR0cHM6Ly93d3cuc2NvcHVzLmNvbS9pbndhcmQvcmVjb3JkLnVyaT9laWQ9Mi1zMi4wLTQzNDQ1Nzk3MTMmZG9pPTEwLjEwMTYlMmZqLmludG1hbi4yMDA0LjA1LjAwNSZwYXJ0bmVySUQ9NDAmbWQ1PTQxOGVjMjIxZWQ2NTI3NDQ4OGMyZjA2Yzg1NDE3Mjg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OaWtvIElwcGVuZG9yZiIsIkNyZWF0ZWRPbiI6IjIwMjQtMDYtMjRUMTM6NDk6NTYiLCJNb2RpZmllZEJ5IjoiX05pa28gSXBwZW5kb3JmIiwiSWQiOiI4NmJlMzQ2Zi00YjgwLTRmYTktOTFmMy04MjdkMTNkMTg5NzAiLCJNb2RpZmllZE9uIjoiMjAyNC0wNi0yNFQxMzo0OTo1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bnRtYW4uMjAwNC4wNS4wMDUiLCJVcmlTdHJpbmciOiJodHRwczovL2RvaS5vcmcvMTAuMTAxNi9qLmludG1hbi4yMDA0LjA1LjA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DQpIn1dfSwiVGFnIjoiQ2l0YXZpUGxhY2Vob2xkZXIjYzYyMDkwYjQtZGMwOS00Y2FjLThlYTAtZWRhOWU3OGJmNjJiIiwiVGV4dCI6IigyMDA0KSIsIldBSVZlcnNpb24iOiI2LjE5LjAuMCJ9}</w:instrText>
          </w:r>
          <w:r w:rsidR="0011304E">
            <w:rPr>
              <w:rFonts w:ascii="Times New Roman" w:hAnsi="Times New Roman" w:cs="Times New Roman"/>
              <w:b/>
              <w:sz w:val="24"/>
              <w:szCs w:val="24"/>
              <w:lang w:val="en-US"/>
            </w:rPr>
            <w:fldChar w:fldCharType="separate"/>
          </w:r>
          <w:r w:rsidR="0011304E">
            <w:rPr>
              <w:rFonts w:ascii="Times New Roman" w:hAnsi="Times New Roman" w:cs="Times New Roman"/>
              <w:b/>
              <w:sz w:val="24"/>
              <w:szCs w:val="24"/>
              <w:lang w:val="en-US"/>
            </w:rPr>
            <w:t>(2004)</w:t>
          </w:r>
          <w:r w:rsidR="0011304E">
            <w:rPr>
              <w:rFonts w:ascii="Times New Roman" w:hAnsi="Times New Roman" w:cs="Times New Roman"/>
              <w:b/>
              <w:sz w:val="24"/>
              <w:szCs w:val="24"/>
              <w:lang w:val="en-US"/>
            </w:rPr>
            <w:fldChar w:fldCharType="end"/>
          </w:r>
        </w:sdtContent>
      </w:sdt>
    </w:p>
    <w:p w14:paraId="1AA89E6D" w14:textId="77777777" w:rsidR="00657E0C" w:rsidRPr="00657E0C" w:rsidRDefault="00657E0C">
      <w:pPr>
        <w:rPr>
          <w:rFonts w:ascii="Times New Roman" w:hAnsi="Times New Roman" w:cs="Times New Roman"/>
          <w:b/>
          <w:sz w:val="24"/>
          <w:szCs w:val="24"/>
          <w:lang w:val="en-US"/>
        </w:rPr>
      </w:pPr>
    </w:p>
    <w:tbl>
      <w:tblPr>
        <w:tblStyle w:val="Tabellenraster"/>
        <w:tblW w:w="9071" w:type="dxa"/>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9071"/>
      </w:tblGrid>
      <w:tr w:rsidR="00657E0C" w:rsidRPr="00DD46B4" w14:paraId="4A8D3C5E" w14:textId="77777777" w:rsidTr="00657E0C">
        <w:tc>
          <w:tcPr>
            <w:tcW w:w="9071" w:type="dxa"/>
            <w:tcBorders>
              <w:top w:val="single" w:sz="4" w:space="0" w:color="auto"/>
              <w:bottom w:val="single" w:sz="4" w:space="0" w:color="auto"/>
            </w:tcBorders>
          </w:tcPr>
          <w:p w14:paraId="71865C3B" w14:textId="0F91E3B2" w:rsidR="00657E0C" w:rsidRPr="00657E0C" w:rsidRDefault="00657E0C" w:rsidP="00C035E1">
            <w:pPr>
              <w:spacing w:line="259" w:lineRule="auto"/>
              <w:rPr>
                <w:rFonts w:ascii="Times New Roman" w:hAnsi="Times New Roman" w:cs="Times New Roman"/>
                <w:lang w:val="en-US"/>
              </w:rPr>
            </w:pPr>
            <w:r w:rsidRPr="00657E0C">
              <w:rPr>
                <w:rFonts w:ascii="Times New Roman" w:hAnsi="Times New Roman" w:cs="Times New Roman"/>
                <w:b/>
                <w:lang w:val="en-US"/>
              </w:rPr>
              <w:t>Panel A: Literature reviews, meta-analyses, commentaries with broad coverage (partly without a specific focus on cross-border M&amp;A), papers difficult to assign</w:t>
            </w:r>
          </w:p>
        </w:tc>
      </w:tr>
      <w:tr w:rsidR="00657E0C" w:rsidRPr="00DD46B4" w14:paraId="1C93F37F" w14:textId="77777777" w:rsidTr="00657E0C">
        <w:tc>
          <w:tcPr>
            <w:tcW w:w="9071" w:type="dxa"/>
            <w:tcBorders>
              <w:top w:val="single" w:sz="4" w:space="0" w:color="auto"/>
            </w:tcBorders>
          </w:tcPr>
          <w:p w14:paraId="1DB1A24F" w14:textId="77777777" w:rsidR="00C74E75" w:rsidRDefault="00C74E75"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Cartwright and Schoenberg (2006), Cumming et al. (2023), </w:t>
            </w:r>
            <w:r w:rsidR="00447C78" w:rsidRPr="00C035E1">
              <w:rPr>
                <w:rFonts w:ascii="Times New Roman" w:hAnsi="Times New Roman" w:cs="Times New Roman"/>
                <w:sz w:val="20"/>
                <w:szCs w:val="20"/>
                <w:lang w:val="en-US"/>
              </w:rPr>
              <w:t>Eulerich et al. (2022)</w:t>
            </w:r>
            <w:r w:rsidR="00A6159F"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Galdino et al. (2022), </w:t>
            </w:r>
            <w:r w:rsidR="00235FFC" w:rsidRPr="00C035E1">
              <w:rPr>
                <w:rFonts w:ascii="Times New Roman" w:hAnsi="Times New Roman" w:cs="Times New Roman"/>
                <w:sz w:val="20"/>
                <w:szCs w:val="20"/>
                <w:lang w:val="en-US"/>
              </w:rPr>
              <w:t xml:space="preserve">Kiessling et al. (2021), </w:t>
            </w:r>
            <w:r w:rsidRPr="00C035E1">
              <w:rPr>
                <w:rFonts w:ascii="Times New Roman" w:hAnsi="Times New Roman" w:cs="Times New Roman"/>
                <w:sz w:val="20"/>
                <w:szCs w:val="20"/>
                <w:lang w:val="en-US"/>
              </w:rPr>
              <w:t xml:space="preserve">Lebedev et al. (2015), </w:t>
            </w:r>
            <w:r w:rsidR="00582983" w:rsidRPr="00C035E1">
              <w:rPr>
                <w:rFonts w:ascii="Times New Roman" w:hAnsi="Times New Roman" w:cs="Times New Roman"/>
                <w:sz w:val="20"/>
                <w:szCs w:val="20"/>
                <w:lang w:val="en-US"/>
              </w:rPr>
              <w:t>Liu et al. (2024)</w:t>
            </w:r>
            <w:r w:rsidR="007F6AC8" w:rsidRPr="00C035E1">
              <w:rPr>
                <w:rFonts w:ascii="Times New Roman" w:hAnsi="Times New Roman" w:cs="Times New Roman"/>
                <w:sz w:val="20"/>
                <w:szCs w:val="20"/>
                <w:lang w:val="en-US"/>
              </w:rPr>
              <w:t xml:space="preserve">, </w:t>
            </w:r>
            <w:r w:rsidR="00EC39DD" w:rsidRPr="00C035E1">
              <w:rPr>
                <w:rFonts w:ascii="Times New Roman" w:hAnsi="Times New Roman" w:cs="Times New Roman"/>
                <w:sz w:val="20"/>
                <w:szCs w:val="20"/>
                <w:lang w:val="en-US"/>
              </w:rPr>
              <w:t xml:space="preserve">Luo and Witt (2022), </w:t>
            </w:r>
            <w:r w:rsidRPr="00C035E1">
              <w:rPr>
                <w:rFonts w:ascii="Times New Roman" w:hAnsi="Times New Roman" w:cs="Times New Roman"/>
                <w:sz w:val="20"/>
                <w:szCs w:val="20"/>
                <w:lang w:val="en-US"/>
              </w:rPr>
              <w:t>Marano et al. (2016)</w:t>
            </w:r>
            <w:r w:rsidR="00CB036B" w:rsidRPr="00C035E1">
              <w:rPr>
                <w:rFonts w:ascii="Times New Roman" w:hAnsi="Times New Roman" w:cs="Times New Roman"/>
                <w:sz w:val="20"/>
                <w:szCs w:val="20"/>
                <w:lang w:val="en-US"/>
              </w:rPr>
              <w:t xml:space="preserve">, </w:t>
            </w:r>
            <w:r w:rsidR="009A69D0" w:rsidRPr="00C035E1">
              <w:rPr>
                <w:rFonts w:ascii="Times New Roman" w:hAnsi="Times New Roman" w:cs="Times New Roman"/>
                <w:sz w:val="20"/>
                <w:szCs w:val="20"/>
                <w:lang w:val="en-US"/>
              </w:rPr>
              <w:t xml:space="preserve">Palm </w:t>
            </w:r>
            <w:r w:rsidRPr="00C035E1">
              <w:rPr>
                <w:rFonts w:ascii="Times New Roman" w:hAnsi="Times New Roman" w:cs="Times New Roman"/>
                <w:sz w:val="20"/>
                <w:szCs w:val="20"/>
                <w:lang w:val="en-US"/>
              </w:rPr>
              <w:t>et al. (202</w:t>
            </w:r>
            <w:r w:rsidR="00A24112" w:rsidRPr="00C035E1">
              <w:rPr>
                <w:rFonts w:ascii="Times New Roman" w:hAnsi="Times New Roman" w:cs="Times New Roman"/>
                <w:sz w:val="20"/>
                <w:szCs w:val="20"/>
                <w:lang w:val="en-US"/>
              </w:rPr>
              <w:t>4</w:t>
            </w:r>
            <w:r w:rsidRPr="00C035E1">
              <w:rPr>
                <w:rFonts w:ascii="Times New Roman" w:hAnsi="Times New Roman" w:cs="Times New Roman"/>
                <w:sz w:val="20"/>
                <w:szCs w:val="20"/>
                <w:lang w:val="en-US"/>
              </w:rPr>
              <w:t xml:space="preserve">), Renneboog and Vansteenkiste (2017), </w:t>
            </w:r>
            <w:r w:rsidR="00B000C8" w:rsidRPr="00C035E1">
              <w:rPr>
                <w:rFonts w:ascii="Times New Roman" w:hAnsi="Times New Roman" w:cs="Times New Roman"/>
                <w:sz w:val="20"/>
                <w:szCs w:val="20"/>
                <w:lang w:val="en-US"/>
              </w:rPr>
              <w:t xml:space="preserve">Reynolds and Teerikangas (2016), </w:t>
            </w:r>
            <w:r w:rsidRPr="00C035E1">
              <w:rPr>
                <w:rFonts w:ascii="Times New Roman" w:hAnsi="Times New Roman" w:cs="Times New Roman"/>
                <w:sz w:val="20"/>
                <w:szCs w:val="20"/>
                <w:lang w:val="en-US"/>
              </w:rPr>
              <w:t xml:space="preserve">Shimizu et al. </w:t>
            </w:r>
            <w:r w:rsidRPr="00762585">
              <w:rPr>
                <w:rFonts w:ascii="Times New Roman" w:hAnsi="Times New Roman" w:cs="Times New Roman"/>
                <w:sz w:val="20"/>
                <w:szCs w:val="20"/>
                <w:lang w:val="en-US"/>
              </w:rPr>
              <w:t xml:space="preserve">(2004), </w:t>
            </w:r>
            <w:r w:rsidR="005F54EA" w:rsidRPr="00762585">
              <w:rPr>
                <w:rFonts w:ascii="Times New Roman" w:hAnsi="Times New Roman" w:cs="Times New Roman"/>
                <w:sz w:val="20"/>
                <w:szCs w:val="20"/>
                <w:lang w:val="en-US"/>
              </w:rPr>
              <w:t xml:space="preserve">Søderberg (2006), </w:t>
            </w:r>
            <w:r w:rsidRPr="00762585">
              <w:rPr>
                <w:rFonts w:ascii="Times New Roman" w:hAnsi="Times New Roman" w:cs="Times New Roman"/>
                <w:sz w:val="20"/>
                <w:szCs w:val="20"/>
                <w:lang w:val="en-US"/>
              </w:rPr>
              <w:t xml:space="preserve">Stahl and Voigt (2008), Wan et al. (2023), Zahoor et al. </w:t>
            </w:r>
            <w:r w:rsidRPr="00C035E1">
              <w:rPr>
                <w:rFonts w:ascii="Times New Roman" w:hAnsi="Times New Roman" w:cs="Times New Roman"/>
                <w:sz w:val="20"/>
                <w:szCs w:val="20"/>
                <w:lang w:val="en-US"/>
              </w:rPr>
              <w:t xml:space="preserve">(2022), </w:t>
            </w:r>
            <w:r w:rsidR="00622596" w:rsidRPr="00C035E1">
              <w:rPr>
                <w:rFonts w:ascii="Times New Roman" w:hAnsi="Times New Roman" w:cs="Times New Roman"/>
                <w:sz w:val="20"/>
                <w:szCs w:val="20"/>
                <w:lang w:val="en-US"/>
              </w:rPr>
              <w:t xml:space="preserve">Zander and Zander (2010), </w:t>
            </w:r>
            <w:r w:rsidRPr="00C035E1">
              <w:rPr>
                <w:rFonts w:ascii="Times New Roman" w:hAnsi="Times New Roman" w:cs="Times New Roman"/>
                <w:sz w:val="20"/>
                <w:szCs w:val="20"/>
                <w:lang w:val="en-US"/>
              </w:rPr>
              <w:t xml:space="preserve">Zhang et al. </w:t>
            </w:r>
            <w:r w:rsidRPr="00762585">
              <w:rPr>
                <w:rFonts w:ascii="Times New Roman" w:hAnsi="Times New Roman" w:cs="Times New Roman"/>
                <w:sz w:val="20"/>
                <w:szCs w:val="20"/>
                <w:lang w:val="en-US"/>
              </w:rPr>
              <w:t>(2024</w:t>
            </w:r>
            <w:r w:rsidR="00A76C94" w:rsidRPr="00762585">
              <w:rPr>
                <w:rFonts w:ascii="Times New Roman" w:hAnsi="Times New Roman" w:cs="Times New Roman"/>
                <w:sz w:val="20"/>
                <w:szCs w:val="20"/>
                <w:lang w:val="en-US"/>
              </w:rPr>
              <w:t>a</w:t>
            </w:r>
            <w:r w:rsidRPr="00762585">
              <w:rPr>
                <w:rFonts w:ascii="Times New Roman" w:hAnsi="Times New Roman" w:cs="Times New Roman"/>
                <w:sz w:val="20"/>
                <w:szCs w:val="20"/>
                <w:lang w:val="en-US"/>
              </w:rPr>
              <w:t>)</w:t>
            </w:r>
          </w:p>
          <w:p w14:paraId="13C8E207" w14:textId="1396DD39" w:rsidR="00762585" w:rsidRPr="00C035E1" w:rsidRDefault="00762585" w:rsidP="00C035E1">
            <w:pPr>
              <w:spacing w:line="259" w:lineRule="auto"/>
              <w:rPr>
                <w:rFonts w:ascii="Times New Roman" w:hAnsi="Times New Roman" w:cs="Times New Roman"/>
                <w:sz w:val="20"/>
                <w:szCs w:val="20"/>
                <w:lang w:val="en-US"/>
              </w:rPr>
            </w:pPr>
          </w:p>
        </w:tc>
      </w:tr>
      <w:tr w:rsidR="00657E0C" w:rsidRPr="00DD46B4" w14:paraId="1D6FA1F2" w14:textId="77777777" w:rsidTr="002F75FA">
        <w:tblPrEx>
          <w:tblBorders>
            <w:insideH w:val="single" w:sz="4" w:space="0" w:color="auto"/>
          </w:tblBorders>
        </w:tblPrEx>
        <w:tc>
          <w:tcPr>
            <w:tcW w:w="9071" w:type="dxa"/>
          </w:tcPr>
          <w:p w14:paraId="77F8C377" w14:textId="24E5C960"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Panel B: Papers referring to Cross-border M&amp;A as a mode of entry in a foreign market</w:t>
            </w:r>
          </w:p>
        </w:tc>
      </w:tr>
      <w:tr w:rsidR="00A74101" w:rsidRPr="00DD46B4" w14:paraId="70D5BDB6" w14:textId="77777777" w:rsidTr="002F75FA">
        <w:tblPrEx>
          <w:tblBorders>
            <w:insideH w:val="single" w:sz="4" w:space="0" w:color="auto"/>
          </w:tblBorders>
        </w:tblPrEx>
        <w:tc>
          <w:tcPr>
            <w:tcW w:w="9071" w:type="dxa"/>
          </w:tcPr>
          <w:p w14:paraId="36DDEAB7" w14:textId="40B240D8"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Literature</w:t>
            </w:r>
            <w:r w:rsidR="002F75FA" w:rsidRPr="00C035E1">
              <w:rPr>
                <w:rFonts w:ascii="Times New Roman" w:hAnsi="Times New Roman" w:cs="Times New Roman"/>
                <w:b/>
                <w:sz w:val="20"/>
                <w:szCs w:val="20"/>
                <w:lang w:val="en-US"/>
              </w:rPr>
              <w:t xml:space="preserve"> reviews, bibliometric </w:t>
            </w:r>
            <w:r w:rsidRPr="00C035E1">
              <w:rPr>
                <w:rFonts w:ascii="Times New Roman" w:hAnsi="Times New Roman" w:cs="Times New Roman"/>
                <w:b/>
                <w:sz w:val="20"/>
                <w:szCs w:val="20"/>
                <w:lang w:val="en-US"/>
              </w:rPr>
              <w:t>reviews</w:t>
            </w:r>
            <w:r w:rsidR="002F75FA" w:rsidRPr="00C035E1">
              <w:rPr>
                <w:rFonts w:ascii="Times New Roman" w:hAnsi="Times New Roman" w:cs="Times New Roman"/>
                <w:b/>
                <w:sz w:val="20"/>
                <w:szCs w:val="20"/>
                <w:lang w:val="en-US"/>
              </w:rPr>
              <w:t>,</w:t>
            </w:r>
            <w:r w:rsidRPr="00C035E1">
              <w:rPr>
                <w:rFonts w:ascii="Times New Roman" w:hAnsi="Times New Roman" w:cs="Times New Roman"/>
                <w:b/>
                <w:sz w:val="20"/>
                <w:szCs w:val="20"/>
                <w:lang w:val="en-US"/>
              </w:rPr>
              <w:t xml:space="preserve"> and meta-studies</w:t>
            </w:r>
          </w:p>
          <w:p w14:paraId="7A82391B" w14:textId="77777777" w:rsidR="009710D3" w:rsidRPr="00762585"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Beugelsdijk et al. (2018), Brouthers and Hennart (2007), Dikova and Brothers (2016), Goergen and Renneboog (2008), Kim and Aguilera (2016), Klier et al. </w:t>
            </w:r>
            <w:r w:rsidRPr="00762585">
              <w:rPr>
                <w:rFonts w:ascii="Times New Roman" w:hAnsi="Times New Roman" w:cs="Times New Roman"/>
                <w:sz w:val="20"/>
                <w:szCs w:val="20"/>
                <w:lang w:val="en-US"/>
              </w:rPr>
              <w:t xml:space="preserve">(2017), Morschett et al. (2010), Rotting et al. </w:t>
            </w:r>
            <w:r w:rsidRPr="00C035E1">
              <w:rPr>
                <w:rFonts w:ascii="Times New Roman" w:hAnsi="Times New Roman" w:cs="Times New Roman"/>
                <w:sz w:val="20"/>
                <w:szCs w:val="20"/>
                <w:lang w:val="en-US"/>
              </w:rPr>
              <w:t xml:space="preserve">(2014), Slangen and Hennart (2007), </w:t>
            </w:r>
            <w:r w:rsidRPr="00762585">
              <w:rPr>
                <w:rFonts w:ascii="Times New Roman" w:hAnsi="Times New Roman" w:cs="Times New Roman"/>
                <w:sz w:val="20"/>
                <w:szCs w:val="20"/>
                <w:lang w:val="en-US"/>
              </w:rPr>
              <w:t>Xie et al. (2017), Wan et al. (2023)</w:t>
            </w:r>
          </w:p>
        </w:tc>
      </w:tr>
      <w:tr w:rsidR="00A74101" w:rsidRPr="00C035E1" w14:paraId="1FC8D980" w14:textId="77777777" w:rsidTr="002F75FA">
        <w:tblPrEx>
          <w:tblBorders>
            <w:insideH w:val="single" w:sz="4" w:space="0" w:color="auto"/>
          </w:tblBorders>
        </w:tblPrEx>
        <w:tc>
          <w:tcPr>
            <w:tcW w:w="9071" w:type="dxa"/>
          </w:tcPr>
          <w:p w14:paraId="52DBE787" w14:textId="77777777"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Individual/CEO and board level</w:t>
            </w:r>
          </w:p>
          <w:p w14:paraId="594DFBFC" w14:textId="77777777" w:rsidR="009710D3" w:rsidRPr="00C035E1"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Agcayazi et al. (2024), Bao and Li (2024), Bazel-Shoham et al. </w:t>
            </w:r>
            <w:r w:rsidRPr="00762585">
              <w:rPr>
                <w:rFonts w:ascii="Times New Roman" w:hAnsi="Times New Roman" w:cs="Times New Roman"/>
                <w:sz w:val="20"/>
                <w:szCs w:val="20"/>
                <w:lang w:val="en-US"/>
              </w:rPr>
              <w:t xml:space="preserve">(2020), Benischke et al. (2020), Cao et al. </w:t>
            </w:r>
            <w:r w:rsidRPr="00C035E1">
              <w:rPr>
                <w:rFonts w:ascii="Times New Roman" w:hAnsi="Times New Roman" w:cs="Times New Roman"/>
                <w:sz w:val="20"/>
                <w:szCs w:val="20"/>
                <w:lang w:val="en-US"/>
              </w:rPr>
              <w:t xml:space="preserve">(2019), Chen et al. (2019), Chittoor et al. (2015), Datta et al. (2015), Ding et al. (2021), Elia et al. (2021), Fernandez and Sundaramurthy (2020), Ferris et al. (2013), Gada et al. (2024), Garcia and Herrero (2021), Kim and Liang (2023), Lai et al. </w:t>
            </w:r>
            <w:r w:rsidRPr="00762585">
              <w:rPr>
                <w:rFonts w:ascii="Times New Roman" w:hAnsi="Times New Roman" w:cs="Times New Roman"/>
                <w:sz w:val="20"/>
                <w:szCs w:val="20"/>
                <w:lang w:val="en-US"/>
              </w:rPr>
              <w:t>(2012), Picone et al. (2021), Wang (2019), Yu et al. (2024), Zil</w:t>
            </w:r>
            <w:r w:rsidRPr="00C035E1">
              <w:rPr>
                <w:rFonts w:ascii="Times New Roman" w:hAnsi="Times New Roman" w:cs="Times New Roman"/>
                <w:sz w:val="20"/>
                <w:szCs w:val="20"/>
              </w:rPr>
              <w:t xml:space="preserve">ja et al. </w:t>
            </w:r>
            <w:r w:rsidRPr="00C035E1">
              <w:rPr>
                <w:rFonts w:ascii="Times New Roman" w:hAnsi="Times New Roman" w:cs="Times New Roman"/>
                <w:sz w:val="20"/>
                <w:szCs w:val="20"/>
                <w:lang w:val="en-US"/>
              </w:rPr>
              <w:t>(2023)</w:t>
            </w:r>
          </w:p>
        </w:tc>
      </w:tr>
      <w:tr w:rsidR="00A74101" w:rsidRPr="00C035E1" w14:paraId="2F8A6505" w14:textId="77777777" w:rsidTr="002F75FA">
        <w:tblPrEx>
          <w:tblBorders>
            <w:insideH w:val="single" w:sz="4" w:space="0" w:color="auto"/>
          </w:tblBorders>
        </w:tblPrEx>
        <w:tc>
          <w:tcPr>
            <w:tcW w:w="9071" w:type="dxa"/>
          </w:tcPr>
          <w:p w14:paraId="774CCD00" w14:textId="77777777"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Firm level</w:t>
            </w:r>
          </w:p>
          <w:p w14:paraId="58618078" w14:textId="77777777" w:rsidR="009710D3" w:rsidRPr="00C035E1"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Ahammad et al. (2017a), Andriosopolous and Yang (2015), Ahsan et al. (2021), Basuil and Datta (2019), Bose et al. (2021), Brar et al. (2009), Buch and DeLong (2004), Buckley et al. (2016a)</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Buckley et al. (2016b)</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Buckley et al. (2017)</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Chari and Chang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Chen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Contractor et al. (2014)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Deng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Deng and Yang (2015)</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Dikova et al. (2019)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Drobetz and Momtaz (2020)</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Elango et al. (2013)</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Ferreira et al. (2010)</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Forssbæck and Oxelheim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Garcia and Herrero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Gaur et al. </w:t>
            </w:r>
            <w:r w:rsidRPr="00C035E1">
              <w:rPr>
                <w:rFonts w:ascii="Times New Roman" w:hAnsi="Times New Roman" w:cs="Times New Roman"/>
                <w:sz w:val="20"/>
                <w:szCs w:val="20"/>
              </w:rPr>
              <w:t>(2013)</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Gubbi (2015)</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Hammer et al. (2017)</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Hillemann and Gestrin (2016)</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Knoerich (2010)</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Lahiri et al. </w:t>
            </w:r>
            <w:r w:rsidRPr="00C035E1">
              <w:rPr>
                <w:rFonts w:ascii="Times New Roman" w:hAnsi="Times New Roman" w:cs="Times New Roman"/>
                <w:sz w:val="20"/>
                <w:szCs w:val="20"/>
                <w:lang w:val="en-US"/>
              </w:rPr>
              <w:t>(2014)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Mukherjee and Proebsting (2011)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Noseleit et al. (2024)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Øyna et al. (2018)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Power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Raff et al. (2012)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Reuer et al. (2004)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Rui and Yip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Shi et al.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(2011)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and Hennart (2008b)</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Sun et al. (2012)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Tan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Tarsalewska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Wang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Zheng et al. (2016)</w:t>
            </w:r>
          </w:p>
        </w:tc>
      </w:tr>
      <w:tr w:rsidR="00A74101" w:rsidRPr="00C035E1" w14:paraId="231DC905" w14:textId="77777777" w:rsidTr="002F75FA">
        <w:tblPrEx>
          <w:tblBorders>
            <w:insideH w:val="single" w:sz="4" w:space="0" w:color="auto"/>
          </w:tblBorders>
        </w:tblPrEx>
        <w:tc>
          <w:tcPr>
            <w:tcW w:w="9071" w:type="dxa"/>
          </w:tcPr>
          <w:p w14:paraId="6B523A18" w14:textId="77777777" w:rsidR="00967E61" w:rsidRPr="00C035E1" w:rsidRDefault="00967E6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Industry level</w:t>
            </w:r>
          </w:p>
          <w:p w14:paraId="4C8B9D49" w14:textId="77777777" w:rsidR="009710D3" w:rsidRPr="00C035E1" w:rsidRDefault="00967E61" w:rsidP="00C035E1">
            <w:pPr>
              <w:spacing w:line="259" w:lineRule="auto"/>
              <w:rPr>
                <w:rFonts w:ascii="Times New Roman" w:hAnsi="Times New Roman" w:cs="Times New Roman"/>
                <w:sz w:val="20"/>
                <w:szCs w:val="20"/>
                <w:lang w:val="en-US"/>
              </w:rPr>
            </w:pPr>
            <w:r w:rsidRPr="00D24718">
              <w:rPr>
                <w:rFonts w:ascii="Times New Roman" w:hAnsi="Times New Roman" w:cs="Times New Roman"/>
                <w:sz w:val="20"/>
                <w:szCs w:val="20"/>
                <w:lang w:val="en-US"/>
              </w:rPr>
              <w:t xml:space="preserve">Blonigen et al. (2020), Bremus (2015), Brisley et al. </w:t>
            </w:r>
            <w:r w:rsidRPr="00C035E1">
              <w:rPr>
                <w:rFonts w:ascii="Times New Roman" w:hAnsi="Times New Roman" w:cs="Times New Roman"/>
                <w:sz w:val="20"/>
                <w:szCs w:val="20"/>
                <w:lang w:val="en-US"/>
              </w:rPr>
              <w:t>(2011), Ciani and Gregory (2024), , Clougherty et al. (2017), Contractor et al. (2014), Fani et al. (2023), Focarelli and Pozollo (2008), Frésard et al. (2017), Fuentelsaz et al. (2021), Fumagalli and Vasconcelos (2009), Hennart et al. (2015), Hsu et al. (2021), Li et al. (2017</w:t>
            </w:r>
            <w:r w:rsidR="00EA797A"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Mariscal (2021), Singla (2019), Srinivasan (2020), Tardios and Clegg (2024), Wan et al. (2023), Xia (2010), Yang and Hyland (2012)</w:t>
            </w:r>
          </w:p>
        </w:tc>
      </w:tr>
      <w:tr w:rsidR="00A74101" w:rsidRPr="00C035E1" w14:paraId="1093006B" w14:textId="77777777" w:rsidTr="002F75FA">
        <w:tblPrEx>
          <w:tblBorders>
            <w:insideH w:val="single" w:sz="4" w:space="0" w:color="auto"/>
          </w:tblBorders>
        </w:tblPrEx>
        <w:tc>
          <w:tcPr>
            <w:tcW w:w="9071" w:type="dxa"/>
          </w:tcPr>
          <w:p w14:paraId="48B593F1" w14:textId="36F30B22" w:rsidR="00967E61" w:rsidRPr="00C035E1" w:rsidRDefault="00967E6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Country level, </w:t>
            </w:r>
            <w:r w:rsidR="002F75FA" w:rsidRPr="00C035E1">
              <w:rPr>
                <w:rFonts w:ascii="Times New Roman" w:hAnsi="Times New Roman" w:cs="Times New Roman"/>
                <w:b/>
                <w:sz w:val="20"/>
                <w:szCs w:val="20"/>
                <w:lang w:val="en-US"/>
              </w:rPr>
              <w:t>s</w:t>
            </w:r>
            <w:r w:rsidRPr="00C035E1">
              <w:rPr>
                <w:rFonts w:ascii="Times New Roman" w:hAnsi="Times New Roman" w:cs="Times New Roman"/>
                <w:b/>
                <w:sz w:val="20"/>
                <w:szCs w:val="20"/>
                <w:lang w:val="en-US"/>
              </w:rPr>
              <w:t>tate policy</w:t>
            </w:r>
            <w:r w:rsidR="002F75FA" w:rsidRPr="00C035E1">
              <w:rPr>
                <w:rFonts w:ascii="Times New Roman" w:hAnsi="Times New Roman" w:cs="Times New Roman"/>
                <w:b/>
                <w:sz w:val="20"/>
                <w:szCs w:val="20"/>
                <w:lang w:val="en-US"/>
              </w:rPr>
              <w:t xml:space="preserve">, and </w:t>
            </w:r>
            <w:r w:rsidRPr="00C035E1">
              <w:rPr>
                <w:rFonts w:ascii="Times New Roman" w:hAnsi="Times New Roman" w:cs="Times New Roman"/>
                <w:b/>
                <w:sz w:val="20"/>
                <w:szCs w:val="20"/>
                <w:lang w:val="en-US"/>
              </w:rPr>
              <w:t>geopolitics</w:t>
            </w:r>
          </w:p>
          <w:p w14:paraId="78F95732" w14:textId="77777777" w:rsidR="009710D3" w:rsidRPr="00C035E1" w:rsidRDefault="00967E61"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Aleksanyan et al. (2021), Alon et al. (2020), Alvarez and Marin (2010), Ang et al. (2015), Appadu et al. (2016), Arikan et al. (2020), Arulampalam et al. (2019), Arslan et al. (2023), Baik et al. (2015), Barbopoulos et al. (2012), Basu et al. (2023), Basuil and Datta (2019), Bazel-Shoham et al. </w:t>
            </w:r>
            <w:r w:rsidRPr="00C035E1">
              <w:rPr>
                <w:rFonts w:ascii="Times New Roman" w:hAnsi="Times New Roman" w:cs="Times New Roman"/>
                <w:sz w:val="20"/>
                <w:szCs w:val="20"/>
              </w:rPr>
              <w:t xml:space="preserve">(2023), Blonigen et al. (2020), Boateng et al. (2017), Brakman et al. (2013), Brakman et al. </w:t>
            </w:r>
            <w:r w:rsidRPr="00C035E1">
              <w:rPr>
                <w:rFonts w:ascii="Times New Roman" w:hAnsi="Times New Roman" w:cs="Times New Roman"/>
                <w:sz w:val="20"/>
                <w:szCs w:val="20"/>
                <w:lang w:val="en-US"/>
              </w:rPr>
              <w:t>(2023), Brooks et al. (2004), Buch and DeLong (2004), Chandrika et al. (2022), Choi (2022), Choi et al. (2016), Contractor et al.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Di Guardo et al. </w:t>
            </w:r>
            <w:r w:rsidRPr="00C035E1">
              <w:rPr>
                <w:rFonts w:ascii="Times New Roman" w:hAnsi="Times New Roman" w:cs="Times New Roman"/>
                <w:sz w:val="20"/>
                <w:szCs w:val="20"/>
                <w:lang w:val="en-US"/>
              </w:rPr>
              <w:lastRenderedPageBreak/>
              <w:t>(2016)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Dikova et al. (2019)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Dinc and Erel (2013)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Drogendijk and Slangen (2006)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Erel et al. (2012)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Feld et al.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Falaster et al. (2021)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Francis et al.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Gaffney et al. </w:t>
            </w:r>
            <w:r w:rsidRPr="00C035E1">
              <w:rPr>
                <w:rFonts w:ascii="Times New Roman" w:hAnsi="Times New Roman" w:cs="Times New Roman"/>
                <w:sz w:val="20"/>
                <w:szCs w:val="20"/>
              </w:rPr>
              <w:t>(2016)</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Galamhussen et al. (2016)</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Gaur et al. (2022)</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Henley (2021)</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Hu et al. </w:t>
            </w:r>
            <w:r w:rsidRPr="00C035E1">
              <w:rPr>
                <w:rFonts w:ascii="Times New Roman" w:hAnsi="Times New Roman" w:cs="Times New Roman"/>
                <w:sz w:val="20"/>
                <w:szCs w:val="20"/>
                <w:lang w:val="en-US"/>
              </w:rPr>
              <w:t>(2020)</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Huizinga and Voget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Irwin et al. (2022)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Kandilov et al. (2017)</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Lawrence et al.</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Liou et al.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Loureiro and Silva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Malhotra and Gaur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Malhotra et al. (2011a)</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Malhotra et al. </w:t>
            </w:r>
            <w:r w:rsidRPr="00C035E1">
              <w:rPr>
                <w:rFonts w:ascii="Times New Roman" w:hAnsi="Times New Roman" w:cs="Times New Roman"/>
                <w:sz w:val="20"/>
                <w:szCs w:val="20"/>
              </w:rPr>
              <w:t>(2011b)</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Moschieri et al. (2014)</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Nachum et al. (2008)</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Noseleit et al. </w:t>
            </w:r>
            <w:r w:rsidRPr="00C035E1">
              <w:rPr>
                <w:rFonts w:ascii="Times New Roman" w:hAnsi="Times New Roman" w:cs="Times New Roman"/>
                <w:sz w:val="20"/>
                <w:szCs w:val="20"/>
                <w:lang w:val="en-US"/>
              </w:rPr>
              <w:t>(2024)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Okoshi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Owen and Yawson (2010)</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Pablo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Pinto et al. (2017)</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Prettl and Hagen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Ragozzino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Tunyi and Ntim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Uddin and Boateng (2011)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Rossi and Volpin (2004)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Shen et al. (2021)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(2013)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Tardios and Clegg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Umber et al.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Utesch-Xiong et al.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Vissa and Thenmozhi (2022)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Wang et al.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Wu and Di Fan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Yoon et al. </w:t>
            </w:r>
            <w:r w:rsidRPr="00C035E1">
              <w:rPr>
                <w:rFonts w:ascii="Times New Roman" w:hAnsi="Times New Roman" w:cs="Times New Roman"/>
                <w:sz w:val="20"/>
                <w:szCs w:val="20"/>
              </w:rPr>
              <w:t>(2020)</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Zhang et al. (2018)</w:t>
            </w:r>
          </w:p>
        </w:tc>
      </w:tr>
      <w:tr w:rsidR="00657E0C" w:rsidRPr="00C035E1" w14:paraId="69C710B6" w14:textId="77777777" w:rsidTr="002F75FA">
        <w:tblPrEx>
          <w:tblBorders>
            <w:insideH w:val="single" w:sz="4" w:space="0" w:color="auto"/>
          </w:tblBorders>
        </w:tblPrEx>
        <w:tc>
          <w:tcPr>
            <w:tcW w:w="9071" w:type="dxa"/>
          </w:tcPr>
          <w:p w14:paraId="7283C808" w14:textId="77777777" w:rsidR="00FE3709" w:rsidRPr="00C035E1" w:rsidRDefault="00FE3709"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lastRenderedPageBreak/>
              <w:t>Miscellaneous/difficult to assign</w:t>
            </w:r>
          </w:p>
          <w:p w14:paraId="449DDFD4" w14:textId="77777777" w:rsidR="00FE3709" w:rsidRPr="00C035E1"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Beladi et al. (2010), Brouthers and Dikova (2010), Buckley et al. (2010), Caiazza et al. (2012)</w:t>
            </w:r>
          </w:p>
          <w:p w14:paraId="6DA82032" w14:textId="77777777" w:rsidR="009710D3"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Dikova and van Witteloostuijn (2007), Fuad and Gaur (2019), Fuad et al. (2021), Stucchi (2012), Useche et al. (2020), Rao-Nicholson and Khan (2017), Wang and Wang (2012), Zhang et al. (2021</w:t>
            </w:r>
            <w:r w:rsidR="003D6CA4"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w:t>
            </w:r>
          </w:p>
          <w:p w14:paraId="77A0AAD8" w14:textId="42AC78EE" w:rsidR="00762585" w:rsidRPr="00C035E1" w:rsidRDefault="00762585" w:rsidP="00C035E1">
            <w:pPr>
              <w:spacing w:line="259" w:lineRule="auto"/>
              <w:rPr>
                <w:rFonts w:ascii="Times New Roman" w:hAnsi="Times New Roman" w:cs="Times New Roman"/>
                <w:sz w:val="20"/>
                <w:szCs w:val="20"/>
                <w:lang w:val="en-US"/>
              </w:rPr>
            </w:pPr>
          </w:p>
        </w:tc>
      </w:tr>
      <w:tr w:rsidR="00657E0C" w:rsidRPr="00DD46B4" w14:paraId="66D8FCED" w14:textId="77777777" w:rsidTr="002F75FA">
        <w:tblPrEx>
          <w:tblBorders>
            <w:insideH w:val="single" w:sz="4" w:space="0" w:color="auto"/>
          </w:tblBorders>
        </w:tblPrEx>
        <w:tc>
          <w:tcPr>
            <w:tcW w:w="9071" w:type="dxa"/>
          </w:tcPr>
          <w:p w14:paraId="13F2DB6F" w14:textId="69E479E0"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Panel C: Papers referring to Cross-border M&amp;A as a dynamic learning process</w:t>
            </w:r>
          </w:p>
        </w:tc>
      </w:tr>
      <w:tr w:rsidR="00A74101" w:rsidRPr="00C035E1" w14:paraId="37C787E8" w14:textId="77777777" w:rsidTr="002F75FA">
        <w:tblPrEx>
          <w:tblBorders>
            <w:insideH w:val="single" w:sz="4" w:space="0" w:color="auto"/>
          </w:tblBorders>
        </w:tblPrEx>
        <w:tc>
          <w:tcPr>
            <w:tcW w:w="9071" w:type="dxa"/>
          </w:tcPr>
          <w:p w14:paraId="64498D08" w14:textId="72913B77"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Literature reviews</w:t>
            </w:r>
          </w:p>
          <w:p w14:paraId="28509DEE" w14:textId="373F6D05"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Barkema and Schijven (2008), Cooke et al. </w:t>
            </w:r>
            <w:r w:rsidRPr="00C035E1">
              <w:rPr>
                <w:rFonts w:ascii="Times New Roman" w:hAnsi="Times New Roman" w:cs="Times New Roman"/>
                <w:sz w:val="20"/>
                <w:szCs w:val="20"/>
              </w:rPr>
              <w:t>(2018), Sarala et al. (2019), Steigenberger (2017)</w:t>
            </w:r>
          </w:p>
        </w:tc>
      </w:tr>
      <w:tr w:rsidR="00A74101" w:rsidRPr="00C035E1" w14:paraId="78779794" w14:textId="77777777" w:rsidTr="002F75FA">
        <w:tblPrEx>
          <w:tblBorders>
            <w:insideH w:val="single" w:sz="4" w:space="0" w:color="auto"/>
          </w:tblBorders>
        </w:tblPrEx>
        <w:tc>
          <w:tcPr>
            <w:tcW w:w="9071" w:type="dxa"/>
          </w:tcPr>
          <w:p w14:paraId="36FE90AE" w14:textId="0A51FA2E"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Learning, knowledge, and capability transfer</w:t>
            </w:r>
          </w:p>
          <w:p w14:paraId="5E798F34" w14:textId="3DE9BAD0"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Björkman et al. (2007), Bu et al. (2022), Collins et al. (2009), Colombo et al. (2007), Galavotti et al. (2017), Haider et al. (2023), Hayashi et al. (2018), Hughes et al. (2020), Lee et al. (2023</w:t>
            </w:r>
            <w:r w:rsidR="003D6CA4"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 xml:space="preserve">), Liu and Meyer (2020), Miozzo et al. (2016), Mukherji et al. (2013), Pandey et al. (2021), Park and Choi (2014), Pioch (2007), Sarala and Vaara (2010), Santangelo and Stucchi (2018), Vaara et al. </w:t>
            </w:r>
            <w:r w:rsidRPr="00C035E1">
              <w:rPr>
                <w:rFonts w:ascii="Times New Roman" w:hAnsi="Times New Roman" w:cs="Times New Roman"/>
                <w:sz w:val="20"/>
                <w:szCs w:val="20"/>
              </w:rPr>
              <w:t xml:space="preserve">(2012), Verbeke (2010), Wu and Morschett (2023), Xia et al. (2018), Yahiaoui et al. </w:t>
            </w:r>
            <w:r w:rsidRPr="00C035E1">
              <w:rPr>
                <w:rFonts w:ascii="Times New Roman" w:hAnsi="Times New Roman" w:cs="Times New Roman"/>
                <w:sz w:val="20"/>
                <w:szCs w:val="20"/>
                <w:lang w:val="en-US"/>
              </w:rPr>
              <w:t xml:space="preserve">(2016), Yildiz (2016), Yildiz and Fey (2010), Zámborský et al. (2023), Zhou et al. </w:t>
            </w:r>
            <w:r w:rsidRPr="00C035E1">
              <w:rPr>
                <w:rFonts w:ascii="Times New Roman" w:hAnsi="Times New Roman" w:cs="Times New Roman"/>
                <w:sz w:val="20"/>
                <w:szCs w:val="20"/>
              </w:rPr>
              <w:t>(2020), Zou and Ghauri (2008)</w:t>
            </w:r>
          </w:p>
        </w:tc>
      </w:tr>
      <w:tr w:rsidR="00A74101" w:rsidRPr="00C035E1" w14:paraId="6B95A9D8" w14:textId="77777777" w:rsidTr="002F75FA">
        <w:tblPrEx>
          <w:tblBorders>
            <w:insideH w:val="single" w:sz="4" w:space="0" w:color="auto"/>
          </w:tblBorders>
        </w:tblPrEx>
        <w:tc>
          <w:tcPr>
            <w:tcW w:w="9071" w:type="dxa"/>
          </w:tcPr>
          <w:p w14:paraId="7D951D6B" w14:textId="08B8DDEE"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Due-diligence process</w:t>
            </w:r>
          </w:p>
          <w:p w14:paraId="35B7E9EB" w14:textId="05F75C1B"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Conklin (2005), Kolb (2019), Fernandez and Sundaramurthy (2020), Mukherji et al. (2013), Popli and Ahsan (2024), Rajamani et al. </w:t>
            </w:r>
            <w:r w:rsidRPr="00C035E1">
              <w:rPr>
                <w:rFonts w:ascii="Times New Roman" w:hAnsi="Times New Roman" w:cs="Times New Roman"/>
                <w:sz w:val="20"/>
                <w:szCs w:val="20"/>
              </w:rPr>
              <w:t>(2017), Westbrock et al. (2019)</w:t>
            </w:r>
          </w:p>
        </w:tc>
      </w:tr>
      <w:tr w:rsidR="00A74101" w:rsidRPr="00C035E1" w14:paraId="7CC92911" w14:textId="77777777" w:rsidTr="002F75FA">
        <w:tblPrEx>
          <w:tblBorders>
            <w:insideH w:val="single" w:sz="4" w:space="0" w:color="auto"/>
          </w:tblBorders>
        </w:tblPrEx>
        <w:tc>
          <w:tcPr>
            <w:tcW w:w="9071" w:type="dxa"/>
          </w:tcPr>
          <w:p w14:paraId="616630C8" w14:textId="19B8DDB2"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Negotiation process</w:t>
            </w:r>
          </w:p>
          <w:p w14:paraId="42CE3B63" w14:textId="6DA089D3"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Ahammad et al. </w:t>
            </w:r>
            <w:r w:rsidRPr="00762585">
              <w:rPr>
                <w:rFonts w:ascii="Times New Roman" w:hAnsi="Times New Roman" w:cs="Times New Roman"/>
                <w:sz w:val="20"/>
                <w:szCs w:val="20"/>
              </w:rPr>
              <w:t>(2016</w:t>
            </w:r>
            <w:r w:rsidR="003D6CA4" w:rsidRPr="00762585">
              <w:rPr>
                <w:rFonts w:ascii="Times New Roman" w:hAnsi="Times New Roman" w:cs="Times New Roman"/>
                <w:sz w:val="20"/>
                <w:szCs w:val="20"/>
              </w:rPr>
              <w:t>b</w:t>
            </w:r>
            <w:r w:rsidRPr="00762585">
              <w:rPr>
                <w:rFonts w:ascii="Times New Roman" w:hAnsi="Times New Roman" w:cs="Times New Roman"/>
                <w:sz w:val="20"/>
                <w:szCs w:val="20"/>
              </w:rPr>
              <w:t xml:space="preserve">), Boeh (2011), Lee (2015), Westbrock et al. </w:t>
            </w:r>
            <w:r w:rsidRPr="00C035E1">
              <w:rPr>
                <w:rFonts w:ascii="Times New Roman" w:hAnsi="Times New Roman" w:cs="Times New Roman"/>
                <w:sz w:val="20"/>
                <w:szCs w:val="20"/>
                <w:lang w:val="en-US"/>
              </w:rPr>
              <w:t>(2019)</w:t>
            </w:r>
          </w:p>
        </w:tc>
      </w:tr>
      <w:tr w:rsidR="00A74101" w:rsidRPr="00C035E1" w14:paraId="35CF9146" w14:textId="77777777" w:rsidTr="002F75FA">
        <w:tblPrEx>
          <w:tblBorders>
            <w:insideH w:val="single" w:sz="4" w:space="0" w:color="auto"/>
          </w:tblBorders>
        </w:tblPrEx>
        <w:tc>
          <w:tcPr>
            <w:tcW w:w="9071" w:type="dxa"/>
          </w:tcPr>
          <w:p w14:paraId="64B7502A" w14:textId="2A668DD3"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Integration process</w:t>
            </w:r>
          </w:p>
          <w:p w14:paraId="50DC7DB6" w14:textId="641DC264"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Aguilera and Dencker (2004), Ahammad et al. (2017b), Ai and Tan (2020), Ambos et al. (2009), Antila (2006), Brannen and Peterson (2009), Brock (2005), Cheng et al. (2023), Col and Sen (2019), Colman et al. (2023), Colombo et al. (2007), Degbey and Pelto (2021), Duan et al. (2022), Durand (2016), Gill (2012), Gomes et al. </w:t>
            </w:r>
            <w:r w:rsidRPr="00C035E1">
              <w:rPr>
                <w:rFonts w:ascii="Times New Roman" w:hAnsi="Times New Roman" w:cs="Times New Roman"/>
                <w:sz w:val="20"/>
                <w:szCs w:val="20"/>
              </w:rPr>
              <w:t xml:space="preserve">(2012), Haapanen et al. (2019), Khan et al. (2020b), Khan et al. (2021), Kroon et al. (2015), Kroon et al. (2022), Kwok et al. (2020), Kwok (2024), Lee et al. (2015), Liu et al. (2018), Malik et al. (2023), Meyer and Altenborg (2007), Meyer and Altenborg (2008), Moore (2021), Mtar (2015), Olcott (2008), Paik and Belcher (2012), Parada et al. </w:t>
            </w:r>
            <w:r w:rsidRPr="00C035E1">
              <w:rPr>
                <w:rFonts w:ascii="Times New Roman" w:hAnsi="Times New Roman" w:cs="Times New Roman"/>
                <w:sz w:val="20"/>
                <w:szCs w:val="20"/>
                <w:lang w:val="en-US"/>
              </w:rPr>
              <w:t>(2009), Park and Meglio (2019), Piekkari et al. (2005), Quah and Young (2005), Rashid et al. (2022), Rees and Edwards (2010), Reus (2012), Sarala (2010), Sinkovics et al. (2011), Sinkovics et al. (2014), Tang and Zhao (2023), Tsui-Auch and Chow (2019), Vaara and Tienari (2011), Van Oorschot et al. (2023), Yildiz (2014), Zhang et al. (2018), Zhang et al. (2020a), Zheng et al. (2022)</w:t>
            </w:r>
          </w:p>
        </w:tc>
      </w:tr>
      <w:tr w:rsidR="00657E0C" w:rsidRPr="00C035E1" w14:paraId="524016E4" w14:textId="77777777" w:rsidTr="002F75FA">
        <w:tblPrEx>
          <w:tblBorders>
            <w:insideH w:val="single" w:sz="4" w:space="0" w:color="auto"/>
          </w:tblBorders>
        </w:tblPrEx>
        <w:tc>
          <w:tcPr>
            <w:tcW w:w="9071" w:type="dxa"/>
          </w:tcPr>
          <w:p w14:paraId="46143333" w14:textId="1B63FE50"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Miscellaneous/difficult to assign</w:t>
            </w:r>
          </w:p>
          <w:p w14:paraId="107820CC" w14:textId="77777777" w:rsidR="002F75FA"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Barmeyer and Mayrhofer (2008), Kang and Kim (2010), Tienari et al. (2005)</w:t>
            </w:r>
          </w:p>
          <w:p w14:paraId="1636E01B" w14:textId="65E800EB" w:rsidR="00762585" w:rsidRPr="00C035E1" w:rsidRDefault="00762585" w:rsidP="00C035E1">
            <w:pPr>
              <w:spacing w:line="259" w:lineRule="auto"/>
              <w:rPr>
                <w:rFonts w:ascii="Times New Roman" w:hAnsi="Times New Roman" w:cs="Times New Roman"/>
                <w:sz w:val="20"/>
                <w:szCs w:val="20"/>
                <w:lang w:val="en-US"/>
              </w:rPr>
            </w:pPr>
          </w:p>
        </w:tc>
      </w:tr>
      <w:tr w:rsidR="00657E0C" w:rsidRPr="00DD46B4" w14:paraId="5D8DB689" w14:textId="77777777" w:rsidTr="002F75FA">
        <w:tblPrEx>
          <w:tblBorders>
            <w:insideH w:val="single" w:sz="4" w:space="0" w:color="auto"/>
          </w:tblBorders>
        </w:tblPrEx>
        <w:tc>
          <w:tcPr>
            <w:tcW w:w="9071" w:type="dxa"/>
          </w:tcPr>
          <w:p w14:paraId="7B82A1FF" w14:textId="04AA3BB7"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 xml:space="preserve">Panel D: Papers referring to </w:t>
            </w:r>
            <w:bookmarkStart w:id="0" w:name="_Toc36138765"/>
            <w:bookmarkStart w:id="1" w:name="_Ref37010278"/>
            <w:bookmarkStart w:id="2" w:name="_Ref39248752"/>
            <w:bookmarkStart w:id="3" w:name="_Toc40958351"/>
            <w:r w:rsidRPr="00657E0C">
              <w:rPr>
                <w:rFonts w:ascii="Times New Roman" w:hAnsi="Times New Roman" w:cs="Times New Roman"/>
                <w:b/>
                <w:lang w:val="en-US"/>
              </w:rPr>
              <w:t>Cross-border M&amp;A as a value-creating strategy</w:t>
            </w:r>
            <w:bookmarkEnd w:id="0"/>
            <w:bookmarkEnd w:id="1"/>
            <w:bookmarkEnd w:id="2"/>
            <w:bookmarkEnd w:id="3"/>
          </w:p>
        </w:tc>
      </w:tr>
      <w:tr w:rsidR="00A74101" w:rsidRPr="00C035E1" w14:paraId="27D9ABF5" w14:textId="77777777" w:rsidTr="002F75FA">
        <w:tblPrEx>
          <w:tblBorders>
            <w:insideH w:val="single" w:sz="4" w:space="0" w:color="auto"/>
          </w:tblBorders>
        </w:tblPrEx>
        <w:tc>
          <w:tcPr>
            <w:tcW w:w="9071" w:type="dxa"/>
          </w:tcPr>
          <w:p w14:paraId="4DA6C964" w14:textId="77777777" w:rsidR="00FE3709" w:rsidRPr="00C035E1" w:rsidRDefault="00FE3709"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Literature review</w:t>
            </w:r>
          </w:p>
          <w:p w14:paraId="1288DED7" w14:textId="77777777" w:rsidR="00FE3709" w:rsidRPr="00C035E1"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Christofi et al. (2019)</w:t>
            </w:r>
          </w:p>
        </w:tc>
      </w:tr>
      <w:tr w:rsidR="00A74101" w:rsidRPr="00D24718" w14:paraId="19E6C2E3" w14:textId="77777777" w:rsidTr="002F75FA">
        <w:tblPrEx>
          <w:tblBorders>
            <w:insideH w:val="single" w:sz="4" w:space="0" w:color="auto"/>
          </w:tblBorders>
        </w:tblPrEx>
        <w:tc>
          <w:tcPr>
            <w:tcW w:w="9071" w:type="dxa"/>
          </w:tcPr>
          <w:p w14:paraId="64A6A547" w14:textId="5A17704E" w:rsidR="00073ABD" w:rsidRPr="00C035E1" w:rsidRDefault="00073ABD"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Completion/</w:t>
            </w:r>
            <w:r w:rsidR="002F75FA" w:rsidRPr="00C035E1">
              <w:rPr>
                <w:rFonts w:ascii="Times New Roman" w:hAnsi="Times New Roman" w:cs="Times New Roman"/>
                <w:b/>
                <w:sz w:val="20"/>
                <w:szCs w:val="20"/>
                <w:lang w:val="en-US"/>
              </w:rPr>
              <w:t>d</w:t>
            </w:r>
            <w:r w:rsidRPr="00C035E1">
              <w:rPr>
                <w:rFonts w:ascii="Times New Roman" w:hAnsi="Times New Roman" w:cs="Times New Roman"/>
                <w:b/>
                <w:sz w:val="20"/>
                <w:szCs w:val="20"/>
                <w:lang w:val="en-US"/>
              </w:rPr>
              <w:t>uration/</w:t>
            </w:r>
            <w:r w:rsidR="002F75FA" w:rsidRPr="00C035E1">
              <w:rPr>
                <w:rFonts w:ascii="Times New Roman" w:hAnsi="Times New Roman" w:cs="Times New Roman"/>
                <w:b/>
                <w:sz w:val="20"/>
                <w:szCs w:val="20"/>
                <w:lang w:val="en-US"/>
              </w:rPr>
              <w:t>a</w:t>
            </w:r>
            <w:r w:rsidRPr="00C035E1">
              <w:rPr>
                <w:rFonts w:ascii="Times New Roman" w:hAnsi="Times New Roman" w:cs="Times New Roman"/>
                <w:b/>
                <w:sz w:val="20"/>
                <w:szCs w:val="20"/>
                <w:lang w:val="en-US"/>
              </w:rPr>
              <w:t>bandonment/</w:t>
            </w:r>
            <w:r w:rsidR="002F75FA" w:rsidRPr="00C035E1">
              <w:rPr>
                <w:rFonts w:ascii="Times New Roman" w:hAnsi="Times New Roman" w:cs="Times New Roman"/>
                <w:b/>
                <w:sz w:val="20"/>
                <w:szCs w:val="20"/>
                <w:lang w:val="en-US"/>
              </w:rPr>
              <w:t>f</w:t>
            </w:r>
            <w:r w:rsidRPr="00C035E1">
              <w:rPr>
                <w:rFonts w:ascii="Times New Roman" w:hAnsi="Times New Roman" w:cs="Times New Roman"/>
                <w:b/>
                <w:sz w:val="20"/>
                <w:szCs w:val="20"/>
                <w:lang w:val="en-US"/>
              </w:rPr>
              <w:t>ailure</w:t>
            </w:r>
          </w:p>
          <w:p w14:paraId="681F7560" w14:textId="79E66023" w:rsidR="00073ABD" w:rsidRPr="00C035E1" w:rsidRDefault="00073ABD"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Ahmad et al. (2023), Avetisyan et al. (2020), Bu et al. (2022), Caiazza and Pozzolo (2016), Chen et al. (2017), Dikova et al. (2010), Espenlaub et al. (2015), Fu et al. (2023), Fuad and Gaur (2019), Fuad et al. (2023), Fuad et al. (2024), Gao et al. (2022), </w:t>
            </w:r>
            <w:r w:rsidR="00D63428" w:rsidRPr="00C035E1">
              <w:rPr>
                <w:rFonts w:ascii="Times New Roman" w:hAnsi="Times New Roman" w:cs="Times New Roman"/>
                <w:sz w:val="20"/>
                <w:szCs w:val="20"/>
                <w:lang w:val="en-US"/>
              </w:rPr>
              <w:t>Gill</w:t>
            </w:r>
            <w:r w:rsidR="00A76BA7" w:rsidRPr="00C035E1">
              <w:rPr>
                <w:rFonts w:ascii="Times New Roman" w:hAnsi="Times New Roman" w:cs="Times New Roman"/>
                <w:sz w:val="20"/>
                <w:szCs w:val="20"/>
                <w:lang w:val="en-US"/>
              </w:rPr>
              <w:t xml:space="preserve"> (2012), </w:t>
            </w:r>
            <w:r w:rsidRPr="00C035E1">
              <w:rPr>
                <w:rFonts w:ascii="Times New Roman" w:hAnsi="Times New Roman" w:cs="Times New Roman"/>
                <w:sz w:val="20"/>
                <w:szCs w:val="20"/>
                <w:lang w:val="en-US"/>
              </w:rPr>
              <w:t>Hawn (2021), He and Zhang (2018), Huang et al. (2016), Huang et al. (2023), Humphrey-Jenner (2012), Kumar et al. (2023), Lawrence et al. (2021), Lee et al. (2023</w:t>
            </w:r>
            <w:r w:rsidR="003D6CA4"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Li et al. (2023</w:t>
            </w:r>
            <w:r w:rsidR="00F044D7" w:rsidRPr="00C035E1">
              <w:rPr>
                <w:rFonts w:ascii="Times New Roman" w:hAnsi="Times New Roman" w:cs="Times New Roman"/>
                <w:sz w:val="20"/>
                <w:szCs w:val="20"/>
                <w:lang w:val="en-US"/>
              </w:rPr>
              <w:t>)</w:t>
            </w:r>
            <w:r w:rsidRPr="00C035E1">
              <w:rPr>
                <w:rFonts w:ascii="Times New Roman" w:hAnsi="Times New Roman" w:cs="Times New Roman"/>
                <w:sz w:val="20"/>
                <w:szCs w:val="20"/>
                <w:lang w:val="en-US"/>
              </w:rPr>
              <w:t xml:space="preserve">, Li et al. (2019), Li et al. (2017), Li and Zhang (2024), Lim and Lee (2016), Lim and Lee (2017), Lindner et al. (2023), </w:t>
            </w:r>
            <w:r w:rsidR="00A76BA7" w:rsidRPr="00C035E1">
              <w:rPr>
                <w:rFonts w:ascii="Times New Roman" w:hAnsi="Times New Roman" w:cs="Times New Roman"/>
                <w:sz w:val="20"/>
                <w:szCs w:val="20"/>
                <w:lang w:val="en-US"/>
              </w:rPr>
              <w:t xml:space="preserve">Meyer and Altenborg (2007), Meyer and Altenborg (2008), </w:t>
            </w:r>
            <w:r w:rsidRPr="00C035E1">
              <w:rPr>
                <w:rFonts w:ascii="Times New Roman" w:hAnsi="Times New Roman" w:cs="Times New Roman"/>
                <w:sz w:val="20"/>
                <w:szCs w:val="20"/>
                <w:lang w:val="en-US"/>
              </w:rPr>
              <w:t xml:space="preserve">Moschieri and Campa (2014), Popli et al. (2016), Reddy and Fabian (2020), Schweizer et al. (2019), Sun and Ko (2023), Tsang and Yip (2007), Wang and Larimo (2020), </w:t>
            </w:r>
            <w:r w:rsidR="00D24718" w:rsidRPr="00260FE8">
              <w:rPr>
                <w:rFonts w:ascii="Times New Roman" w:hAnsi="Times New Roman" w:cs="Times New Roman"/>
                <w:sz w:val="20"/>
                <w:szCs w:val="20"/>
                <w:lang w:val="en-US"/>
              </w:rPr>
              <w:t>Waqar and Ma (202</w:t>
            </w:r>
            <w:r w:rsidR="00260FE8" w:rsidRPr="00260FE8">
              <w:rPr>
                <w:rFonts w:ascii="Times New Roman" w:hAnsi="Times New Roman" w:cs="Times New Roman"/>
                <w:sz w:val="20"/>
                <w:szCs w:val="20"/>
                <w:lang w:val="en-US"/>
              </w:rPr>
              <w:t>4</w:t>
            </w:r>
            <w:r w:rsidR="00D24718" w:rsidRPr="00260FE8">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Xie and Wang (2022), Yapici and Hudson (2020), Zhang (2022), Zhang and He (2014), Zhang et al. (2021</w:t>
            </w:r>
            <w:r w:rsidR="00A74101"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Zhang et al. (2011), Zhang et al. (2024a), Zhang and Peng (2023), Zhang et al. (2024b)</w:t>
            </w:r>
          </w:p>
        </w:tc>
      </w:tr>
      <w:tr w:rsidR="00A74101" w:rsidRPr="00C035E1" w14:paraId="714C862A" w14:textId="77777777" w:rsidTr="002F75FA">
        <w:tblPrEx>
          <w:tblBorders>
            <w:insideH w:val="single" w:sz="4" w:space="0" w:color="auto"/>
          </w:tblBorders>
        </w:tblPrEx>
        <w:tc>
          <w:tcPr>
            <w:tcW w:w="9071" w:type="dxa"/>
          </w:tcPr>
          <w:p w14:paraId="44CF3E3B" w14:textId="316E2393" w:rsidR="00073ABD" w:rsidRPr="00C035E1" w:rsidRDefault="00073ABD"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Operating </w:t>
            </w:r>
            <w:r w:rsidR="002F75FA" w:rsidRPr="00C035E1">
              <w:rPr>
                <w:rFonts w:ascii="Times New Roman" w:hAnsi="Times New Roman" w:cs="Times New Roman"/>
                <w:b/>
                <w:sz w:val="20"/>
                <w:szCs w:val="20"/>
                <w:lang w:val="en-US"/>
              </w:rPr>
              <w:t>p</w:t>
            </w:r>
            <w:r w:rsidRPr="00C035E1">
              <w:rPr>
                <w:rFonts w:ascii="Times New Roman" w:hAnsi="Times New Roman" w:cs="Times New Roman"/>
                <w:b/>
                <w:sz w:val="20"/>
                <w:szCs w:val="20"/>
                <w:lang w:val="en-US"/>
              </w:rPr>
              <w:t>erformance</w:t>
            </w:r>
          </w:p>
          <w:p w14:paraId="5D932703" w14:textId="0123990C" w:rsidR="00073ABD" w:rsidRPr="00C035E1" w:rsidRDefault="00504F54"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Agyei-Boapeah et al. (2020)</w:t>
            </w:r>
            <w:r w:rsidR="00B76950" w:rsidRPr="00C035E1">
              <w:rPr>
                <w:rFonts w:ascii="Times New Roman" w:hAnsi="Times New Roman" w:cs="Times New Roman"/>
                <w:sz w:val="20"/>
                <w:szCs w:val="20"/>
                <w:lang w:val="en-US"/>
              </w:rPr>
              <w:t xml:space="preserve">, </w:t>
            </w:r>
            <w:r w:rsidR="00073ABD" w:rsidRPr="00C035E1">
              <w:rPr>
                <w:rFonts w:ascii="Times New Roman" w:hAnsi="Times New Roman" w:cs="Times New Roman"/>
                <w:sz w:val="20"/>
                <w:szCs w:val="20"/>
                <w:lang w:val="en-US"/>
              </w:rPr>
              <w:t xml:space="preserve">Ahmad et al. (2023), Alimov (2015) (+ Country level), Bao and Li (2024), Brueller et al. (2015), Buckley et al. (2014), Campa and Hernando (2006), Campagnolo and Vincenti (2022), Cerrato et al. </w:t>
            </w:r>
            <w:r w:rsidR="00073ABD" w:rsidRPr="00762585">
              <w:rPr>
                <w:rFonts w:ascii="Times New Roman" w:hAnsi="Times New Roman" w:cs="Times New Roman"/>
                <w:sz w:val="20"/>
                <w:szCs w:val="20"/>
              </w:rPr>
              <w:t>(2016), Chang et al. (2013</w:t>
            </w:r>
            <w:r w:rsidR="00A74101" w:rsidRPr="00762585">
              <w:rPr>
                <w:rFonts w:ascii="Times New Roman" w:hAnsi="Times New Roman" w:cs="Times New Roman"/>
                <w:sz w:val="20"/>
                <w:szCs w:val="20"/>
              </w:rPr>
              <w:t>b</w:t>
            </w:r>
            <w:r w:rsidR="00073ABD" w:rsidRPr="00762585">
              <w:rPr>
                <w:rFonts w:ascii="Times New Roman" w:hAnsi="Times New Roman" w:cs="Times New Roman"/>
                <w:sz w:val="20"/>
                <w:szCs w:val="20"/>
              </w:rPr>
              <w:t xml:space="preserve">), Chen et al. (2017), Ding et al. </w:t>
            </w:r>
            <w:r w:rsidR="00073ABD" w:rsidRPr="00C035E1">
              <w:rPr>
                <w:rFonts w:ascii="Times New Roman" w:hAnsi="Times New Roman" w:cs="Times New Roman"/>
                <w:sz w:val="20"/>
                <w:szCs w:val="20"/>
                <w:lang w:val="en-US"/>
              </w:rPr>
              <w:t xml:space="preserve">(2021), Dutta et al. (2013), Ferris and Sainani (2021), Francis et al. </w:t>
            </w:r>
            <w:r w:rsidR="00073ABD" w:rsidRPr="00762585">
              <w:rPr>
                <w:rFonts w:ascii="Times New Roman" w:hAnsi="Times New Roman" w:cs="Times New Roman"/>
                <w:sz w:val="20"/>
                <w:szCs w:val="20"/>
                <w:lang w:val="en-US"/>
              </w:rPr>
              <w:t xml:space="preserve">(2008), Francis et al. </w:t>
            </w:r>
            <w:r w:rsidR="00073ABD" w:rsidRPr="00C035E1">
              <w:rPr>
                <w:rFonts w:ascii="Times New Roman" w:hAnsi="Times New Roman" w:cs="Times New Roman"/>
                <w:sz w:val="20"/>
                <w:szCs w:val="20"/>
              </w:rPr>
              <w:t xml:space="preserve">(2014), Fraser and Zhang (2009), Fu et al. (2023), Ghosh et al. (2022), Hagendorff and Nieto (2015), Hasan et al. (2012), Hendriks et al. </w:t>
            </w:r>
            <w:r w:rsidR="00073ABD" w:rsidRPr="00762585">
              <w:rPr>
                <w:rFonts w:ascii="Times New Roman" w:hAnsi="Times New Roman" w:cs="Times New Roman"/>
                <w:sz w:val="20"/>
                <w:szCs w:val="20"/>
                <w:lang w:val="en-US"/>
              </w:rPr>
              <w:t xml:space="preserve">(2023) , Humphery-Jenner et al. </w:t>
            </w:r>
            <w:r w:rsidR="00073ABD" w:rsidRPr="00C035E1">
              <w:rPr>
                <w:rFonts w:ascii="Times New Roman" w:hAnsi="Times New Roman" w:cs="Times New Roman"/>
                <w:sz w:val="20"/>
                <w:szCs w:val="20"/>
                <w:lang w:val="en-US"/>
              </w:rPr>
              <w:t>(2017), Jory and Ngo (2014), Jory and Ngo (2015), Lee et al. (2023</w:t>
            </w:r>
            <w:r w:rsidR="003D6CA4" w:rsidRPr="00C035E1">
              <w:rPr>
                <w:rFonts w:ascii="Times New Roman" w:hAnsi="Times New Roman" w:cs="Times New Roman"/>
                <w:sz w:val="20"/>
                <w:szCs w:val="20"/>
                <w:lang w:val="en-US"/>
              </w:rPr>
              <w:t>b)</w:t>
            </w:r>
            <w:r w:rsidR="00073ABD" w:rsidRPr="00C035E1">
              <w:rPr>
                <w:rFonts w:ascii="Times New Roman" w:hAnsi="Times New Roman" w:cs="Times New Roman"/>
                <w:sz w:val="20"/>
                <w:szCs w:val="20"/>
                <w:lang w:val="en-US"/>
              </w:rPr>
              <w:t xml:space="preserve">, Levine et al. (2020), Li et al. (2022), Liou and Rao-Nicholson (2019), Liu et al. </w:t>
            </w:r>
            <w:r w:rsidR="00073ABD" w:rsidRPr="00C035E1">
              <w:rPr>
                <w:rFonts w:ascii="Times New Roman" w:hAnsi="Times New Roman" w:cs="Times New Roman"/>
                <w:sz w:val="20"/>
                <w:szCs w:val="20"/>
              </w:rPr>
              <w:t>(2021), Lozano-Vivas and Weill (2012), Øyna et al. (2018), Pereira et al. (2021), Schweizer et al. (2019), Steigner and Sutton (2011), Tian et al. (2021), Vaara et al. (2014), W</w:t>
            </w:r>
            <w:r w:rsidR="00346291" w:rsidRPr="00C035E1">
              <w:rPr>
                <w:rFonts w:ascii="Times New Roman" w:hAnsi="Times New Roman" w:cs="Times New Roman"/>
                <w:sz w:val="20"/>
                <w:szCs w:val="20"/>
              </w:rPr>
              <w:t>ei</w:t>
            </w:r>
            <w:r w:rsidR="00073ABD" w:rsidRPr="00C035E1">
              <w:rPr>
                <w:rFonts w:ascii="Times New Roman" w:hAnsi="Times New Roman" w:cs="Times New Roman"/>
                <w:sz w:val="20"/>
                <w:szCs w:val="20"/>
              </w:rPr>
              <w:t xml:space="preserve"> and Nguyen (2020), Yuan et al. (2023), Zhang et al. (2018), Zhu et al. (2011), </w:t>
            </w:r>
            <w:r w:rsidR="00073ABD" w:rsidRPr="00C035E1">
              <w:rPr>
                <w:rFonts w:ascii="Times New Roman" w:hAnsi="Times New Roman" w:cs="Times New Roman"/>
                <w:sz w:val="20"/>
                <w:szCs w:val="20"/>
                <w:lang w:val="en-US"/>
              </w:rPr>
              <w:t>Zhu and Qian (2015), Zhu et al. (201</w:t>
            </w:r>
            <w:r w:rsidR="007932D4" w:rsidRPr="00C035E1">
              <w:rPr>
                <w:rFonts w:ascii="Times New Roman" w:hAnsi="Times New Roman" w:cs="Times New Roman"/>
                <w:sz w:val="20"/>
                <w:szCs w:val="20"/>
                <w:lang w:val="en-US"/>
              </w:rPr>
              <w:t>9</w:t>
            </w:r>
            <w:r w:rsidR="00073ABD" w:rsidRPr="00C035E1">
              <w:rPr>
                <w:rFonts w:ascii="Times New Roman" w:hAnsi="Times New Roman" w:cs="Times New Roman"/>
                <w:sz w:val="20"/>
                <w:szCs w:val="20"/>
                <w:lang w:val="en-US"/>
              </w:rPr>
              <w:t>)</w:t>
            </w:r>
          </w:p>
        </w:tc>
      </w:tr>
      <w:tr w:rsidR="00A74101" w:rsidRPr="00C035E1" w14:paraId="3E2B09C6" w14:textId="77777777" w:rsidTr="002F75FA">
        <w:tblPrEx>
          <w:tblBorders>
            <w:insideH w:val="single" w:sz="4" w:space="0" w:color="auto"/>
          </w:tblBorders>
        </w:tblPrEx>
        <w:tc>
          <w:tcPr>
            <w:tcW w:w="9071" w:type="dxa"/>
          </w:tcPr>
          <w:p w14:paraId="1FC3DE90" w14:textId="77777777" w:rsidR="00346291" w:rsidRPr="00C035E1" w:rsidRDefault="0034629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Short-term value creation</w:t>
            </w:r>
          </w:p>
          <w:p w14:paraId="383E03F8" w14:textId="4C9975C5" w:rsidR="00346291" w:rsidRPr="00C035E1" w:rsidRDefault="00346291"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Agcayazi et al. </w:t>
            </w:r>
            <w:r w:rsidRPr="00D24718">
              <w:rPr>
                <w:rFonts w:ascii="Times New Roman" w:hAnsi="Times New Roman" w:cs="Times New Roman"/>
                <w:sz w:val="20"/>
                <w:szCs w:val="20"/>
              </w:rPr>
              <w:t xml:space="preserve">(2024), Agyei-Boapeah et al. </w:t>
            </w:r>
            <w:r w:rsidRPr="00C035E1">
              <w:rPr>
                <w:rFonts w:ascii="Times New Roman" w:hAnsi="Times New Roman" w:cs="Times New Roman"/>
                <w:sz w:val="20"/>
                <w:szCs w:val="20"/>
              </w:rPr>
              <w:t xml:space="preserve">(2020), Ahern et al. </w:t>
            </w:r>
            <w:r w:rsidRPr="00D24718">
              <w:rPr>
                <w:rFonts w:ascii="Times New Roman" w:hAnsi="Times New Roman" w:cs="Times New Roman"/>
                <w:sz w:val="20"/>
                <w:szCs w:val="20"/>
                <w:lang w:val="en-US"/>
              </w:rPr>
              <w:t xml:space="preserve">(2015), Ahmad et al. </w:t>
            </w:r>
            <w:r w:rsidRPr="00C035E1">
              <w:rPr>
                <w:rFonts w:ascii="Times New Roman" w:hAnsi="Times New Roman" w:cs="Times New Roman"/>
                <w:sz w:val="20"/>
                <w:szCs w:val="20"/>
                <w:lang w:val="en-US"/>
              </w:rPr>
              <w:t xml:space="preserve">(2023), Ahmad et al. (2024), Anand et al. (2005), Aybar and Ficici (2009), Basuil and Datta (2015), Basuil and Datta (2017), Bathia et al. (2020), Ben-Amar and André (2006), Benou et al. (2007), Bertrand et al. (2016), Black et al. (2007), Black et al. (2015), Bose et al. (2021), Boubakri et al. (2023), Bris and Cabolis (2008), Brueller et al. (2015), Burns and Liebenberg (2011), Campa and Hernando (2006), Chakrabarti et al. (2009), Chang et al. (2015), Chen and Lai (2015), Chen et al. (2017), Cho and Ahn (2017), Conn et al. </w:t>
            </w:r>
            <w:r w:rsidRPr="00C035E1">
              <w:rPr>
                <w:rFonts w:ascii="Times New Roman" w:hAnsi="Times New Roman" w:cs="Times New Roman"/>
                <w:sz w:val="20"/>
                <w:szCs w:val="20"/>
              </w:rPr>
              <w:t xml:space="preserve">(2005), Danbolt (2004), Danbolt and Maciver (2012), Dandapani et al. (2020), </w:t>
            </w:r>
            <w:r w:rsidR="00201135" w:rsidRPr="00C035E1">
              <w:rPr>
                <w:rFonts w:ascii="Times New Roman" w:hAnsi="Times New Roman" w:cs="Times New Roman"/>
                <w:sz w:val="20"/>
                <w:szCs w:val="20"/>
              </w:rPr>
              <w:t xml:space="preserve">De Beule and Sels (2016), </w:t>
            </w:r>
            <w:r w:rsidRPr="00C035E1">
              <w:rPr>
                <w:rFonts w:ascii="Times New Roman" w:hAnsi="Times New Roman" w:cs="Times New Roman"/>
                <w:sz w:val="20"/>
                <w:szCs w:val="20"/>
              </w:rPr>
              <w:t xml:space="preserve">Drobetz and Momtaz (2020), Du and Boateng (2015), Du et al. (2016), Durand et al. (2016), Dutta et al. (2013), Eden et al. (2021), Eije and Wiegerink (2010), Ekkayokkaya et al. </w:t>
            </w:r>
            <w:r w:rsidRPr="00C035E1">
              <w:rPr>
                <w:rFonts w:ascii="Times New Roman" w:hAnsi="Times New Roman" w:cs="Times New Roman"/>
                <w:sz w:val="20"/>
                <w:szCs w:val="20"/>
                <w:lang w:val="en-US"/>
              </w:rPr>
              <w:t xml:space="preserve">(2009), Fiberg et al. (2021), Firk et al. (2023), Francis et al. (2008), Francis et al. (2014), Frijns et al. (2013), Gan and Qiu (2019), Goergen and Renneboog (2004), Gomes and Marsat (2018), </w:t>
            </w:r>
            <w:r w:rsidR="00201135" w:rsidRPr="00C035E1">
              <w:rPr>
                <w:rFonts w:ascii="Times New Roman" w:hAnsi="Times New Roman" w:cs="Times New Roman"/>
                <w:sz w:val="20"/>
                <w:szCs w:val="20"/>
                <w:lang w:val="en-US"/>
              </w:rPr>
              <w:t xml:space="preserve">Gregory and McCorriston (2005), </w:t>
            </w:r>
            <w:r w:rsidRPr="00C035E1">
              <w:rPr>
                <w:rFonts w:ascii="Times New Roman" w:hAnsi="Times New Roman" w:cs="Times New Roman"/>
                <w:sz w:val="20"/>
                <w:szCs w:val="20"/>
                <w:lang w:val="en-US"/>
              </w:rPr>
              <w:t xml:space="preserve">Gubbi and Elango (2016), Gubbi et al. </w:t>
            </w:r>
            <w:r w:rsidRPr="00C035E1">
              <w:rPr>
                <w:rFonts w:ascii="Times New Roman" w:hAnsi="Times New Roman" w:cs="Times New Roman"/>
                <w:sz w:val="20"/>
                <w:szCs w:val="20"/>
              </w:rPr>
              <w:t>(2010), Guo et al. (2016), Hagendorff et al. (2008), Hagendorff et al. (2012), Hamberg et al. (2013), Hasan et al. (201</w:t>
            </w:r>
            <w:r w:rsidR="003A3C2D" w:rsidRPr="00C035E1">
              <w:rPr>
                <w:rFonts w:ascii="Times New Roman" w:hAnsi="Times New Roman" w:cs="Times New Roman"/>
                <w:sz w:val="20"/>
                <w:szCs w:val="20"/>
              </w:rPr>
              <w:t>2</w:t>
            </w:r>
            <w:r w:rsidRPr="00C035E1">
              <w:rPr>
                <w:rFonts w:ascii="Times New Roman" w:hAnsi="Times New Roman" w:cs="Times New Roman"/>
                <w:sz w:val="20"/>
                <w:szCs w:val="20"/>
              </w:rPr>
              <w:t xml:space="preserve">), Huang et al. (2023), Humphrey-Jenner (2012), Humphrey-Jenner et al. </w:t>
            </w:r>
            <w:r w:rsidRPr="00C035E1">
              <w:rPr>
                <w:rFonts w:ascii="Times New Roman" w:hAnsi="Times New Roman" w:cs="Times New Roman"/>
                <w:sz w:val="20"/>
                <w:szCs w:val="20"/>
                <w:lang w:val="en-US"/>
              </w:rPr>
              <w:t>(2017), John et al. (2010), Jory and Ngo (2014), Jory and Ngo (2015), Kiymaz (2004), Kiymaz and Alon (2011), Kohli and Mann (2012), Lee (2018), Levine et al. (2020), Li et al. (2016, Li et al. (2017</w:t>
            </w:r>
            <w:r w:rsidR="00D16819"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 Li et al. (2020), Lim et al. (2016), Loureiro and Silva (2023), Lowinski et al. (2004), Madura et al. (2011), Malhotra and Zhu (2013), Marra et al. (2024), Martynova and Renneboog (2008), Martynova and Renneboog (</w:t>
            </w:r>
            <w:r w:rsidRPr="00260FE8">
              <w:rPr>
                <w:rFonts w:ascii="Times New Roman" w:hAnsi="Times New Roman" w:cs="Times New Roman"/>
                <w:sz w:val="20"/>
                <w:szCs w:val="20"/>
                <w:lang w:val="en-US"/>
              </w:rPr>
              <w:t xml:space="preserve">2011), </w:t>
            </w:r>
            <w:r w:rsidR="007A7AD1" w:rsidRPr="00260FE8">
              <w:rPr>
                <w:rFonts w:ascii="Times New Roman" w:hAnsi="Times New Roman" w:cs="Times New Roman"/>
                <w:sz w:val="20"/>
                <w:szCs w:val="20"/>
                <w:lang w:val="en-US"/>
              </w:rPr>
              <w:t xml:space="preserve">Mentz and Schiereck (2008), </w:t>
            </w:r>
            <w:r w:rsidRPr="00260FE8">
              <w:rPr>
                <w:rFonts w:ascii="Times New Roman" w:hAnsi="Times New Roman" w:cs="Times New Roman"/>
                <w:sz w:val="20"/>
                <w:szCs w:val="20"/>
                <w:lang w:val="en-US"/>
              </w:rPr>
              <w:t xml:space="preserve">Meng </w:t>
            </w:r>
            <w:r w:rsidRPr="00C035E1">
              <w:rPr>
                <w:rFonts w:ascii="Times New Roman" w:hAnsi="Times New Roman" w:cs="Times New Roman"/>
                <w:sz w:val="20"/>
                <w:szCs w:val="20"/>
                <w:lang w:val="en-US"/>
              </w:rPr>
              <w:t>and Sutton (2017), Mescall and Klassen (2018), Moeller and Schlingemann (2005)</w:t>
            </w:r>
            <w:r w:rsidR="007D6C14"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Nicholson and Salaber (2013), Ning et al. </w:t>
            </w:r>
            <w:r w:rsidRPr="00C035E1">
              <w:rPr>
                <w:rFonts w:ascii="Times New Roman" w:hAnsi="Times New Roman" w:cs="Times New Roman"/>
                <w:sz w:val="20"/>
                <w:szCs w:val="20"/>
              </w:rPr>
              <w:t xml:space="preserve">(2014), Oehmichen et al. (2022), Osuji et al. (2024), Pablo (2013), Powell et al. (2022), Rajamani et al. (2017), Otto et al. (2010), Schoenberg (2006), Schweizer et al. </w:t>
            </w:r>
            <w:r w:rsidRPr="00C035E1">
              <w:rPr>
                <w:rFonts w:ascii="Times New Roman" w:hAnsi="Times New Roman" w:cs="Times New Roman"/>
                <w:sz w:val="20"/>
                <w:szCs w:val="20"/>
                <w:lang w:val="en-US"/>
              </w:rPr>
              <w:t xml:space="preserve">(2019), Tao et al. (2017), Wan and Wong (2009), Weitzel and Berns (2006), Xu (2017), Yuan et al. </w:t>
            </w:r>
            <w:r w:rsidRPr="00C035E1">
              <w:rPr>
                <w:rFonts w:ascii="Times New Roman" w:hAnsi="Times New Roman" w:cs="Times New Roman"/>
                <w:sz w:val="20"/>
                <w:szCs w:val="20"/>
              </w:rPr>
              <w:t xml:space="preserve">(2023), </w:t>
            </w:r>
            <w:r w:rsidR="00772666" w:rsidRPr="00C035E1">
              <w:rPr>
                <w:rFonts w:ascii="Times New Roman" w:hAnsi="Times New Roman" w:cs="Times New Roman"/>
                <w:sz w:val="20"/>
                <w:szCs w:val="20"/>
              </w:rPr>
              <w:t xml:space="preserve">Zaheer et al. (2010), </w:t>
            </w:r>
            <w:r w:rsidRPr="00C035E1">
              <w:rPr>
                <w:rFonts w:ascii="Times New Roman" w:hAnsi="Times New Roman" w:cs="Times New Roman"/>
                <w:sz w:val="20"/>
                <w:szCs w:val="20"/>
              </w:rPr>
              <w:t>Zhang et al. (2020</w:t>
            </w:r>
            <w:r w:rsidR="00D16819" w:rsidRPr="00C035E1">
              <w:rPr>
                <w:rFonts w:ascii="Times New Roman" w:hAnsi="Times New Roman" w:cs="Times New Roman"/>
                <w:sz w:val="20"/>
                <w:szCs w:val="20"/>
              </w:rPr>
              <w:t>b</w:t>
            </w:r>
            <w:r w:rsidRPr="00C035E1">
              <w:rPr>
                <w:rFonts w:ascii="Times New Roman" w:hAnsi="Times New Roman" w:cs="Times New Roman"/>
                <w:sz w:val="20"/>
                <w:szCs w:val="20"/>
              </w:rPr>
              <w:t>), Zhou et al. (2024)</w:t>
            </w:r>
          </w:p>
        </w:tc>
      </w:tr>
      <w:tr w:rsidR="00A74101" w:rsidRPr="00C035E1" w14:paraId="2DC8BBD6" w14:textId="77777777" w:rsidTr="002F75FA">
        <w:tblPrEx>
          <w:tblBorders>
            <w:insideH w:val="single" w:sz="4" w:space="0" w:color="auto"/>
          </w:tblBorders>
        </w:tblPrEx>
        <w:tc>
          <w:tcPr>
            <w:tcW w:w="9071" w:type="dxa"/>
          </w:tcPr>
          <w:p w14:paraId="1422D21D" w14:textId="77777777" w:rsidR="00346291" w:rsidRPr="00C035E1" w:rsidRDefault="0034629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Long-term </w:t>
            </w:r>
            <w:r w:rsidR="00943E76" w:rsidRPr="00C035E1">
              <w:rPr>
                <w:rFonts w:ascii="Times New Roman" w:hAnsi="Times New Roman" w:cs="Times New Roman"/>
                <w:b/>
                <w:sz w:val="20"/>
                <w:szCs w:val="20"/>
                <w:lang w:val="en-US"/>
              </w:rPr>
              <w:t>v</w:t>
            </w:r>
            <w:r w:rsidRPr="00C035E1">
              <w:rPr>
                <w:rFonts w:ascii="Times New Roman" w:hAnsi="Times New Roman" w:cs="Times New Roman"/>
                <w:b/>
                <w:sz w:val="20"/>
                <w:szCs w:val="20"/>
                <w:lang w:val="en-US"/>
              </w:rPr>
              <w:t>alue creation</w:t>
            </w:r>
          </w:p>
          <w:p w14:paraId="16E36C91" w14:textId="77777777" w:rsidR="00346291" w:rsidRPr="00C035E1" w:rsidRDefault="00346291"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André et al. (2004)</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Black et al. (2007)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Black et al. </w:t>
            </w:r>
            <w:r w:rsidRPr="00C035E1">
              <w:rPr>
                <w:rFonts w:ascii="Times New Roman" w:hAnsi="Times New Roman" w:cs="Times New Roman"/>
                <w:sz w:val="20"/>
                <w:szCs w:val="20"/>
              </w:rPr>
              <w:t>(2015)</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Boubakri et al. (2008)</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Breuer et al. </w:t>
            </w:r>
            <w:r w:rsidRPr="00C035E1">
              <w:rPr>
                <w:rFonts w:ascii="Times New Roman" w:hAnsi="Times New Roman" w:cs="Times New Roman"/>
                <w:sz w:val="20"/>
                <w:szCs w:val="20"/>
                <w:lang w:val="en-US"/>
              </w:rPr>
              <w:t xml:space="preserve">(2018) </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Brockman et al. (2013)</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Campa and Hernando (2006)</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Chakrabarti et al.(2009)</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Chen et al. (2017)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Conn et al. </w:t>
            </w:r>
            <w:r w:rsidRPr="00C035E1">
              <w:rPr>
                <w:rFonts w:ascii="Times New Roman" w:hAnsi="Times New Roman" w:cs="Times New Roman"/>
                <w:sz w:val="20"/>
                <w:szCs w:val="20"/>
              </w:rPr>
              <w:t>(2005)</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Datta et al. (2020)</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Dikova and Sahib (2013)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Dutta et al. (2013)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Elnahas et al. (2017)</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Faelten et al. (2014)</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Francis et al. (2014)</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Hasan et al. (201</w:t>
            </w:r>
            <w:r w:rsidR="0072246B" w:rsidRPr="00C035E1">
              <w:rPr>
                <w:rFonts w:ascii="Times New Roman" w:hAnsi="Times New Roman" w:cs="Times New Roman"/>
                <w:sz w:val="20"/>
                <w:szCs w:val="20"/>
              </w:rPr>
              <w:t>2</w:t>
            </w:r>
            <w:r w:rsidRPr="00C035E1">
              <w:rPr>
                <w:rFonts w:ascii="Times New Roman" w:hAnsi="Times New Roman" w:cs="Times New Roman"/>
                <w:sz w:val="20"/>
                <w:szCs w:val="20"/>
              </w:rPr>
              <w:t>)</w:t>
            </w:r>
            <w:r w:rsidR="00943E76" w:rsidRPr="00C035E1">
              <w:rPr>
                <w:rFonts w:ascii="Times New Roman" w:hAnsi="Times New Roman" w:cs="Times New Roman"/>
                <w:sz w:val="20"/>
                <w:szCs w:val="20"/>
              </w:rPr>
              <w:t xml:space="preserve">, </w:t>
            </w:r>
            <w:r w:rsidR="00495041" w:rsidRPr="00C035E1">
              <w:rPr>
                <w:rFonts w:ascii="Times New Roman" w:hAnsi="Times New Roman" w:cs="Times New Roman"/>
                <w:sz w:val="20"/>
                <w:szCs w:val="20"/>
              </w:rPr>
              <w:t xml:space="preserve">Hasija et al. (2020), </w:t>
            </w:r>
            <w:r w:rsidRPr="00C035E1">
              <w:rPr>
                <w:rFonts w:ascii="Times New Roman" w:hAnsi="Times New Roman" w:cs="Times New Roman"/>
                <w:sz w:val="20"/>
                <w:szCs w:val="20"/>
              </w:rPr>
              <w:t>Huang et al. (2023)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Huang et al. (2017)</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Kedia and Reddy (2016)</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Liu et al. </w:t>
            </w:r>
            <w:r w:rsidRPr="00C035E1">
              <w:rPr>
                <w:rFonts w:ascii="Times New Roman" w:hAnsi="Times New Roman" w:cs="Times New Roman"/>
                <w:sz w:val="20"/>
                <w:szCs w:val="20"/>
                <w:lang w:val="en-US"/>
              </w:rPr>
              <w:t>(2021)</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Popli et al. (2017)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Reddy and Fabian (2020)</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Ye et al. (2023)</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Zhu et al. (2015)</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Zhu et al. (2020)</w:t>
            </w:r>
          </w:p>
        </w:tc>
      </w:tr>
      <w:tr w:rsidR="00A74101" w:rsidRPr="00C035E1" w14:paraId="1C85F638" w14:textId="77777777" w:rsidTr="002F75FA">
        <w:tblPrEx>
          <w:tblBorders>
            <w:insideH w:val="single" w:sz="4" w:space="0" w:color="auto"/>
          </w:tblBorders>
        </w:tblPrEx>
        <w:tc>
          <w:tcPr>
            <w:tcW w:w="9071" w:type="dxa"/>
          </w:tcPr>
          <w:p w14:paraId="08DACD53" w14:textId="2A03BD7B" w:rsidR="00943E76" w:rsidRPr="00C035E1" w:rsidRDefault="00943E7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Survey </w:t>
            </w:r>
            <w:r w:rsidR="002F75FA" w:rsidRPr="00C035E1">
              <w:rPr>
                <w:rFonts w:ascii="Times New Roman" w:hAnsi="Times New Roman" w:cs="Times New Roman"/>
                <w:b/>
                <w:sz w:val="20"/>
                <w:szCs w:val="20"/>
                <w:lang w:val="en-US"/>
              </w:rPr>
              <w:t>d</w:t>
            </w:r>
            <w:r w:rsidRPr="00C035E1">
              <w:rPr>
                <w:rFonts w:ascii="Times New Roman" w:hAnsi="Times New Roman" w:cs="Times New Roman"/>
                <w:b/>
                <w:sz w:val="20"/>
                <w:szCs w:val="20"/>
                <w:lang w:val="en-US"/>
              </w:rPr>
              <w:t>ata/</w:t>
            </w:r>
            <w:r w:rsidR="003D6CA4" w:rsidRPr="00C035E1">
              <w:rPr>
                <w:rFonts w:ascii="Times New Roman" w:hAnsi="Times New Roman" w:cs="Times New Roman"/>
                <w:b/>
                <w:sz w:val="20"/>
                <w:szCs w:val="20"/>
                <w:lang w:val="en-US"/>
              </w:rPr>
              <w:t>questionnaires</w:t>
            </w:r>
          </w:p>
          <w:p w14:paraId="4D038EB1" w14:textId="5A75EC92" w:rsidR="00346291" w:rsidRPr="00C035E1" w:rsidRDefault="00943E7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Ahammad </w:t>
            </w:r>
            <w:r w:rsidR="0072669D" w:rsidRPr="00C035E1">
              <w:rPr>
                <w:rFonts w:ascii="Times New Roman" w:hAnsi="Times New Roman" w:cs="Times New Roman"/>
                <w:sz w:val="20"/>
                <w:szCs w:val="20"/>
                <w:lang w:val="en-US"/>
              </w:rPr>
              <w:t>and Glaister</w:t>
            </w:r>
            <w:r w:rsidRPr="00C035E1">
              <w:rPr>
                <w:rFonts w:ascii="Times New Roman" w:hAnsi="Times New Roman" w:cs="Times New Roman"/>
                <w:sz w:val="20"/>
                <w:szCs w:val="20"/>
                <w:lang w:val="en-US"/>
              </w:rPr>
              <w:t xml:space="preserve"> (2013), Ahammad et al. </w:t>
            </w:r>
            <w:r w:rsidRPr="00C035E1">
              <w:rPr>
                <w:rFonts w:ascii="Times New Roman" w:hAnsi="Times New Roman" w:cs="Times New Roman"/>
                <w:sz w:val="20"/>
                <w:szCs w:val="20"/>
              </w:rPr>
              <w:t>(2016</w:t>
            </w:r>
            <w:r w:rsidR="003D6CA4" w:rsidRPr="00C035E1">
              <w:rPr>
                <w:rFonts w:ascii="Times New Roman" w:hAnsi="Times New Roman" w:cs="Times New Roman"/>
                <w:sz w:val="20"/>
                <w:szCs w:val="20"/>
              </w:rPr>
              <w:t>a</w:t>
            </w:r>
            <w:r w:rsidRPr="00C035E1">
              <w:rPr>
                <w:rFonts w:ascii="Times New Roman" w:hAnsi="Times New Roman" w:cs="Times New Roman"/>
                <w:sz w:val="20"/>
                <w:szCs w:val="20"/>
              </w:rPr>
              <w:t xml:space="preserve">), Anand et al. (2005), Bauer et al. </w:t>
            </w:r>
            <w:r w:rsidRPr="00C035E1">
              <w:rPr>
                <w:rFonts w:ascii="Times New Roman" w:hAnsi="Times New Roman" w:cs="Times New Roman"/>
                <w:sz w:val="20"/>
                <w:szCs w:val="20"/>
                <w:lang w:val="en-US"/>
              </w:rPr>
              <w:t>(2018), Birollo and Teerikangas (2022), Cheng and Yang (2017), Reus and Lamont (2009), Reus et al. (2016), Sinkovics et al. (2015), Slangen (2006), Strobl et al. (2020), Teerikangas and Thanos (2018), Tian et al. (2021), Vaara et al. (2014)</w:t>
            </w:r>
          </w:p>
        </w:tc>
      </w:tr>
      <w:tr w:rsidR="00A74101" w:rsidRPr="00DD46B4" w14:paraId="0CDB9576" w14:textId="77777777" w:rsidTr="002F75FA">
        <w:tblPrEx>
          <w:tblBorders>
            <w:insideH w:val="single" w:sz="4" w:space="0" w:color="auto"/>
          </w:tblBorders>
        </w:tblPrEx>
        <w:tc>
          <w:tcPr>
            <w:tcW w:w="9071" w:type="dxa"/>
          </w:tcPr>
          <w:p w14:paraId="5A43749F" w14:textId="0A7096D9" w:rsidR="00943E76" w:rsidRPr="00C035E1" w:rsidRDefault="00943E7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Innovation, </w:t>
            </w:r>
            <w:r w:rsidR="002F75FA" w:rsidRPr="00C035E1">
              <w:rPr>
                <w:rFonts w:ascii="Times New Roman" w:hAnsi="Times New Roman" w:cs="Times New Roman"/>
                <w:b/>
                <w:sz w:val="20"/>
                <w:szCs w:val="20"/>
                <w:lang w:val="en-US"/>
              </w:rPr>
              <w:t>p</w:t>
            </w:r>
            <w:r w:rsidRPr="00C035E1">
              <w:rPr>
                <w:rFonts w:ascii="Times New Roman" w:hAnsi="Times New Roman" w:cs="Times New Roman"/>
                <w:b/>
                <w:sz w:val="20"/>
                <w:szCs w:val="20"/>
                <w:lang w:val="en-US"/>
              </w:rPr>
              <w:t>atents</w:t>
            </w:r>
            <w:r w:rsidR="002F75FA" w:rsidRPr="00C035E1">
              <w:rPr>
                <w:rFonts w:ascii="Times New Roman" w:hAnsi="Times New Roman" w:cs="Times New Roman"/>
                <w:b/>
                <w:sz w:val="20"/>
                <w:szCs w:val="20"/>
                <w:lang w:val="en-US"/>
              </w:rPr>
              <w:t>, a</w:t>
            </w:r>
            <w:r w:rsidRPr="00C035E1">
              <w:rPr>
                <w:rFonts w:ascii="Times New Roman" w:hAnsi="Times New Roman" w:cs="Times New Roman"/>
                <w:b/>
                <w:sz w:val="20"/>
                <w:szCs w:val="20"/>
                <w:lang w:val="en-US"/>
              </w:rPr>
              <w:t>mbidexterity</w:t>
            </w:r>
          </w:p>
          <w:p w14:paraId="200F7A82" w14:textId="124BA146" w:rsidR="00346291" w:rsidRPr="00C035E1" w:rsidRDefault="00943E7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Bao and Li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Bauer et al. </w:t>
            </w:r>
            <w:r w:rsidRPr="00C035E1">
              <w:rPr>
                <w:rFonts w:ascii="Times New Roman" w:hAnsi="Times New Roman" w:cs="Times New Roman"/>
                <w:sz w:val="20"/>
                <w:szCs w:val="20"/>
              </w:rPr>
              <w:t>(2016)</w:t>
            </w:r>
            <w:r w:rsidR="00772666" w:rsidRPr="00C035E1">
              <w:rPr>
                <w:rFonts w:ascii="Times New Roman" w:hAnsi="Times New Roman" w:cs="Times New Roman"/>
                <w:sz w:val="20"/>
                <w:szCs w:val="20"/>
              </w:rPr>
              <w:t xml:space="preserve">, </w:t>
            </w:r>
            <w:r w:rsidRPr="00C035E1">
              <w:rPr>
                <w:rFonts w:ascii="Times New Roman" w:hAnsi="Times New Roman" w:cs="Times New Roman"/>
                <w:sz w:val="20"/>
                <w:szCs w:val="20"/>
              </w:rPr>
              <w:t>Bertrand and Zuniga (2006)</w:t>
            </w:r>
            <w:r w:rsidR="0077266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Chang et al. </w:t>
            </w:r>
            <w:r w:rsidRPr="00C035E1">
              <w:rPr>
                <w:rFonts w:ascii="Times New Roman" w:hAnsi="Times New Roman" w:cs="Times New Roman"/>
                <w:sz w:val="20"/>
                <w:szCs w:val="20"/>
                <w:lang w:val="en-US"/>
              </w:rPr>
              <w:t>(2013a)</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Duan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Hughes et al. (2020)</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Liang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Liu and Zou (2008)</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McCarthy and Aalbers (2016)</w:t>
            </w:r>
            <w:r w:rsidR="00915426" w:rsidRPr="00C035E1">
              <w:rPr>
                <w:rFonts w:ascii="Times New Roman" w:hAnsi="Times New Roman" w:cs="Times New Roman"/>
                <w:sz w:val="20"/>
                <w:szCs w:val="20"/>
                <w:lang w:val="en-US"/>
              </w:rPr>
              <w:t>, Rao-Nicholson et al. (2016</w:t>
            </w:r>
            <w:r w:rsidR="00EA6AB7" w:rsidRPr="00C035E1">
              <w:rPr>
                <w:rFonts w:ascii="Times New Roman" w:hAnsi="Times New Roman" w:cs="Times New Roman"/>
                <w:sz w:val="20"/>
                <w:szCs w:val="20"/>
                <w:lang w:val="en-US"/>
              </w:rPr>
              <w:t>a</w:t>
            </w:r>
            <w:r w:rsidR="0091542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Stiebale (2013)</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Stiebale and Reize (2011)</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Thakur-Wernz et al. (2019)</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Wu et al.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Xiao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Yang et al.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Yildiz and Fey (2016)</w:t>
            </w:r>
          </w:p>
        </w:tc>
      </w:tr>
      <w:tr w:rsidR="00A74101" w:rsidRPr="00C035E1" w14:paraId="28F22749" w14:textId="77777777" w:rsidTr="002F75FA">
        <w:tblPrEx>
          <w:tblBorders>
            <w:insideH w:val="single" w:sz="4" w:space="0" w:color="auto"/>
          </w:tblBorders>
        </w:tblPrEx>
        <w:tc>
          <w:tcPr>
            <w:tcW w:w="9071" w:type="dxa"/>
          </w:tcPr>
          <w:p w14:paraId="5F01873D" w14:textId="1C57A860" w:rsidR="00772666" w:rsidRPr="00C035E1" w:rsidRDefault="0077266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Employee outcomes, CEO compensation</w:t>
            </w:r>
            <w:r w:rsidR="002F75FA" w:rsidRPr="00C035E1">
              <w:rPr>
                <w:rFonts w:ascii="Times New Roman" w:hAnsi="Times New Roman" w:cs="Times New Roman"/>
                <w:b/>
                <w:sz w:val="20"/>
                <w:szCs w:val="20"/>
                <w:lang w:val="en-US"/>
              </w:rPr>
              <w:t>,</w:t>
            </w:r>
            <w:r w:rsidRPr="00C035E1">
              <w:rPr>
                <w:rFonts w:ascii="Times New Roman" w:hAnsi="Times New Roman" w:cs="Times New Roman"/>
                <w:b/>
                <w:sz w:val="20"/>
                <w:szCs w:val="20"/>
                <w:lang w:val="en-US"/>
              </w:rPr>
              <w:t xml:space="preserve"> and CEO emotions</w:t>
            </w:r>
          </w:p>
          <w:p w14:paraId="58AE11EA" w14:textId="160F0FCD" w:rsidR="00772666" w:rsidRPr="00C035E1" w:rsidRDefault="0077266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Choi et al. (2020), Chow et al. (2021), Chung et al. (2014), Clougherty et al. (2014), Gomes et al. (2017), Gunkel et al. (2015), Hasset et al. (2018), Holland and Scullion (2021), Lehto and Böckerman (2008), Orefice et al. (2021), Paustian-Underdahl et al. (2017), Rao-Nicholson et al. (2016a), </w:t>
            </w:r>
            <w:r w:rsidR="00915426" w:rsidRPr="00C035E1">
              <w:rPr>
                <w:rFonts w:ascii="Times New Roman" w:hAnsi="Times New Roman" w:cs="Times New Roman"/>
                <w:sz w:val="20"/>
                <w:szCs w:val="20"/>
                <w:lang w:val="en-US"/>
              </w:rPr>
              <w:t xml:space="preserve">Rao-Nicholson et al. (2016b), </w:t>
            </w:r>
            <w:r w:rsidRPr="00C035E1">
              <w:rPr>
                <w:rFonts w:ascii="Times New Roman" w:hAnsi="Times New Roman" w:cs="Times New Roman"/>
                <w:sz w:val="20"/>
                <w:szCs w:val="20"/>
                <w:lang w:val="en-US"/>
              </w:rPr>
              <w:t xml:space="preserve">Stahl et al. (2012), Teerikangas (2012) Tian et al. </w:t>
            </w:r>
            <w:r w:rsidRPr="00C035E1">
              <w:rPr>
                <w:rFonts w:ascii="Times New Roman" w:hAnsi="Times New Roman" w:cs="Times New Roman"/>
                <w:sz w:val="20"/>
                <w:szCs w:val="20"/>
              </w:rPr>
              <w:t>(2021)</w:t>
            </w:r>
          </w:p>
        </w:tc>
      </w:tr>
      <w:tr w:rsidR="00A74101" w:rsidRPr="00C035E1" w14:paraId="40CCC4AF" w14:textId="77777777" w:rsidTr="002F75FA">
        <w:tblPrEx>
          <w:tblBorders>
            <w:insideH w:val="single" w:sz="4" w:space="0" w:color="auto"/>
          </w:tblBorders>
        </w:tblPrEx>
        <w:tc>
          <w:tcPr>
            <w:tcW w:w="9071" w:type="dxa"/>
          </w:tcPr>
          <w:p w14:paraId="6CD9D6DC" w14:textId="4913143D" w:rsidR="00772666" w:rsidRPr="00C035E1" w:rsidRDefault="00772666" w:rsidP="00C035E1">
            <w:pPr>
              <w:spacing w:line="259" w:lineRule="auto"/>
              <w:rPr>
                <w:rFonts w:ascii="Times New Roman" w:hAnsi="Times New Roman" w:cs="Times New Roman"/>
                <w:b/>
                <w:sz w:val="20"/>
                <w:szCs w:val="20"/>
              </w:rPr>
            </w:pPr>
            <w:r w:rsidRPr="00C035E1">
              <w:rPr>
                <w:rFonts w:ascii="Times New Roman" w:hAnsi="Times New Roman" w:cs="Times New Roman"/>
                <w:b/>
                <w:sz w:val="20"/>
                <w:szCs w:val="20"/>
              </w:rPr>
              <w:t>CSR</w:t>
            </w:r>
            <w:r w:rsidR="00DD4B79" w:rsidRPr="00C035E1">
              <w:rPr>
                <w:rFonts w:ascii="Times New Roman" w:hAnsi="Times New Roman" w:cs="Times New Roman"/>
                <w:b/>
                <w:sz w:val="20"/>
                <w:szCs w:val="20"/>
              </w:rPr>
              <w:t>/</w:t>
            </w:r>
            <w:r w:rsidRPr="00C035E1">
              <w:rPr>
                <w:rFonts w:ascii="Times New Roman" w:hAnsi="Times New Roman" w:cs="Times New Roman"/>
                <w:b/>
                <w:sz w:val="20"/>
                <w:szCs w:val="20"/>
              </w:rPr>
              <w:t>ESG</w:t>
            </w:r>
            <w:r w:rsidR="00DD4B79" w:rsidRPr="00C035E1">
              <w:rPr>
                <w:rFonts w:ascii="Times New Roman" w:hAnsi="Times New Roman" w:cs="Times New Roman"/>
                <w:b/>
                <w:sz w:val="20"/>
                <w:szCs w:val="20"/>
              </w:rPr>
              <w:t xml:space="preserve"> </w:t>
            </w:r>
            <w:r w:rsidR="002F75FA" w:rsidRPr="00C035E1">
              <w:rPr>
                <w:rFonts w:ascii="Times New Roman" w:hAnsi="Times New Roman" w:cs="Times New Roman"/>
                <w:b/>
                <w:sz w:val="20"/>
                <w:szCs w:val="20"/>
              </w:rPr>
              <w:t>p</w:t>
            </w:r>
            <w:r w:rsidRPr="00C035E1">
              <w:rPr>
                <w:rFonts w:ascii="Times New Roman" w:hAnsi="Times New Roman" w:cs="Times New Roman"/>
                <w:b/>
                <w:sz w:val="20"/>
                <w:szCs w:val="20"/>
              </w:rPr>
              <w:t>erformance</w:t>
            </w:r>
          </w:p>
          <w:p w14:paraId="7C14B0BA" w14:textId="77777777" w:rsidR="00346291" w:rsidRPr="00C035E1" w:rsidRDefault="00772666"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rPr>
              <w:t>Altunbaş et al. (2023), Chen et al. (2023), Li and Wang (2023), Monastyrenko (2017)</w:t>
            </w:r>
          </w:p>
        </w:tc>
      </w:tr>
      <w:tr w:rsidR="00C035E1" w:rsidRPr="00C035E1" w14:paraId="2ADA065A" w14:textId="77777777" w:rsidTr="002F75FA">
        <w:tblPrEx>
          <w:tblBorders>
            <w:insideH w:val="single" w:sz="4" w:space="0" w:color="auto"/>
          </w:tblBorders>
        </w:tblPrEx>
        <w:tc>
          <w:tcPr>
            <w:tcW w:w="9071" w:type="dxa"/>
          </w:tcPr>
          <w:p w14:paraId="0AA243D2" w14:textId="77777777" w:rsidR="00772666" w:rsidRPr="00C035E1" w:rsidRDefault="0077266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Miscellaneous/difficult to assign</w:t>
            </w:r>
          </w:p>
          <w:p w14:paraId="0E108564" w14:textId="612E700C" w:rsidR="00772666" w:rsidRPr="00C035E1" w:rsidRDefault="0077266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Ahiabor et al. (2018), Alimov and Officer (2017), Bai et al. (2024), Bertrand and Capron (2015), Bertrand and Zitouna (2006), Chang et al. </w:t>
            </w:r>
            <w:r w:rsidRPr="00C035E1">
              <w:rPr>
                <w:rFonts w:ascii="Times New Roman" w:hAnsi="Times New Roman" w:cs="Times New Roman"/>
                <w:sz w:val="20"/>
                <w:szCs w:val="20"/>
              </w:rPr>
              <w:t>(2013</w:t>
            </w:r>
            <w:r w:rsidR="00A74101" w:rsidRPr="00C035E1">
              <w:rPr>
                <w:rFonts w:ascii="Times New Roman" w:hAnsi="Times New Roman" w:cs="Times New Roman"/>
                <w:sz w:val="20"/>
                <w:szCs w:val="20"/>
              </w:rPr>
              <w:t>a</w:t>
            </w:r>
            <w:r w:rsidRPr="00C035E1">
              <w:rPr>
                <w:rFonts w:ascii="Times New Roman" w:hAnsi="Times New Roman" w:cs="Times New Roman"/>
                <w:sz w:val="20"/>
                <w:szCs w:val="20"/>
              </w:rPr>
              <w:t xml:space="preserve">), Chio et al. (2010), Danakol et al. (2017), Dihr et al. (2020), Dos Santos et al. </w:t>
            </w:r>
            <w:r w:rsidRPr="00762585">
              <w:rPr>
                <w:rFonts w:ascii="Times New Roman" w:hAnsi="Times New Roman" w:cs="Times New Roman"/>
                <w:sz w:val="20"/>
                <w:szCs w:val="20"/>
                <w:lang w:val="en-US"/>
              </w:rPr>
              <w:t xml:space="preserve">(2008), Doukas and Kan (2006), Duncan and Mtar (2006), Ekkayokkaya et al. (2017), Elango et al. </w:t>
            </w:r>
            <w:r w:rsidRPr="00C035E1">
              <w:rPr>
                <w:rFonts w:ascii="Times New Roman" w:hAnsi="Times New Roman" w:cs="Times New Roman"/>
                <w:sz w:val="20"/>
                <w:szCs w:val="20"/>
              </w:rPr>
              <w:t xml:space="preserve">(2019), Hajro (2015), Hassan et al. (2016), He et al. (2024), Hébert et al. (2005), Heinberg et al. </w:t>
            </w:r>
            <w:r w:rsidRPr="00762585">
              <w:rPr>
                <w:rFonts w:ascii="Times New Roman" w:hAnsi="Times New Roman" w:cs="Times New Roman"/>
                <w:sz w:val="20"/>
                <w:szCs w:val="20"/>
                <w:lang w:val="en-US"/>
              </w:rPr>
              <w:t xml:space="preserve">(2016), Hope et al. </w:t>
            </w:r>
            <w:r w:rsidRPr="00C035E1">
              <w:rPr>
                <w:rFonts w:ascii="Times New Roman" w:hAnsi="Times New Roman" w:cs="Times New Roman"/>
                <w:sz w:val="20"/>
                <w:szCs w:val="20"/>
                <w:lang w:val="en-US"/>
              </w:rPr>
              <w:t xml:space="preserve">(2011), Huizinga et al. (2018), Hwang (2011), Ismailescu and Col (2022), Ito et al. (2012), Jory and Ngo (2015), Khan et al. (2020a), Kling et al. (2014), Lewis and Bozos (2019), Li and Valentini (2023), Liou et al. (2018), Lozano-Vivas and Weill (2012), Meoli et al. (2013), Meyer and Su (2015), Otchere and Oldford (2018), Ovin and Macek (2010), Øyna et al. </w:t>
            </w:r>
            <w:r w:rsidRPr="00C035E1">
              <w:rPr>
                <w:rFonts w:ascii="Times New Roman" w:hAnsi="Times New Roman" w:cs="Times New Roman"/>
                <w:sz w:val="20"/>
                <w:szCs w:val="20"/>
              </w:rPr>
              <w:t xml:space="preserve">(2018), Qiu et al. (2024), Rao-Nicholson et al. (2020), Renneboog et al. </w:t>
            </w:r>
            <w:r w:rsidRPr="00C035E1">
              <w:rPr>
                <w:rFonts w:ascii="Times New Roman" w:hAnsi="Times New Roman" w:cs="Times New Roman"/>
                <w:sz w:val="20"/>
                <w:szCs w:val="20"/>
                <w:lang w:val="en-US"/>
              </w:rPr>
              <w:t>(2017), Roy and Bagchi (2011), Schiffbauer et al. (2017), Schoenberg (2006), Shirasu (2018), Slangen and Hennart (2008a), Su (2023), Tan (2009), Teerikangas and Very (2006), Wan and Wong (2009), Wang et al. (2020), Wong (2008), Zheng et al. (2024), Zhu et al. (2020)</w:t>
            </w:r>
          </w:p>
        </w:tc>
      </w:tr>
    </w:tbl>
    <w:p w14:paraId="093266F1" w14:textId="77777777" w:rsidR="006B7EFA" w:rsidRPr="00A74101" w:rsidRDefault="006B7EFA">
      <w:pPr>
        <w:rPr>
          <w:rFonts w:ascii="Times New Roman" w:hAnsi="Times New Roman" w:cs="Times New Roman"/>
          <w:lang w:val="en-US"/>
        </w:rPr>
      </w:pPr>
    </w:p>
    <w:p w14:paraId="6DA3E086" w14:textId="68BD8742" w:rsidR="00A4384A" w:rsidRDefault="00A4384A">
      <w:pPr>
        <w:rPr>
          <w:rFonts w:ascii="Times New Roman" w:hAnsi="Times New Roman" w:cs="Times New Roman"/>
          <w:lang w:val="en-US"/>
        </w:rPr>
      </w:pPr>
      <w:r>
        <w:rPr>
          <w:rFonts w:ascii="Times New Roman" w:hAnsi="Times New Roman" w:cs="Times New Roman"/>
          <w:lang w:val="en-US"/>
        </w:rPr>
        <w:br w:type="page"/>
      </w:r>
    </w:p>
    <w:p w14:paraId="764CE6C6" w14:textId="692C42A9" w:rsidR="00657E0C" w:rsidRPr="00C8286C" w:rsidRDefault="00657E0C" w:rsidP="00657E0C">
      <w:pPr>
        <w:rPr>
          <w:rFonts w:ascii="Times New Roman" w:hAnsi="Times New Roman" w:cs="Times New Roman"/>
          <w:b/>
          <w:sz w:val="24"/>
          <w:szCs w:val="24"/>
          <w:lang w:val="en-US"/>
        </w:rPr>
      </w:pPr>
      <w:r w:rsidRPr="00C8286C">
        <w:rPr>
          <w:rFonts w:ascii="Times New Roman" w:hAnsi="Times New Roman" w:cs="Times New Roman"/>
          <w:b/>
          <w:sz w:val="24"/>
          <w:szCs w:val="24"/>
          <w:lang w:val="en-US"/>
        </w:rPr>
        <w:t xml:space="preserve">Online appendix </w:t>
      </w:r>
      <w:r>
        <w:rPr>
          <w:rFonts w:ascii="Times New Roman" w:hAnsi="Times New Roman" w:cs="Times New Roman"/>
          <w:b/>
          <w:sz w:val="24"/>
          <w:szCs w:val="24"/>
          <w:lang w:val="en-US"/>
        </w:rPr>
        <w:t>2</w:t>
      </w:r>
      <w:r w:rsidRPr="00C8286C">
        <w:rPr>
          <w:rFonts w:ascii="Times New Roman" w:hAnsi="Times New Roman" w:cs="Times New Roman"/>
          <w:b/>
          <w:sz w:val="24"/>
          <w:szCs w:val="24"/>
          <w:lang w:val="en-US"/>
        </w:rPr>
        <w:t xml:space="preserve">: </w:t>
      </w:r>
      <w:r w:rsidRPr="00C8286C">
        <w:rPr>
          <w:rFonts w:ascii="Times New Roman" w:eastAsia="SimHei" w:hAnsi="Times New Roman" w:cs="Times New Roman"/>
          <w:b/>
          <w:bCs/>
          <w:sz w:val="24"/>
          <w:szCs w:val="24"/>
          <w:lang w:val="en-US" w:eastAsia="zh-CN"/>
        </w:rPr>
        <w:t xml:space="preserve">What </w:t>
      </w:r>
      <w:r w:rsidRPr="00C8286C">
        <w:rPr>
          <w:rFonts w:ascii="Times New Roman" w:eastAsia="SimHei" w:hAnsi="Times New Roman" w:cs="Times New Roman"/>
          <w:b/>
          <w:bCs/>
          <w:i/>
          <w:iCs/>
          <w:sz w:val="24"/>
          <w:szCs w:val="24"/>
          <w:lang w:val="en-US" w:eastAsia="zh-CN"/>
        </w:rPr>
        <w:t>should</w:t>
      </w:r>
      <w:r w:rsidRPr="00C8286C">
        <w:rPr>
          <w:rFonts w:ascii="Times New Roman" w:eastAsia="SimHei" w:hAnsi="Times New Roman" w:cs="Times New Roman"/>
          <w:b/>
          <w:bCs/>
          <w:sz w:val="24"/>
          <w:szCs w:val="24"/>
          <w:lang w:val="en-US" w:eastAsia="zh-CN"/>
        </w:rPr>
        <w:t xml:space="preserve"> we know about cross-border M&amp;A as compared to domestic M&amp;A</w:t>
      </w:r>
    </w:p>
    <w:tbl>
      <w:tblPr>
        <w:tblStyle w:val="TableGrid11"/>
        <w:tblW w:w="9072" w:type="dxa"/>
        <w:tblBorders>
          <w:top w:val="none" w:sz="0" w:space="0" w:color="auto"/>
          <w:left w:val="none" w:sz="0" w:space="0" w:color="auto"/>
          <w:right w:val="none" w:sz="0" w:space="0" w:color="auto"/>
        </w:tblBorders>
        <w:tblCellMar>
          <w:top w:w="57" w:type="dxa"/>
          <w:left w:w="0" w:type="dxa"/>
          <w:bottom w:w="57" w:type="dxa"/>
          <w:right w:w="57" w:type="dxa"/>
        </w:tblCellMar>
        <w:tblLook w:val="04A0" w:firstRow="1" w:lastRow="0" w:firstColumn="1" w:lastColumn="0" w:noHBand="0" w:noVBand="1"/>
      </w:tblPr>
      <w:tblGrid>
        <w:gridCol w:w="1585"/>
        <w:gridCol w:w="116"/>
        <w:gridCol w:w="2463"/>
        <w:gridCol w:w="2454"/>
        <w:gridCol w:w="2454"/>
      </w:tblGrid>
      <w:tr w:rsidR="00657E0C" w:rsidRPr="00DD46B4" w14:paraId="44500DED" w14:textId="77777777" w:rsidTr="00D24718">
        <w:trPr>
          <w:trHeight w:val="283"/>
        </w:trPr>
        <w:tc>
          <w:tcPr>
            <w:tcW w:w="1585" w:type="dxa"/>
            <w:tcBorders>
              <w:top w:val="nil"/>
              <w:bottom w:val="single" w:sz="4" w:space="0" w:color="auto"/>
              <w:right w:val="nil"/>
            </w:tcBorders>
          </w:tcPr>
          <w:p w14:paraId="7F3E4239" w14:textId="77777777" w:rsidR="00657E0C" w:rsidRPr="00C8286C" w:rsidRDefault="00657E0C" w:rsidP="00D24718">
            <w:pPr>
              <w:contextualSpacing/>
              <w:jc w:val="center"/>
              <w:rPr>
                <w:rFonts w:ascii="Times New Roman" w:eastAsia="SimSun" w:hAnsi="Times New Roman"/>
                <w:b/>
                <w:lang w:eastAsia="zh-CN"/>
              </w:rPr>
            </w:pPr>
          </w:p>
        </w:tc>
        <w:tc>
          <w:tcPr>
            <w:tcW w:w="116" w:type="dxa"/>
            <w:tcBorders>
              <w:left w:val="nil"/>
              <w:bottom w:val="single" w:sz="4" w:space="0" w:color="auto"/>
              <w:right w:val="nil"/>
            </w:tcBorders>
          </w:tcPr>
          <w:p w14:paraId="127F6E22" w14:textId="77777777" w:rsidR="00657E0C" w:rsidRPr="00C8286C" w:rsidRDefault="00657E0C" w:rsidP="00D24718">
            <w:pPr>
              <w:contextualSpacing/>
              <w:jc w:val="center"/>
              <w:rPr>
                <w:rFonts w:ascii="Times New Roman" w:eastAsia="SimSun" w:hAnsi="Times New Roman"/>
                <w:b/>
                <w:bCs/>
                <w:lang w:eastAsia="zh-CN"/>
              </w:rPr>
            </w:pPr>
          </w:p>
        </w:tc>
        <w:tc>
          <w:tcPr>
            <w:tcW w:w="7371" w:type="dxa"/>
            <w:gridSpan w:val="3"/>
            <w:tcBorders>
              <w:left w:val="nil"/>
              <w:bottom w:val="single" w:sz="4" w:space="0" w:color="auto"/>
            </w:tcBorders>
            <w:vAlign w:val="center"/>
          </w:tcPr>
          <w:p w14:paraId="3DB0D7B5" w14:textId="77777777" w:rsidR="00657E0C" w:rsidRPr="00C8286C" w:rsidRDefault="00657E0C" w:rsidP="00D24718">
            <w:pPr>
              <w:contextualSpacing/>
              <w:jc w:val="center"/>
              <w:rPr>
                <w:rFonts w:ascii="Times New Roman" w:eastAsia="SimSun" w:hAnsi="Times New Roman"/>
                <w:b/>
                <w:bCs/>
                <w:lang w:eastAsia="zh-CN"/>
              </w:rPr>
            </w:pPr>
            <w:r w:rsidRPr="00C8286C">
              <w:rPr>
                <w:rFonts w:ascii="Times New Roman" w:eastAsia="SimSun" w:hAnsi="Times New Roman"/>
                <w:b/>
                <w:bCs/>
                <w:lang w:eastAsia="zh-CN"/>
              </w:rPr>
              <w:t>Cross-border M&amp;A as…</w:t>
            </w:r>
          </w:p>
        </w:tc>
      </w:tr>
      <w:tr w:rsidR="00657E0C" w:rsidRPr="00C8286C" w14:paraId="4DDCDCC9" w14:textId="77777777" w:rsidTr="00D24718">
        <w:tc>
          <w:tcPr>
            <w:tcW w:w="1585" w:type="dxa"/>
            <w:tcBorders>
              <w:top w:val="single" w:sz="4" w:space="0" w:color="auto"/>
              <w:bottom w:val="single" w:sz="4" w:space="0" w:color="auto"/>
              <w:right w:val="nil"/>
            </w:tcBorders>
          </w:tcPr>
          <w:p w14:paraId="4E330866" w14:textId="77777777" w:rsidR="00657E0C" w:rsidRPr="00C8286C" w:rsidRDefault="00657E0C" w:rsidP="00D24718">
            <w:pPr>
              <w:contextualSpacing/>
              <w:jc w:val="center"/>
              <w:rPr>
                <w:rFonts w:ascii="Times New Roman" w:eastAsia="SimSun" w:hAnsi="Times New Roman"/>
                <w:b/>
                <w:lang w:eastAsia="zh-CN"/>
              </w:rPr>
            </w:pPr>
          </w:p>
        </w:tc>
        <w:tc>
          <w:tcPr>
            <w:tcW w:w="116" w:type="dxa"/>
            <w:tcBorders>
              <w:top w:val="single" w:sz="4" w:space="0" w:color="auto"/>
              <w:left w:val="nil"/>
              <w:bottom w:val="nil"/>
              <w:right w:val="single" w:sz="48" w:space="0" w:color="FFFFFF"/>
            </w:tcBorders>
          </w:tcPr>
          <w:p w14:paraId="16D61FF4" w14:textId="77777777" w:rsidR="00657E0C" w:rsidRPr="00C8286C" w:rsidRDefault="00657E0C" w:rsidP="00D24718">
            <w:pPr>
              <w:contextualSpacing/>
              <w:jc w:val="center"/>
              <w:rPr>
                <w:rFonts w:ascii="Times New Roman" w:eastAsia="SimSun" w:hAnsi="Times New Roman"/>
                <w:b/>
                <w:bCs/>
                <w:lang w:eastAsia="zh-CN"/>
              </w:rPr>
            </w:pPr>
          </w:p>
        </w:tc>
        <w:tc>
          <w:tcPr>
            <w:tcW w:w="2463" w:type="dxa"/>
            <w:tcBorders>
              <w:top w:val="single" w:sz="4" w:space="0" w:color="auto"/>
              <w:left w:val="single" w:sz="48" w:space="0" w:color="FFFFFF"/>
              <w:bottom w:val="single" w:sz="4" w:space="0" w:color="auto"/>
              <w:right w:val="single" w:sz="48" w:space="0" w:color="FFFFFF"/>
            </w:tcBorders>
            <w:vAlign w:val="center"/>
          </w:tcPr>
          <w:p w14:paraId="2F948086" w14:textId="77777777" w:rsidR="00657E0C" w:rsidRPr="00C8286C" w:rsidRDefault="00657E0C" w:rsidP="00D24718">
            <w:pPr>
              <w:contextualSpacing/>
              <w:jc w:val="center"/>
              <w:rPr>
                <w:rFonts w:ascii="Times New Roman" w:eastAsia="SimSun" w:hAnsi="Times New Roman"/>
                <w:b/>
                <w:bCs/>
                <w:lang w:eastAsia="zh-CN"/>
              </w:rPr>
            </w:pPr>
            <w:r w:rsidRPr="00C8286C">
              <w:rPr>
                <w:rFonts w:ascii="Times New Roman" w:eastAsia="SimSun" w:hAnsi="Times New Roman"/>
                <w:b/>
                <w:bCs/>
                <w:lang w:eastAsia="zh-CN"/>
              </w:rPr>
              <w:t>(1)</w:t>
            </w:r>
          </w:p>
          <w:p w14:paraId="6F1366F3" w14:textId="77777777" w:rsidR="00657E0C" w:rsidRPr="00C8286C" w:rsidRDefault="00657E0C" w:rsidP="00D24718">
            <w:pPr>
              <w:contextualSpacing/>
              <w:jc w:val="center"/>
              <w:rPr>
                <w:rFonts w:ascii="Times New Roman" w:eastAsia="SimSun" w:hAnsi="Times New Roman"/>
                <w:b/>
                <w:lang w:eastAsia="zh-CN"/>
              </w:rPr>
            </w:pPr>
            <w:r w:rsidRPr="00C8286C">
              <w:rPr>
                <w:rFonts w:ascii="Times New Roman" w:eastAsia="SimSun" w:hAnsi="Times New Roman"/>
                <w:b/>
                <w:bCs/>
                <w:lang w:eastAsia="zh-CN"/>
              </w:rPr>
              <w:t>Mode of entry</w:t>
            </w:r>
          </w:p>
        </w:tc>
        <w:tc>
          <w:tcPr>
            <w:tcW w:w="2454" w:type="dxa"/>
            <w:tcBorders>
              <w:top w:val="single" w:sz="4" w:space="0" w:color="auto"/>
              <w:left w:val="single" w:sz="48" w:space="0" w:color="FFFFFF"/>
              <w:bottom w:val="single" w:sz="4" w:space="0" w:color="auto"/>
              <w:right w:val="single" w:sz="48" w:space="0" w:color="FFFFFF"/>
            </w:tcBorders>
            <w:vAlign w:val="center"/>
          </w:tcPr>
          <w:p w14:paraId="5661630D" w14:textId="77777777" w:rsidR="00657E0C" w:rsidRPr="00C8286C" w:rsidRDefault="00657E0C" w:rsidP="00D24718">
            <w:pPr>
              <w:contextualSpacing/>
              <w:jc w:val="center"/>
              <w:rPr>
                <w:rFonts w:ascii="Times New Roman" w:eastAsia="SimSun" w:hAnsi="Times New Roman"/>
                <w:b/>
                <w:bCs/>
                <w:lang w:eastAsia="zh-CN"/>
              </w:rPr>
            </w:pPr>
            <w:r w:rsidRPr="00C8286C">
              <w:rPr>
                <w:rFonts w:ascii="Times New Roman" w:eastAsia="SimSun" w:hAnsi="Times New Roman"/>
                <w:b/>
                <w:bCs/>
                <w:lang w:eastAsia="zh-CN"/>
              </w:rPr>
              <w:t>(2)</w:t>
            </w:r>
          </w:p>
          <w:p w14:paraId="7121BD6A" w14:textId="77777777" w:rsidR="00657E0C" w:rsidRPr="00C8286C" w:rsidRDefault="00657E0C" w:rsidP="00D24718">
            <w:pPr>
              <w:contextualSpacing/>
              <w:jc w:val="center"/>
              <w:rPr>
                <w:rFonts w:ascii="Times New Roman" w:eastAsia="SimSun" w:hAnsi="Times New Roman"/>
                <w:b/>
                <w:lang w:eastAsia="zh-CN"/>
              </w:rPr>
            </w:pPr>
            <w:r w:rsidRPr="00C8286C">
              <w:rPr>
                <w:rFonts w:ascii="Times New Roman" w:eastAsia="SimSun" w:hAnsi="Times New Roman"/>
                <w:b/>
                <w:bCs/>
                <w:lang w:eastAsia="zh-CN"/>
              </w:rPr>
              <w:t>Dynamic learning process</w:t>
            </w:r>
          </w:p>
        </w:tc>
        <w:tc>
          <w:tcPr>
            <w:tcW w:w="2454" w:type="dxa"/>
            <w:tcBorders>
              <w:top w:val="single" w:sz="4" w:space="0" w:color="auto"/>
              <w:left w:val="single" w:sz="48" w:space="0" w:color="FFFFFF"/>
              <w:bottom w:val="single" w:sz="4" w:space="0" w:color="auto"/>
            </w:tcBorders>
            <w:vAlign w:val="center"/>
          </w:tcPr>
          <w:p w14:paraId="366C8797" w14:textId="77777777" w:rsidR="00657E0C" w:rsidRPr="00C8286C" w:rsidRDefault="00657E0C" w:rsidP="00D24718">
            <w:pPr>
              <w:contextualSpacing/>
              <w:jc w:val="center"/>
              <w:rPr>
                <w:rFonts w:ascii="Times New Roman" w:eastAsia="SimSun" w:hAnsi="Times New Roman"/>
                <w:b/>
                <w:bCs/>
                <w:lang w:eastAsia="zh-CN"/>
              </w:rPr>
            </w:pPr>
            <w:r w:rsidRPr="00C8286C">
              <w:rPr>
                <w:rFonts w:ascii="Times New Roman" w:eastAsia="SimSun" w:hAnsi="Times New Roman"/>
                <w:b/>
                <w:bCs/>
                <w:lang w:eastAsia="zh-CN"/>
              </w:rPr>
              <w:t>(3)</w:t>
            </w:r>
          </w:p>
          <w:p w14:paraId="7C9A7DE6" w14:textId="77777777" w:rsidR="00657E0C" w:rsidRPr="00C8286C" w:rsidRDefault="00657E0C" w:rsidP="00D24718">
            <w:pPr>
              <w:contextualSpacing/>
              <w:jc w:val="center"/>
              <w:rPr>
                <w:rFonts w:ascii="Times New Roman" w:eastAsia="SimSun" w:hAnsi="Times New Roman"/>
                <w:b/>
                <w:lang w:eastAsia="zh-CN"/>
              </w:rPr>
            </w:pPr>
            <w:r w:rsidRPr="00C8286C">
              <w:rPr>
                <w:rFonts w:ascii="Times New Roman" w:eastAsia="SimSun" w:hAnsi="Times New Roman"/>
                <w:b/>
                <w:bCs/>
                <w:lang w:eastAsia="zh-CN"/>
              </w:rPr>
              <w:t>Value-creating strategy</w:t>
            </w:r>
          </w:p>
        </w:tc>
      </w:tr>
      <w:tr w:rsidR="00657E0C" w:rsidRPr="00DD46B4" w14:paraId="6FED94FE" w14:textId="77777777" w:rsidTr="00D24718">
        <w:tc>
          <w:tcPr>
            <w:tcW w:w="1585" w:type="dxa"/>
            <w:tcBorders>
              <w:top w:val="single" w:sz="4" w:space="0" w:color="auto"/>
              <w:left w:val="nil"/>
              <w:bottom w:val="nil"/>
              <w:right w:val="nil"/>
            </w:tcBorders>
          </w:tcPr>
          <w:p w14:paraId="2D0EEB27" w14:textId="77777777" w:rsidR="00657E0C" w:rsidRPr="00C8286C" w:rsidRDefault="00657E0C" w:rsidP="00D24718">
            <w:pPr>
              <w:contextualSpacing/>
              <w:rPr>
                <w:rFonts w:ascii="Times New Roman" w:eastAsia="SimSun" w:hAnsi="Times New Roman"/>
                <w:lang w:eastAsia="zh-CN"/>
              </w:rPr>
            </w:pPr>
            <w:r>
              <w:rPr>
                <w:rFonts w:ascii="Times New Roman" w:eastAsia="SimSun" w:hAnsi="Times New Roman"/>
                <w:b/>
                <w:bCs/>
                <w:lang w:eastAsia="zh-CN"/>
              </w:rPr>
              <w:t>C</w:t>
            </w:r>
            <w:r w:rsidRPr="00C8286C">
              <w:rPr>
                <w:rFonts w:ascii="Times New Roman" w:eastAsia="SimSun" w:hAnsi="Times New Roman"/>
                <w:b/>
                <w:bCs/>
                <w:lang w:eastAsia="zh-CN"/>
              </w:rPr>
              <w:t>ultural differences</w:t>
            </w:r>
            <w:r w:rsidRPr="00C8286C">
              <w:rPr>
                <w:rFonts w:ascii="Times New Roman" w:eastAsia="SimSun" w:hAnsi="Times New Roman"/>
                <w:bCs/>
                <w:lang w:eastAsia="zh-CN"/>
              </w:rPr>
              <w:t xml:space="preserve"> </w:t>
            </w:r>
            <w:r w:rsidRPr="00C8286C">
              <w:rPr>
                <w:rFonts w:ascii="Times New Roman" w:eastAsia="SimSun" w:hAnsi="Times New Roman"/>
                <w:lang w:eastAsia="zh-CN"/>
              </w:rPr>
              <w:t xml:space="preserve">between acquirer and target </w:t>
            </w:r>
          </w:p>
        </w:tc>
        <w:tc>
          <w:tcPr>
            <w:tcW w:w="116" w:type="dxa"/>
            <w:tcBorders>
              <w:top w:val="nil"/>
              <w:left w:val="nil"/>
              <w:bottom w:val="nil"/>
              <w:right w:val="nil"/>
            </w:tcBorders>
          </w:tcPr>
          <w:p w14:paraId="306012BB" w14:textId="77777777" w:rsidR="00657E0C" w:rsidRPr="00C8286C" w:rsidRDefault="00657E0C" w:rsidP="00D24718">
            <w:pPr>
              <w:contextualSpacing/>
              <w:rPr>
                <w:rFonts w:ascii="Times New Roman" w:eastAsia="SimSun" w:hAnsi="Times New Roman"/>
                <w:lang w:eastAsia="zh-CN"/>
              </w:rPr>
            </w:pPr>
          </w:p>
        </w:tc>
        <w:tc>
          <w:tcPr>
            <w:tcW w:w="2463" w:type="dxa"/>
            <w:tcBorders>
              <w:top w:val="single" w:sz="4" w:space="0" w:color="auto"/>
              <w:left w:val="nil"/>
              <w:bottom w:val="nil"/>
              <w:right w:val="single" w:sz="48" w:space="0" w:color="FFFFFF"/>
            </w:tcBorders>
          </w:tcPr>
          <w:p w14:paraId="70BB686C"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cultural differences affect (managerial) decision making in the entry mode choice?</w:t>
            </w:r>
          </w:p>
          <w:p w14:paraId="60A1E4ED"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Do intra-country subcultures affect cross-border M&amp;A and if so, how?</w:t>
            </w:r>
          </w:p>
        </w:tc>
        <w:tc>
          <w:tcPr>
            <w:tcW w:w="2454" w:type="dxa"/>
            <w:tcBorders>
              <w:top w:val="single" w:sz="4" w:space="0" w:color="auto"/>
              <w:left w:val="single" w:sz="48" w:space="0" w:color="FFFFFF"/>
              <w:bottom w:val="nil"/>
              <w:right w:val="single" w:sz="48" w:space="0" w:color="FFFFFF"/>
            </w:tcBorders>
          </w:tcPr>
          <w:p w14:paraId="3DD8554E"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cultural differences affect dynamic learning processes in detail?</w:t>
            </w:r>
          </w:p>
          <w:p w14:paraId="2F4D58D2"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merging firms mitigate cultural distance during dynamic learning processes?</w:t>
            </w:r>
          </w:p>
        </w:tc>
        <w:tc>
          <w:tcPr>
            <w:tcW w:w="2454" w:type="dxa"/>
            <w:tcBorders>
              <w:top w:val="single" w:sz="4" w:space="0" w:color="auto"/>
              <w:left w:val="single" w:sz="48" w:space="0" w:color="FFFFFF"/>
              <w:bottom w:val="nil"/>
            </w:tcBorders>
          </w:tcPr>
          <w:p w14:paraId="45552EB4"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When, how, and why turn cultural differences from short-term performance-increasing into long-run performance-decreasing effects?</w:t>
            </w:r>
          </w:p>
        </w:tc>
      </w:tr>
      <w:tr w:rsidR="00657E0C" w:rsidRPr="00DD46B4" w14:paraId="6B89EE7F" w14:textId="77777777" w:rsidTr="00D24718">
        <w:trPr>
          <w:trHeight w:val="20"/>
        </w:trPr>
        <w:tc>
          <w:tcPr>
            <w:tcW w:w="1585" w:type="dxa"/>
            <w:tcBorders>
              <w:top w:val="nil"/>
              <w:bottom w:val="single" w:sz="4" w:space="0" w:color="auto"/>
              <w:right w:val="nil"/>
            </w:tcBorders>
          </w:tcPr>
          <w:p w14:paraId="0879B9CE" w14:textId="77777777" w:rsidR="00657E0C" w:rsidRPr="00C8286C" w:rsidRDefault="00657E0C" w:rsidP="00D24718">
            <w:pPr>
              <w:contextualSpacing/>
              <w:rPr>
                <w:rFonts w:ascii="Times New Roman" w:eastAsia="SimSun" w:hAnsi="Times New Roman"/>
                <w:sz w:val="2"/>
                <w:szCs w:val="2"/>
                <w:lang w:eastAsia="zh-CN"/>
              </w:rPr>
            </w:pPr>
          </w:p>
        </w:tc>
        <w:tc>
          <w:tcPr>
            <w:tcW w:w="116" w:type="dxa"/>
            <w:tcBorders>
              <w:top w:val="nil"/>
              <w:left w:val="nil"/>
              <w:bottom w:val="nil"/>
              <w:right w:val="nil"/>
            </w:tcBorders>
          </w:tcPr>
          <w:p w14:paraId="40D9CC1B" w14:textId="77777777" w:rsidR="00657E0C" w:rsidRPr="00C8286C" w:rsidRDefault="00657E0C" w:rsidP="00D24718">
            <w:pPr>
              <w:ind w:left="360"/>
              <w:contextualSpacing/>
              <w:rPr>
                <w:rFonts w:ascii="Times New Roman" w:eastAsia="SimSun" w:hAnsi="Times New Roman"/>
                <w:sz w:val="2"/>
                <w:szCs w:val="2"/>
                <w:lang w:eastAsia="zh-CN"/>
              </w:rPr>
            </w:pPr>
          </w:p>
        </w:tc>
        <w:tc>
          <w:tcPr>
            <w:tcW w:w="2463" w:type="dxa"/>
            <w:tcBorders>
              <w:top w:val="nil"/>
              <w:left w:val="nil"/>
              <w:bottom w:val="single" w:sz="4" w:space="0" w:color="auto"/>
              <w:right w:val="single" w:sz="48" w:space="0" w:color="FFFFFF"/>
            </w:tcBorders>
          </w:tcPr>
          <w:p w14:paraId="7E781174" w14:textId="77777777" w:rsidR="00657E0C" w:rsidRPr="00C8286C" w:rsidRDefault="00657E0C" w:rsidP="00D24718">
            <w:pPr>
              <w:contextualSpacing/>
              <w:rPr>
                <w:rFonts w:ascii="Times New Roman" w:eastAsia="SimSun" w:hAnsi="Times New Roman"/>
                <w:sz w:val="2"/>
                <w:szCs w:val="2"/>
                <w:lang w:eastAsia="zh-CN"/>
              </w:rPr>
            </w:pPr>
          </w:p>
        </w:tc>
        <w:tc>
          <w:tcPr>
            <w:tcW w:w="2454" w:type="dxa"/>
            <w:tcBorders>
              <w:top w:val="nil"/>
              <w:left w:val="single" w:sz="48" w:space="0" w:color="FFFFFF"/>
              <w:bottom w:val="single" w:sz="4" w:space="0" w:color="auto"/>
              <w:right w:val="single" w:sz="48" w:space="0" w:color="FFFFFF"/>
            </w:tcBorders>
          </w:tcPr>
          <w:p w14:paraId="5F4293B0" w14:textId="77777777" w:rsidR="00657E0C" w:rsidRPr="00C8286C" w:rsidRDefault="00657E0C" w:rsidP="00D24718">
            <w:pPr>
              <w:contextualSpacing/>
              <w:rPr>
                <w:rFonts w:ascii="Times New Roman" w:eastAsia="SimSun" w:hAnsi="Times New Roman"/>
                <w:sz w:val="2"/>
                <w:szCs w:val="2"/>
                <w:lang w:eastAsia="zh-CN"/>
              </w:rPr>
            </w:pPr>
          </w:p>
        </w:tc>
        <w:tc>
          <w:tcPr>
            <w:tcW w:w="2454" w:type="dxa"/>
            <w:tcBorders>
              <w:top w:val="nil"/>
              <w:left w:val="single" w:sz="48" w:space="0" w:color="FFFFFF"/>
              <w:bottom w:val="single" w:sz="4" w:space="0" w:color="auto"/>
            </w:tcBorders>
          </w:tcPr>
          <w:p w14:paraId="1828AD38" w14:textId="77777777" w:rsidR="00657E0C" w:rsidRPr="00C8286C" w:rsidRDefault="00657E0C" w:rsidP="00D24718">
            <w:pPr>
              <w:contextualSpacing/>
              <w:rPr>
                <w:rFonts w:ascii="Times New Roman" w:eastAsia="SimSun" w:hAnsi="Times New Roman"/>
                <w:sz w:val="2"/>
                <w:szCs w:val="2"/>
                <w:lang w:eastAsia="zh-CN"/>
              </w:rPr>
            </w:pPr>
          </w:p>
        </w:tc>
      </w:tr>
      <w:tr w:rsidR="00657E0C" w:rsidRPr="00DD46B4" w14:paraId="7A120EFF" w14:textId="77777777" w:rsidTr="00D24718">
        <w:tc>
          <w:tcPr>
            <w:tcW w:w="1585" w:type="dxa"/>
            <w:tcBorders>
              <w:top w:val="single" w:sz="4" w:space="0" w:color="auto"/>
              <w:left w:val="nil"/>
              <w:bottom w:val="nil"/>
              <w:right w:val="nil"/>
            </w:tcBorders>
          </w:tcPr>
          <w:p w14:paraId="258F5DF9" w14:textId="77777777" w:rsidR="00657E0C" w:rsidRPr="00C8286C" w:rsidRDefault="00657E0C" w:rsidP="00D24718">
            <w:pPr>
              <w:contextualSpacing/>
              <w:rPr>
                <w:rFonts w:ascii="Times New Roman" w:eastAsia="SimSun" w:hAnsi="Times New Roman"/>
                <w:lang w:eastAsia="zh-CN"/>
              </w:rPr>
            </w:pPr>
            <w:r>
              <w:rPr>
                <w:rFonts w:ascii="Times New Roman" w:eastAsia="SimSun" w:hAnsi="Times New Roman"/>
                <w:b/>
                <w:bCs/>
                <w:lang w:eastAsia="zh-CN"/>
              </w:rPr>
              <w:t>I</w:t>
            </w:r>
            <w:r w:rsidRPr="00C8286C">
              <w:rPr>
                <w:rFonts w:ascii="Times New Roman" w:eastAsia="SimSun" w:hAnsi="Times New Roman"/>
                <w:b/>
                <w:bCs/>
                <w:lang w:eastAsia="zh-CN"/>
              </w:rPr>
              <w:t>nstitutional differences</w:t>
            </w:r>
            <w:r w:rsidRPr="00C8286C">
              <w:rPr>
                <w:rFonts w:ascii="Times New Roman" w:eastAsia="SimSun" w:hAnsi="Times New Roman"/>
                <w:bCs/>
                <w:lang w:eastAsia="zh-CN"/>
              </w:rPr>
              <w:t xml:space="preserve"> </w:t>
            </w:r>
            <w:r w:rsidRPr="00C8286C">
              <w:rPr>
                <w:rFonts w:ascii="Times New Roman" w:eastAsia="SimSun" w:hAnsi="Times New Roman"/>
                <w:lang w:eastAsia="zh-CN"/>
              </w:rPr>
              <w:t xml:space="preserve">between acquirer and target </w:t>
            </w:r>
          </w:p>
        </w:tc>
        <w:tc>
          <w:tcPr>
            <w:tcW w:w="116" w:type="dxa"/>
            <w:tcBorders>
              <w:top w:val="nil"/>
              <w:left w:val="nil"/>
              <w:bottom w:val="nil"/>
              <w:right w:val="nil"/>
            </w:tcBorders>
          </w:tcPr>
          <w:p w14:paraId="0814D93A" w14:textId="77777777" w:rsidR="00657E0C" w:rsidRPr="00C8286C" w:rsidRDefault="00657E0C" w:rsidP="00D24718">
            <w:pPr>
              <w:contextualSpacing/>
              <w:rPr>
                <w:rFonts w:ascii="Times New Roman" w:eastAsia="SimSun" w:hAnsi="Times New Roman"/>
                <w:bCs/>
                <w:lang w:eastAsia="zh-CN"/>
              </w:rPr>
            </w:pPr>
          </w:p>
        </w:tc>
        <w:tc>
          <w:tcPr>
            <w:tcW w:w="2463" w:type="dxa"/>
            <w:tcBorders>
              <w:top w:val="nil"/>
              <w:left w:val="nil"/>
              <w:bottom w:val="nil"/>
              <w:right w:val="single" w:sz="48" w:space="0" w:color="FFFFFF"/>
            </w:tcBorders>
          </w:tcPr>
          <w:p w14:paraId="22DE294A"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institutional differences affect (managerial) decision making in the entry mode choice?</w:t>
            </w:r>
          </w:p>
        </w:tc>
        <w:tc>
          <w:tcPr>
            <w:tcW w:w="2454" w:type="dxa"/>
            <w:tcBorders>
              <w:top w:val="nil"/>
              <w:left w:val="single" w:sz="48" w:space="0" w:color="FFFFFF"/>
              <w:bottom w:val="nil"/>
              <w:right w:val="single" w:sz="48" w:space="0" w:color="FFFFFF"/>
            </w:tcBorders>
          </w:tcPr>
          <w:p w14:paraId="3FE2BD98"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institutional differences affect dynamic learning processes in detail?</w:t>
            </w:r>
          </w:p>
          <w:p w14:paraId="78905585"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Do professional advisors mitigate institutional differences and facilitate dynamic learning, and if yes, how?</w:t>
            </w:r>
          </w:p>
        </w:tc>
        <w:tc>
          <w:tcPr>
            <w:tcW w:w="2454" w:type="dxa"/>
            <w:tcBorders>
              <w:top w:val="nil"/>
              <w:left w:val="single" w:sz="48" w:space="0" w:color="FFFFFF"/>
              <w:bottom w:val="nil"/>
            </w:tcBorders>
          </w:tcPr>
          <w:p w14:paraId="542DBF55"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sub-dimensions of institutional differences affect M&amp;A performance (e.g., formal institutions vs. informal institutions)?</w:t>
            </w:r>
          </w:p>
        </w:tc>
      </w:tr>
      <w:tr w:rsidR="00657E0C" w:rsidRPr="00DD46B4" w14:paraId="2758C5D2" w14:textId="77777777" w:rsidTr="00D24718">
        <w:trPr>
          <w:trHeight w:val="20"/>
        </w:trPr>
        <w:tc>
          <w:tcPr>
            <w:tcW w:w="1585" w:type="dxa"/>
            <w:tcBorders>
              <w:top w:val="nil"/>
              <w:bottom w:val="single" w:sz="4" w:space="0" w:color="auto"/>
              <w:right w:val="nil"/>
            </w:tcBorders>
          </w:tcPr>
          <w:p w14:paraId="21D634CA" w14:textId="77777777" w:rsidR="00657E0C" w:rsidRPr="00C8286C" w:rsidRDefault="00657E0C" w:rsidP="00D24718">
            <w:pPr>
              <w:contextualSpacing/>
              <w:rPr>
                <w:rFonts w:ascii="Times New Roman" w:eastAsia="SimSun" w:hAnsi="Times New Roman"/>
                <w:sz w:val="2"/>
                <w:szCs w:val="2"/>
                <w:lang w:eastAsia="zh-CN"/>
              </w:rPr>
            </w:pPr>
          </w:p>
        </w:tc>
        <w:tc>
          <w:tcPr>
            <w:tcW w:w="116" w:type="dxa"/>
            <w:tcBorders>
              <w:top w:val="nil"/>
              <w:left w:val="nil"/>
              <w:bottom w:val="nil"/>
              <w:right w:val="nil"/>
            </w:tcBorders>
          </w:tcPr>
          <w:p w14:paraId="31B3EF71" w14:textId="77777777" w:rsidR="00657E0C" w:rsidRPr="00C8286C" w:rsidRDefault="00657E0C" w:rsidP="00D24718">
            <w:pPr>
              <w:ind w:left="360"/>
              <w:contextualSpacing/>
              <w:rPr>
                <w:rFonts w:ascii="Times New Roman" w:eastAsia="SimSun" w:hAnsi="Times New Roman"/>
                <w:bCs/>
                <w:sz w:val="2"/>
                <w:szCs w:val="2"/>
                <w:lang w:eastAsia="zh-CN"/>
              </w:rPr>
            </w:pPr>
          </w:p>
        </w:tc>
        <w:tc>
          <w:tcPr>
            <w:tcW w:w="2463" w:type="dxa"/>
            <w:tcBorders>
              <w:top w:val="nil"/>
              <w:left w:val="nil"/>
              <w:bottom w:val="single" w:sz="4" w:space="0" w:color="auto"/>
              <w:right w:val="single" w:sz="48" w:space="0" w:color="FFFFFF"/>
            </w:tcBorders>
          </w:tcPr>
          <w:p w14:paraId="5EF59585" w14:textId="77777777" w:rsidR="00657E0C" w:rsidRPr="00C8286C" w:rsidRDefault="00657E0C" w:rsidP="00D24718">
            <w:pPr>
              <w:contextualSpacing/>
              <w:rPr>
                <w:rFonts w:ascii="Times New Roman" w:eastAsia="SimSun" w:hAnsi="Times New Roman"/>
                <w:bCs/>
                <w:sz w:val="2"/>
                <w:szCs w:val="2"/>
                <w:lang w:eastAsia="zh-CN"/>
              </w:rPr>
            </w:pPr>
          </w:p>
        </w:tc>
        <w:tc>
          <w:tcPr>
            <w:tcW w:w="2454" w:type="dxa"/>
            <w:tcBorders>
              <w:top w:val="nil"/>
              <w:left w:val="single" w:sz="48" w:space="0" w:color="FFFFFF"/>
              <w:bottom w:val="single" w:sz="4" w:space="0" w:color="auto"/>
              <w:right w:val="single" w:sz="48" w:space="0" w:color="FFFFFF"/>
            </w:tcBorders>
          </w:tcPr>
          <w:p w14:paraId="0E75F67F" w14:textId="77777777" w:rsidR="00657E0C" w:rsidRPr="00C8286C" w:rsidRDefault="00657E0C" w:rsidP="00D24718">
            <w:pPr>
              <w:contextualSpacing/>
              <w:rPr>
                <w:rFonts w:ascii="Times New Roman" w:eastAsia="SimSun" w:hAnsi="Times New Roman"/>
                <w:bCs/>
                <w:sz w:val="2"/>
                <w:szCs w:val="2"/>
                <w:lang w:eastAsia="zh-CN"/>
              </w:rPr>
            </w:pPr>
          </w:p>
        </w:tc>
        <w:tc>
          <w:tcPr>
            <w:tcW w:w="2454" w:type="dxa"/>
            <w:tcBorders>
              <w:top w:val="nil"/>
              <w:left w:val="single" w:sz="48" w:space="0" w:color="FFFFFF"/>
              <w:bottom w:val="single" w:sz="4" w:space="0" w:color="auto"/>
            </w:tcBorders>
          </w:tcPr>
          <w:p w14:paraId="5E7E1E2E" w14:textId="77777777" w:rsidR="00657E0C" w:rsidRPr="00C8286C" w:rsidRDefault="00657E0C" w:rsidP="00D24718">
            <w:pPr>
              <w:contextualSpacing/>
              <w:rPr>
                <w:rFonts w:ascii="Times New Roman" w:eastAsia="SimSun" w:hAnsi="Times New Roman"/>
                <w:bCs/>
                <w:sz w:val="2"/>
                <w:szCs w:val="2"/>
                <w:lang w:eastAsia="zh-CN"/>
              </w:rPr>
            </w:pPr>
          </w:p>
        </w:tc>
      </w:tr>
      <w:tr w:rsidR="00657E0C" w:rsidRPr="00DD46B4" w14:paraId="06016FA5" w14:textId="77777777" w:rsidTr="00D24718">
        <w:tc>
          <w:tcPr>
            <w:tcW w:w="1585" w:type="dxa"/>
            <w:tcBorders>
              <w:top w:val="single" w:sz="4" w:space="0" w:color="auto"/>
              <w:left w:val="nil"/>
              <w:bottom w:val="single" w:sz="4" w:space="0" w:color="auto"/>
              <w:right w:val="nil"/>
            </w:tcBorders>
          </w:tcPr>
          <w:p w14:paraId="13A9CD7A" w14:textId="77777777" w:rsidR="00657E0C" w:rsidRPr="00C8286C" w:rsidRDefault="00657E0C" w:rsidP="00D24718">
            <w:pPr>
              <w:contextualSpacing/>
              <w:rPr>
                <w:rFonts w:ascii="Times New Roman" w:eastAsia="SimSun" w:hAnsi="Times New Roman"/>
                <w:lang w:eastAsia="zh-CN"/>
              </w:rPr>
            </w:pPr>
            <w:r w:rsidRPr="00C8286C">
              <w:rPr>
                <w:rFonts w:ascii="Times New Roman" w:eastAsia="SimSun" w:hAnsi="Times New Roman"/>
                <w:lang w:eastAsia="zh-CN"/>
              </w:rPr>
              <w:t>The involvement of</w:t>
            </w:r>
            <w:r w:rsidRPr="00C8286C">
              <w:rPr>
                <w:rFonts w:ascii="Times New Roman" w:eastAsia="SimSun" w:hAnsi="Times New Roman"/>
                <w:bCs/>
                <w:lang w:eastAsia="zh-CN"/>
              </w:rPr>
              <w:t xml:space="preserve"> </w:t>
            </w:r>
            <w:r w:rsidRPr="00C8286C">
              <w:rPr>
                <w:rFonts w:ascii="Times New Roman" w:eastAsia="SimSun" w:hAnsi="Times New Roman"/>
                <w:b/>
                <w:bCs/>
                <w:lang w:eastAsia="zh-CN"/>
              </w:rPr>
              <w:t>multiple (antitrust or political) authorities</w:t>
            </w:r>
            <w:r w:rsidRPr="00C8286C">
              <w:rPr>
                <w:rFonts w:ascii="Times New Roman" w:eastAsia="SimSun" w:hAnsi="Times New Roman"/>
                <w:lang w:eastAsia="zh-CN"/>
              </w:rPr>
              <w:t xml:space="preserve"> </w:t>
            </w:r>
          </w:p>
        </w:tc>
        <w:tc>
          <w:tcPr>
            <w:tcW w:w="116" w:type="dxa"/>
            <w:tcBorders>
              <w:top w:val="nil"/>
              <w:left w:val="nil"/>
              <w:bottom w:val="single" w:sz="4" w:space="0" w:color="auto"/>
              <w:right w:val="nil"/>
            </w:tcBorders>
          </w:tcPr>
          <w:p w14:paraId="743C8008" w14:textId="77777777" w:rsidR="00657E0C" w:rsidRPr="00C8286C" w:rsidRDefault="00657E0C" w:rsidP="00D24718">
            <w:pPr>
              <w:contextualSpacing/>
              <w:rPr>
                <w:rFonts w:ascii="Times New Roman" w:eastAsia="SimSun" w:hAnsi="Times New Roman"/>
                <w:bCs/>
                <w:lang w:eastAsia="zh-CN"/>
              </w:rPr>
            </w:pPr>
          </w:p>
        </w:tc>
        <w:tc>
          <w:tcPr>
            <w:tcW w:w="2463" w:type="dxa"/>
            <w:tcBorders>
              <w:top w:val="nil"/>
              <w:left w:val="nil"/>
              <w:bottom w:val="single" w:sz="4" w:space="0" w:color="auto"/>
              <w:right w:val="single" w:sz="48" w:space="0" w:color="FFFFFF"/>
            </w:tcBorders>
          </w:tcPr>
          <w:p w14:paraId="5008B462"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 merger control procedures affect the market entry mode choice?</w:t>
            </w:r>
          </w:p>
          <w:p w14:paraId="78FCE8A4"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Which effect do merger control procedures have on other market entry modes as compared to cross-border M&amp;A?</w:t>
            </w:r>
          </w:p>
        </w:tc>
        <w:tc>
          <w:tcPr>
            <w:tcW w:w="2454" w:type="dxa"/>
            <w:tcBorders>
              <w:top w:val="nil"/>
              <w:left w:val="single" w:sz="48" w:space="0" w:color="FFFFFF"/>
              <w:bottom w:val="single" w:sz="4" w:space="0" w:color="auto"/>
              <w:right w:val="single" w:sz="48" w:space="0" w:color="FFFFFF"/>
            </w:tcBorders>
          </w:tcPr>
          <w:p w14:paraId="1975E201"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Does experience from prior M&amp;As or third-parties affect the interaction with antitrust authorities?</w:t>
            </w:r>
          </w:p>
          <w:p w14:paraId="5A6BEEBE"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merging firms restore and leverage knowledge from (prior/ third-party) merger control procedures?</w:t>
            </w:r>
          </w:p>
          <w:p w14:paraId="79B2D991"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merging firms manage and steer merger control procedures?</w:t>
            </w:r>
          </w:p>
          <w:p w14:paraId="5D519B1E"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acquirers/ merging firms decide on concession agreements (e.g., divestitures)?</w:t>
            </w:r>
          </w:p>
          <w:p w14:paraId="1EB8A917"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merger control procedures differ between (single) national authorities and multiple and/or supra-national authorities?</w:t>
            </w:r>
          </w:p>
        </w:tc>
        <w:tc>
          <w:tcPr>
            <w:tcW w:w="2454" w:type="dxa"/>
            <w:tcBorders>
              <w:top w:val="nil"/>
              <w:left w:val="single" w:sz="48" w:space="0" w:color="FFFFFF"/>
              <w:bottom w:val="single" w:sz="4" w:space="0" w:color="auto"/>
            </w:tcBorders>
          </w:tcPr>
          <w:p w14:paraId="2D3B8D01"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 shareholders anticipate antitrust decisions and rulings?</w:t>
            </w:r>
          </w:p>
          <w:p w14:paraId="609D3B4C" w14:textId="77777777" w:rsidR="00657E0C" w:rsidRPr="00C8286C" w:rsidRDefault="00657E0C" w:rsidP="00D24718">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different phases of merger control procedures affect shareholders?</w:t>
            </w:r>
          </w:p>
          <w:p w14:paraId="0AF8CDF2" w14:textId="77777777" w:rsidR="00657E0C" w:rsidRPr="00C8286C" w:rsidRDefault="00657E0C" w:rsidP="00D24718">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Do other stakeholders (e.g., competitors, suppliers, customers) also benefit from merger control decisions (e.g., divestitures)?</w:t>
            </w:r>
          </w:p>
        </w:tc>
      </w:tr>
    </w:tbl>
    <w:p w14:paraId="0024BF4C" w14:textId="77777777" w:rsidR="00657E0C" w:rsidRDefault="00657E0C" w:rsidP="00657E0C">
      <w:pPr>
        <w:rPr>
          <w:rFonts w:ascii="Times New Roman" w:hAnsi="Times New Roman" w:cs="Times New Roman"/>
          <w:b/>
          <w:sz w:val="28"/>
          <w:szCs w:val="28"/>
          <w:lang w:val="en-US"/>
        </w:rPr>
      </w:pPr>
    </w:p>
    <w:p w14:paraId="1CCB7C7C" w14:textId="77777777" w:rsidR="00657E0C" w:rsidRDefault="00657E0C" w:rsidP="00657E0C">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45736B87" w14:textId="05F2922B" w:rsidR="00657E0C" w:rsidRPr="002D5BEA" w:rsidRDefault="00657E0C" w:rsidP="00657E0C">
      <w:pPr>
        <w:rPr>
          <w:rFonts w:ascii="Times New Roman" w:hAnsi="Times New Roman" w:cs="Times New Roman"/>
          <w:b/>
          <w:sz w:val="24"/>
          <w:szCs w:val="24"/>
          <w:lang w:val="en-US"/>
        </w:rPr>
      </w:pPr>
      <w:r w:rsidRPr="002D5BEA">
        <w:rPr>
          <w:rFonts w:ascii="Times New Roman" w:hAnsi="Times New Roman" w:cs="Times New Roman"/>
          <w:b/>
          <w:sz w:val="24"/>
          <w:szCs w:val="24"/>
          <w:lang w:val="en-US"/>
        </w:rPr>
        <w:t xml:space="preserve">Online appendix 3: Research opportunities based on </w:t>
      </w:r>
      <w:r w:rsidR="00F13D1B">
        <w:rPr>
          <w:rFonts w:ascii="Times New Roman" w:hAnsi="Times New Roman" w:cs="Times New Roman"/>
          <w:b/>
          <w:sz w:val="24"/>
          <w:szCs w:val="24"/>
          <w:lang w:val="en-US"/>
        </w:rPr>
        <w:t xml:space="preserve">the </w:t>
      </w:r>
      <w:r w:rsidRPr="002D5BEA">
        <w:rPr>
          <w:rFonts w:ascii="Times New Roman" w:hAnsi="Times New Roman" w:cs="Times New Roman"/>
          <w:b/>
          <w:sz w:val="24"/>
          <w:szCs w:val="24"/>
          <w:lang w:val="en-US"/>
        </w:rPr>
        <w:t>individual research streams</w:t>
      </w:r>
      <w:r w:rsidR="00F13D1B">
        <w:rPr>
          <w:rFonts w:ascii="Times New Roman" w:hAnsi="Times New Roman" w:cs="Times New Roman"/>
          <w:b/>
          <w:sz w:val="24"/>
          <w:szCs w:val="24"/>
          <w:lang w:val="en-US"/>
        </w:rPr>
        <w:t xml:space="preserve"> presented by </w:t>
      </w:r>
      <w:sdt>
        <w:sdtPr>
          <w:rPr>
            <w:rFonts w:ascii="Times New Roman" w:hAnsi="Times New Roman" w:cs="Times New Roman"/>
            <w:b/>
            <w:sz w:val="24"/>
            <w:szCs w:val="24"/>
            <w:lang w:val="en-US"/>
          </w:rPr>
          <w:alias w:val="To edit, see citavi.com/edit"/>
          <w:tag w:val="CitaviPlaceholder#ea615143-255b-410c-8cfa-717156a8efe0"/>
          <w:id w:val="-2128528899"/>
          <w:placeholder>
            <w:docPart w:val="DefaultPlaceholder_-1854013440"/>
          </w:placeholder>
        </w:sdtPr>
        <w:sdtEndPr/>
        <w:sdtContent>
          <w:r w:rsidR="00F13D1B">
            <w:rPr>
              <w:rFonts w:ascii="Times New Roman" w:hAnsi="Times New Roman" w:cs="Times New Roman"/>
              <w:b/>
              <w:sz w:val="24"/>
              <w:szCs w:val="24"/>
              <w:lang w:val="en-US"/>
            </w:rPr>
            <w:fldChar w:fldCharType="begin"/>
          </w:r>
          <w:r w:rsidR="00E44E46">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zExNWQzOTI5LWIwZDMtNDAzNi1iYTIwLTZmN2ZkZWFmZDZmZiIsIkVudHJpZXMiOlt7IiRpZCI6IjIiLCIkdHlwZSI6IlN3aXNzQWNhZGVtaWMuQ2l0YXZpLkNpdGF0aW9ucy5Xb3JkUGxhY2Vob2xkZXJFbnRyeSwgU3dpc3NBY2FkZW1pYy5DaXRhdmkiLCJJZCI6ImI3MDUzNGE4LTY2MjgtNGZjOC1iZDhlLTdlYTYzMzQ5YTZkYSIsIlJhbmdlTGVuZ3RoIjoxNCwiUmVmZXJlbmNlSWQiOiJhNzZlMGUwNC01MWIyLTRiYjYtOWM2Ny0xNTk2YjQyNmQwO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NDM0NDU3OTcxMyZkb2k9MTAuMTAxNiUyZmouaW50bWFuLjIwMDQuMDUuMDA1JnBhcnRuZXJJRD00MCZtZDU9NDE4ZWMyMjFlZDY1Mjc0NDg4YzJmMDZjODU0MTcyODMiLCJVcmlTdHJpbmciOiJodHRwczovL3d3dy5zY29wdXMuY29tL2lud2FyZC9yZWNvcmQudXJpP2VpZD0yLXMyLjAtNDM0NDU3OTcxMyZkb2k9MTAuMTAxNiUyZmouaW50bWFuLjIwMDQuMDUuMDA1JnBhcnRuZXJJRD00MCZtZDU9NDE4ZWMyMjFlZDY1Mjc0NDg4YzJmMDZjODU0MTcyO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SXBwZW5kb3JmIiwiQ3JlYXRlZE9uIjoiMjAyNC0wNi0yNFQxMzo0OTo1NiIsIk1vZGlmaWVkQnkiOiJfTmlrbyBJcHBlbmRvcmYiLCJJZCI6Ijg2YmUzNDZmLTRiODAtNGZhOS05MWYzLTgyN2QxM2QxODk3MCIsIk1vZGlmaWVkT24iOiIyMDI0LTA2LTI0VDEzOjQ5OjU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udG1hbi4yMDA0LjA1LjAwNSIsIlVyaVN0cmluZyI6Imh0dHBzOi8vZG9pLm9yZy8xMC4xMDE2L2ouaW50bWFuLjIwMDQuMDUuMDA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}</w:instrText>
          </w:r>
          <w:r w:rsidR="00F13D1B">
            <w:rPr>
              <w:rFonts w:ascii="Times New Roman" w:hAnsi="Times New Roman" w:cs="Times New Roman"/>
              <w:b/>
              <w:sz w:val="24"/>
              <w:szCs w:val="24"/>
              <w:lang w:val="en-US"/>
            </w:rPr>
            <w:fldChar w:fldCharType="separate"/>
          </w:r>
          <w:r w:rsidR="00F13D1B">
            <w:rPr>
              <w:rFonts w:ascii="Times New Roman" w:hAnsi="Times New Roman" w:cs="Times New Roman"/>
              <w:b/>
              <w:sz w:val="24"/>
              <w:szCs w:val="24"/>
              <w:lang w:val="en-US"/>
            </w:rPr>
            <w:t>Shimizu et al.</w:t>
          </w:r>
          <w:r w:rsidR="00F13D1B">
            <w:rPr>
              <w:rFonts w:ascii="Times New Roman" w:hAnsi="Times New Roman" w:cs="Times New Roman"/>
              <w:b/>
              <w:sz w:val="24"/>
              <w:szCs w:val="24"/>
              <w:lang w:val="en-US"/>
            </w:rPr>
            <w:fldChar w:fldCharType="end"/>
          </w:r>
        </w:sdtContent>
      </w:sdt>
      <w:r w:rsidR="00F13D1B">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alias w:val="To edit, see citavi.com/edit"/>
          <w:tag w:val="CitaviPlaceholder#115d3929-b0d3-4036-ba20-6f7fdeafd6ff"/>
          <w:id w:val="-1570415182"/>
          <w:placeholder>
            <w:docPart w:val="DefaultPlaceholder_-1854013440"/>
          </w:placeholder>
        </w:sdtPr>
        <w:sdtEndPr/>
        <w:sdtContent>
          <w:r w:rsidR="00F13D1B">
            <w:rPr>
              <w:rFonts w:ascii="Times New Roman" w:hAnsi="Times New Roman" w:cs="Times New Roman"/>
              <w:b/>
              <w:sz w:val="24"/>
              <w:szCs w:val="24"/>
              <w:lang w:val="en-US"/>
            </w:rPr>
            <w:fldChar w:fldCharType="begin"/>
          </w:r>
          <w:r w:rsidR="00E44E46">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2VhNjE1MTQzLTI1NWItNDEwYy04Y2ZhLTcxNzE1NmE4ZWZlMCIsIkVudHJpZXMiOlt7IiRpZCI6IjIiLCIkdHlwZSI6IlN3aXNzQWNhZGVtaWMuQ2l0YXZpLkNpdGF0aW9ucy5Xb3JkUGxhY2Vob2xkZXJFbnRyeSwgU3dpc3NBY2FkZW1pYy5DaXRhdmkiLCJJZCI6IjNhMmExZDcxLTMyMzctNDIwMi1hOGUxLThmY2U4NDlhMzE5YyIsIlJhbmdlTGVuZ3RoIjo2LCJSZWZlcmVuY2VJZCI6ImE3NmUwZTA0LTUxYjItNGJiNi05YzY3LTE1OTZiNDI2ZDA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QzNDQ1Nzk3MTMmZG9pPTEwLjEwMTYlMmZqLmludG1hbi4yMDA0LjA1LjAwNSZwYXJ0bmVySUQ9NDAmbWQ1PTQxOGVjMjIxZWQ2NTI3NDQ4OGMyZjA2Yzg1NDE3MjgzIiwiVXJpU3RyaW5nIjoiaHR0cHM6Ly93d3cuc2NvcHVzLmNvbS9pbndhcmQvcmVjb3JkLnVyaT9laWQ9Mi1zMi4wLTQzNDQ1Nzk3MTMmZG9pPTEwLjEwMTYlMmZqLmludG1hbi4yMDA0LjA1LjAwNSZwYXJ0bmVySUQ9NDAmbWQ1PTQxOGVjMjIxZWQ2NTI3NDQ4OGMyZjA2Yzg1NDE3Mjg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OaWtvIElwcGVuZG9yZiIsIkNyZWF0ZWRPbiI6IjIwMjQtMDYtMjRUMTM6NDk6NTYiLCJNb2RpZmllZEJ5IjoiX05pa28gSXBwZW5kb3JmIiwiSWQiOiI4NmJlMzQ2Zi00YjgwLTRmYTktOTFmMy04MjdkMTNkMTg5NzAiLCJNb2RpZmllZE9uIjoiMjAyNC0wNi0yNFQxMzo0OTo1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bnRtYW4uMjAwNC4wNS4wMDUiLCJVcmlTdHJpbmciOiJodHRwczovL2RvaS5vcmcvMTAuMTAxNi9qLmludG1hbi4yMDA0LjA1LjA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DQpIn1dfSwiVGFnIjoiQ2l0YXZpUGxhY2Vob2xkZXIjMTE1ZDM5MjktYjBkMy00MDM2LWJhMjAtNmY3ZmRlYWZkNmZmIiwiVGV4dCI6IigyMDA0KSIsIldBSVZlcnNpb24iOiI2LjE5LjAuMCJ9}</w:instrText>
          </w:r>
          <w:r w:rsidR="00F13D1B">
            <w:rPr>
              <w:rFonts w:ascii="Times New Roman" w:hAnsi="Times New Roman" w:cs="Times New Roman"/>
              <w:b/>
              <w:sz w:val="24"/>
              <w:szCs w:val="24"/>
              <w:lang w:val="en-US"/>
            </w:rPr>
            <w:fldChar w:fldCharType="separate"/>
          </w:r>
          <w:r w:rsidR="00F13D1B">
            <w:rPr>
              <w:rFonts w:ascii="Times New Roman" w:hAnsi="Times New Roman" w:cs="Times New Roman"/>
              <w:b/>
              <w:sz w:val="24"/>
              <w:szCs w:val="24"/>
              <w:lang w:val="en-US"/>
            </w:rPr>
            <w:t>(2004)</w:t>
          </w:r>
          <w:r w:rsidR="00F13D1B">
            <w:rPr>
              <w:rFonts w:ascii="Times New Roman" w:hAnsi="Times New Roman" w:cs="Times New Roman"/>
              <w:b/>
              <w:sz w:val="24"/>
              <w:szCs w:val="24"/>
              <w:lang w:val="en-US"/>
            </w:rPr>
            <w:fldChar w:fldCharType="end"/>
          </w:r>
        </w:sdtContent>
      </w:sdt>
    </w:p>
    <w:p w14:paraId="77F0F108" w14:textId="77777777" w:rsidR="00657E0C" w:rsidRPr="002F5F67" w:rsidRDefault="00657E0C" w:rsidP="00657E0C">
      <w:pPr>
        <w:keepNext/>
        <w:spacing w:after="120"/>
        <w:rPr>
          <w:rFonts w:ascii="Times New Roman" w:eastAsia="SimSun" w:hAnsi="Times New Roman" w:cs="Times New Roman"/>
          <w:b/>
          <w:iCs/>
          <w:szCs w:val="18"/>
          <w:lang w:val="en-US" w:eastAsia="zh-CN"/>
        </w:rPr>
      </w:pPr>
    </w:p>
    <w:tbl>
      <w:tblPr>
        <w:tblStyle w:val="TableGrid1"/>
        <w:tblW w:w="0" w:type="auto"/>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417"/>
        <w:gridCol w:w="3827"/>
        <w:gridCol w:w="3828"/>
      </w:tblGrid>
      <w:tr w:rsidR="00657E0C" w:rsidRPr="00DD46B4" w14:paraId="1F8E400F" w14:textId="77777777" w:rsidTr="00D24718">
        <w:tc>
          <w:tcPr>
            <w:tcW w:w="1417" w:type="dxa"/>
            <w:tcBorders>
              <w:top w:val="nil"/>
            </w:tcBorders>
          </w:tcPr>
          <w:p w14:paraId="715BBBAF" w14:textId="77777777" w:rsidR="00657E0C" w:rsidRPr="002F5F67" w:rsidRDefault="00657E0C" w:rsidP="00D24718">
            <w:pPr>
              <w:contextualSpacing/>
              <w:jc w:val="both"/>
              <w:rPr>
                <w:rFonts w:ascii="Times New Roman" w:eastAsia="Arial" w:hAnsi="Times New Roman"/>
                <w:b/>
                <w:bCs/>
              </w:rPr>
            </w:pPr>
            <w:r w:rsidRPr="002F5F67">
              <w:rPr>
                <w:rFonts w:ascii="Times New Roman" w:eastAsia="Arial" w:hAnsi="Times New Roman"/>
                <w:b/>
                <w:bCs/>
              </w:rPr>
              <w:t>Topic</w:t>
            </w:r>
          </w:p>
        </w:tc>
        <w:tc>
          <w:tcPr>
            <w:tcW w:w="3827" w:type="dxa"/>
            <w:tcBorders>
              <w:top w:val="nil"/>
            </w:tcBorders>
          </w:tcPr>
          <w:p w14:paraId="673C2B79" w14:textId="77777777" w:rsidR="00657E0C" w:rsidRPr="002F5F67" w:rsidRDefault="00657E0C" w:rsidP="00D24718">
            <w:pPr>
              <w:contextualSpacing/>
              <w:jc w:val="both"/>
              <w:rPr>
                <w:rFonts w:ascii="Times New Roman" w:eastAsia="Arial" w:hAnsi="Times New Roman"/>
                <w:b/>
                <w:bCs/>
              </w:rPr>
            </w:pPr>
            <w:r w:rsidRPr="002F5F67">
              <w:rPr>
                <w:rFonts w:ascii="Times New Roman" w:eastAsia="Arial" w:hAnsi="Times New Roman"/>
                <w:b/>
                <w:bCs/>
              </w:rPr>
              <w:t>Issue(s)</w:t>
            </w:r>
          </w:p>
        </w:tc>
        <w:tc>
          <w:tcPr>
            <w:tcW w:w="3828" w:type="dxa"/>
            <w:tcBorders>
              <w:top w:val="nil"/>
            </w:tcBorders>
          </w:tcPr>
          <w:p w14:paraId="0A5CA763" w14:textId="77777777" w:rsidR="00657E0C" w:rsidRPr="002F5F67" w:rsidRDefault="00657E0C" w:rsidP="00D24718">
            <w:pPr>
              <w:contextualSpacing/>
              <w:jc w:val="both"/>
              <w:rPr>
                <w:rFonts w:ascii="Times New Roman" w:eastAsia="Arial" w:hAnsi="Times New Roman"/>
                <w:b/>
                <w:bCs/>
              </w:rPr>
            </w:pPr>
            <w:r w:rsidRPr="002F5F67">
              <w:rPr>
                <w:rFonts w:ascii="Times New Roman" w:eastAsia="Arial" w:hAnsi="Times New Roman"/>
                <w:b/>
                <w:bCs/>
              </w:rPr>
              <w:t>Possible solutions (selection)</w:t>
            </w:r>
          </w:p>
        </w:tc>
      </w:tr>
      <w:tr w:rsidR="00657E0C" w:rsidRPr="00DD46B4" w14:paraId="332443A6" w14:textId="77777777" w:rsidTr="00D24718">
        <w:tc>
          <w:tcPr>
            <w:tcW w:w="9072" w:type="dxa"/>
            <w:gridSpan w:val="3"/>
          </w:tcPr>
          <w:p w14:paraId="2F3C30AE" w14:textId="77777777" w:rsidR="00657E0C" w:rsidRPr="002F5F67" w:rsidRDefault="00657E0C" w:rsidP="00D24718">
            <w:pPr>
              <w:contextualSpacing/>
              <w:rPr>
                <w:rFonts w:ascii="Times New Roman" w:eastAsia="Arial" w:hAnsi="Times New Roman"/>
                <w:b/>
                <w:bCs/>
              </w:rPr>
            </w:pPr>
            <w:r w:rsidRPr="002F5F67">
              <w:rPr>
                <w:rFonts w:ascii="Times New Roman" w:eastAsia="Arial" w:hAnsi="Times New Roman"/>
                <w:b/>
                <w:bCs/>
              </w:rPr>
              <w:t>Panel A: Cross-border M&amp;A as a mode of entry in a foreign market</w:t>
            </w:r>
          </w:p>
        </w:tc>
      </w:tr>
      <w:tr w:rsidR="00657E0C" w:rsidRPr="00DD46B4" w14:paraId="16C9ECA1" w14:textId="77777777" w:rsidTr="00D24718">
        <w:tc>
          <w:tcPr>
            <w:tcW w:w="1417" w:type="dxa"/>
          </w:tcPr>
          <w:p w14:paraId="1144193D"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Resource specificity</w:t>
            </w:r>
          </w:p>
        </w:tc>
        <w:tc>
          <w:tcPr>
            <w:tcW w:w="3827" w:type="dxa"/>
          </w:tcPr>
          <w:p w14:paraId="7C88FC25"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role and effect of the resource specificity and nature transferred from the target to the acquirer or vice versa is understudied.</w:t>
            </w:r>
          </w:p>
        </w:tc>
        <w:tc>
          <w:tcPr>
            <w:tcW w:w="3828" w:type="dxa"/>
          </w:tcPr>
          <w:p w14:paraId="2E3E001E"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Analyze the role of resource separability and transferability in entry mode decisions</w:t>
            </w:r>
          </w:p>
          <w:p w14:paraId="1B974F4D"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Provide a more fine-grained perspective on the direction of resource transfers</w:t>
            </w:r>
          </w:p>
        </w:tc>
      </w:tr>
      <w:tr w:rsidR="00657E0C" w:rsidRPr="00DD46B4" w14:paraId="77B18F2F" w14:textId="77777777" w:rsidTr="00D24718">
        <w:tc>
          <w:tcPr>
            <w:tcW w:w="1417" w:type="dxa"/>
          </w:tcPr>
          <w:p w14:paraId="5B87A40B"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M&amp;A experience</w:t>
            </w:r>
          </w:p>
        </w:tc>
        <w:tc>
          <w:tcPr>
            <w:tcW w:w="3827" w:type="dxa"/>
          </w:tcPr>
          <w:p w14:paraId="7DAD25BD"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effects of host market and international experience on the entry mode decision remain blurred and only a few studies consider M&amp;A failure experience.</w:t>
            </w:r>
          </w:p>
        </w:tc>
        <w:tc>
          <w:tcPr>
            <w:tcW w:w="3828" w:type="dxa"/>
          </w:tcPr>
          <w:p w14:paraId="768DCB81"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Analyze the direct, moderating, and mediating effects of M&amp;A experience on the entry mode decision</w:t>
            </w:r>
          </w:p>
          <w:p w14:paraId="38C4F9D7" w14:textId="3DF608F0"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Provide a graduated view on sub-dimensions of M&amp;A experience (e.g., failure)</w:t>
            </w:r>
          </w:p>
        </w:tc>
      </w:tr>
      <w:tr w:rsidR="00657E0C" w:rsidRPr="00DD46B4" w14:paraId="4082C4A5" w14:textId="77777777" w:rsidTr="00D24718">
        <w:tc>
          <w:tcPr>
            <w:tcW w:w="1417" w:type="dxa"/>
          </w:tcPr>
          <w:p w14:paraId="71CEF55B"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Ownership characteristics</w:t>
            </w:r>
          </w:p>
        </w:tc>
        <w:tc>
          <w:tcPr>
            <w:tcW w:w="3827" w:type="dxa"/>
          </w:tcPr>
          <w:p w14:paraId="2BA7AADB"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impact of ownership characteristics and individual interest groups (e.g., powerful minority shareholders, hedge funds) on the entry mode is remains opaque.</w:t>
            </w:r>
          </w:p>
        </w:tc>
        <w:tc>
          <w:tcPr>
            <w:tcW w:w="3828" w:type="dxa"/>
          </w:tcPr>
          <w:p w14:paraId="5A5264B4"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Analyze acquiring and target firm's ownership characteristics in successful and failed foreign market entry attempts</w:t>
            </w:r>
          </w:p>
          <w:p w14:paraId="25EE42BB"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Illuminate how entry modes differ among different owners and stakeholders</w:t>
            </w:r>
          </w:p>
        </w:tc>
      </w:tr>
      <w:tr w:rsidR="00657E0C" w:rsidRPr="00DD46B4" w14:paraId="26A48F88" w14:textId="77777777" w:rsidTr="00D24718">
        <w:tc>
          <w:tcPr>
            <w:tcW w:w="1417" w:type="dxa"/>
          </w:tcPr>
          <w:p w14:paraId="73BEB712"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Human-/ managerial characteristics</w:t>
            </w:r>
          </w:p>
        </w:tc>
        <w:tc>
          <w:tcPr>
            <w:tcW w:w="3827" w:type="dxa"/>
          </w:tcPr>
          <w:p w14:paraId="7682122A"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human factor (e.g., managerial attitudes, risk aversion, trust affinity, and decision-making behaviors) in the entry mode decision is understudied.</w:t>
            </w:r>
          </w:p>
        </w:tc>
        <w:tc>
          <w:tcPr>
            <w:tcW w:w="3828" w:type="dxa"/>
          </w:tcPr>
          <w:p w14:paraId="76FFD35C"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Analyze how e.g., managerial attitudes, character traits, or risk aversion affect the entry mode decision</w:t>
            </w:r>
          </w:p>
          <w:p w14:paraId="4F5C653C"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Scrutinize the (cognitive/ behavioral) entry mode decision-making process from a decision-makers perspective</w:t>
            </w:r>
          </w:p>
        </w:tc>
      </w:tr>
      <w:tr w:rsidR="00657E0C" w:rsidRPr="00DD46B4" w14:paraId="3E90334D" w14:textId="77777777" w:rsidTr="00D24718">
        <w:tc>
          <w:tcPr>
            <w:tcW w:w="1417" w:type="dxa"/>
          </w:tcPr>
          <w:p w14:paraId="12231AFE"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Entry mode dynamics</w:t>
            </w:r>
          </w:p>
        </w:tc>
        <w:tc>
          <w:tcPr>
            <w:tcW w:w="3827" w:type="dxa"/>
          </w:tcPr>
          <w:p w14:paraId="67CF39CB"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Entry modes research is still mostly static and the interactions of different entry modes are comparatively little researched.</w:t>
            </w:r>
          </w:p>
        </w:tc>
        <w:tc>
          <w:tcPr>
            <w:tcW w:w="3828" w:type="dxa"/>
          </w:tcPr>
          <w:p w14:paraId="13E91171"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Provide more dynamic and longitudinal studies to grasp the dynamics of entry mode decisions</w:t>
            </w:r>
          </w:p>
          <w:p w14:paraId="6F4ED6B8" w14:textId="77777777" w:rsidR="00657E0C" w:rsidRPr="002F5F67" w:rsidRDefault="00657E0C" w:rsidP="00D24718">
            <w:pPr>
              <w:numPr>
                <w:ilvl w:val="0"/>
                <w:numId w:val="1"/>
              </w:numPr>
              <w:contextualSpacing/>
              <w:rPr>
                <w:rFonts w:ascii="Times New Roman" w:eastAsia="Arial" w:hAnsi="Times New Roman"/>
              </w:rPr>
            </w:pPr>
            <w:r w:rsidRPr="002F5F67">
              <w:rPr>
                <w:rFonts w:ascii="Times New Roman" w:eastAsia="Arial" w:hAnsi="Times New Roman"/>
              </w:rPr>
              <w:t xml:space="preserve">Analyze (longitudinal) panel data on entry modes to detect patterns </w:t>
            </w:r>
          </w:p>
        </w:tc>
      </w:tr>
      <w:tr w:rsidR="00657E0C" w:rsidRPr="00DD46B4" w14:paraId="31C19472" w14:textId="77777777" w:rsidTr="00D24718">
        <w:tc>
          <w:tcPr>
            <w:tcW w:w="9072" w:type="dxa"/>
            <w:gridSpan w:val="3"/>
          </w:tcPr>
          <w:p w14:paraId="3D0CDE86" w14:textId="77777777" w:rsidR="00657E0C" w:rsidRPr="002F5F67" w:rsidRDefault="00657E0C" w:rsidP="00D24718">
            <w:pPr>
              <w:contextualSpacing/>
              <w:rPr>
                <w:rFonts w:ascii="Times New Roman" w:eastAsia="Arial" w:hAnsi="Times New Roman"/>
                <w:b/>
                <w:bCs/>
              </w:rPr>
            </w:pPr>
            <w:r w:rsidRPr="002F5F67">
              <w:rPr>
                <w:rFonts w:ascii="Times New Roman" w:eastAsia="Arial" w:hAnsi="Times New Roman"/>
                <w:b/>
                <w:bCs/>
              </w:rPr>
              <w:t>Panel B: Cross-border M&amp;A as a dynamic learning process</w:t>
            </w:r>
          </w:p>
        </w:tc>
      </w:tr>
      <w:tr w:rsidR="00657E0C" w:rsidRPr="00DD46B4" w14:paraId="05A3DD3B" w14:textId="77777777" w:rsidTr="00D24718">
        <w:tc>
          <w:tcPr>
            <w:tcW w:w="1417" w:type="dxa"/>
          </w:tcPr>
          <w:p w14:paraId="6A68A41E"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Pre-merger processes</w:t>
            </w:r>
          </w:p>
        </w:tc>
        <w:tc>
          <w:tcPr>
            <w:tcW w:w="3827" w:type="dxa"/>
          </w:tcPr>
          <w:p w14:paraId="4B6CF069"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Research on pre-merger processes is still understudied and predominantly takes an outside-in perspective.</w:t>
            </w:r>
          </w:p>
        </w:tc>
        <w:tc>
          <w:tcPr>
            <w:tcW w:w="3828" w:type="dxa"/>
          </w:tcPr>
          <w:p w14:paraId="2D4FB9FF"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Scrutinize target selection, due diligence, etc. in greater detail</w:t>
            </w:r>
          </w:p>
          <w:p w14:paraId="669F3AE9"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Consider both acquirer and target perspective as well as third party providers</w:t>
            </w:r>
          </w:p>
        </w:tc>
      </w:tr>
      <w:tr w:rsidR="00657E0C" w:rsidRPr="00DD46B4" w14:paraId="0E116525" w14:textId="77777777" w:rsidTr="00D24718">
        <w:tc>
          <w:tcPr>
            <w:tcW w:w="1417" w:type="dxa"/>
          </w:tcPr>
          <w:p w14:paraId="7A6AD913"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Professional advisors</w:t>
            </w:r>
          </w:p>
        </w:tc>
        <w:tc>
          <w:tcPr>
            <w:tcW w:w="3827" w:type="dxa"/>
          </w:tcPr>
          <w:p w14:paraId="7016BA64"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 xml:space="preserve">Research on how professional advisors (e.g., investment bankers, consultants, and legal advisors) operate and how they perform is still limited. </w:t>
            </w:r>
          </w:p>
        </w:tc>
        <w:tc>
          <w:tcPr>
            <w:tcW w:w="3828" w:type="dxa"/>
          </w:tcPr>
          <w:p w14:paraId="32F97E59" w14:textId="465820FB"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Analyze how professional advisors operate, e.g.</w:t>
            </w:r>
            <w:r w:rsidR="00C035E1">
              <w:rPr>
                <w:rFonts w:ascii="Times New Roman" w:eastAsia="Arial" w:hAnsi="Times New Roman"/>
              </w:rPr>
              <w:t>,</w:t>
            </w:r>
            <w:r w:rsidRPr="002F5F67">
              <w:rPr>
                <w:rFonts w:ascii="Times New Roman" w:eastAsia="Arial" w:hAnsi="Times New Roman"/>
              </w:rPr>
              <w:t xml:space="preserve"> steer, manage, and facilitate the overall M&amp;A process</w:t>
            </w:r>
          </w:p>
          <w:p w14:paraId="2870E517"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Illuminate the circumstances under which professional advisors add value</w:t>
            </w:r>
          </w:p>
        </w:tc>
      </w:tr>
      <w:tr w:rsidR="00657E0C" w:rsidRPr="00DD46B4" w14:paraId="3D3FAF54" w14:textId="77777777" w:rsidTr="00D24718">
        <w:tc>
          <w:tcPr>
            <w:tcW w:w="1417" w:type="dxa"/>
          </w:tcPr>
          <w:p w14:paraId="4C620259"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Transaction premium</w:t>
            </w:r>
          </w:p>
        </w:tc>
        <w:tc>
          <w:tcPr>
            <w:tcW w:w="3827" w:type="dxa"/>
          </w:tcPr>
          <w:p w14:paraId="6700FC3A"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So far, research focused on overbidding and undesired wealth distributions but the underlying process of settling the premium has gained little attention.</w:t>
            </w:r>
          </w:p>
        </w:tc>
        <w:tc>
          <w:tcPr>
            <w:tcW w:w="3828" w:type="dxa"/>
          </w:tcPr>
          <w:p w14:paraId="2BD92C7E"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Analyze how the premium is determined, negotiated, and finally settled</w:t>
            </w:r>
          </w:p>
          <w:p w14:paraId="458C9512"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Identify process facilitators and key success factors in the negotiation process</w:t>
            </w:r>
          </w:p>
        </w:tc>
      </w:tr>
      <w:tr w:rsidR="00657E0C" w:rsidRPr="00DD46B4" w14:paraId="27F37F60" w14:textId="77777777" w:rsidTr="00D24718">
        <w:tc>
          <w:tcPr>
            <w:tcW w:w="1417" w:type="dxa"/>
          </w:tcPr>
          <w:p w14:paraId="4F35F08C"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M&amp;A experience</w:t>
            </w:r>
          </w:p>
        </w:tc>
        <w:tc>
          <w:tcPr>
            <w:tcW w:w="3827" w:type="dxa"/>
          </w:tcPr>
          <w:p w14:paraId="635A0C30"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process how acquirers build, accrue, and leverage M&amp;A experience in the pre-acquisition phase and the post-M&amp;A integration remains understudied.</w:t>
            </w:r>
          </w:p>
        </w:tc>
        <w:tc>
          <w:tcPr>
            <w:tcW w:w="3828" w:type="dxa"/>
          </w:tcPr>
          <w:p w14:paraId="10928BC5"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Analyze the implications and outcomes of M&amp;A experience along the entire M&amp;A process</w:t>
            </w:r>
          </w:p>
          <w:p w14:paraId="6108C17B"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 xml:space="preserve">Illuminate how acquirers gain, accrue, and leverage M&amp;A experience </w:t>
            </w:r>
          </w:p>
        </w:tc>
      </w:tr>
      <w:tr w:rsidR="00657E0C" w:rsidRPr="00DD46B4" w14:paraId="312384C8" w14:textId="77777777" w:rsidTr="00D24718">
        <w:tc>
          <w:tcPr>
            <w:tcW w:w="1417" w:type="dxa"/>
          </w:tcPr>
          <w:p w14:paraId="436A4ABC"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Codified process models</w:t>
            </w:r>
          </w:p>
        </w:tc>
        <w:tc>
          <w:tcPr>
            <w:tcW w:w="3827" w:type="dxa"/>
          </w:tcPr>
          <w:p w14:paraId="5FC1E55D"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 xml:space="preserve">Research lacks the analysis of codified M&amp;A process models such as manuals. </w:t>
            </w:r>
          </w:p>
        </w:tc>
        <w:tc>
          <w:tcPr>
            <w:tcW w:w="3828" w:type="dxa"/>
          </w:tcPr>
          <w:p w14:paraId="2C88FD2C"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Analyze which rulebooks, manuals, frameworks, and checklists are applied in M&amp;A practice</w:t>
            </w:r>
          </w:p>
          <w:p w14:paraId="1E655967"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 xml:space="preserve">Pinpoint the peculiarities of these models </w:t>
            </w:r>
          </w:p>
        </w:tc>
      </w:tr>
      <w:tr w:rsidR="00657E0C" w:rsidRPr="00DD46B4" w14:paraId="2E9913EB" w14:textId="77777777" w:rsidTr="00D24718">
        <w:tc>
          <w:tcPr>
            <w:tcW w:w="1417" w:type="dxa"/>
          </w:tcPr>
          <w:p w14:paraId="3AA9C79F" w14:textId="77777777" w:rsidR="00657E0C" w:rsidRPr="002F5F67" w:rsidRDefault="00657E0C" w:rsidP="00D24718">
            <w:pPr>
              <w:contextualSpacing/>
              <w:rPr>
                <w:rFonts w:ascii="Times New Roman" w:eastAsia="Arial" w:hAnsi="Times New Roman"/>
              </w:rPr>
            </w:pPr>
            <w:r w:rsidRPr="002F5F67">
              <w:rPr>
                <w:rFonts w:ascii="Times New Roman" w:eastAsia="Arial" w:hAnsi="Times New Roman"/>
              </w:rPr>
              <w:t>Antitrust authorities</w:t>
            </w:r>
          </w:p>
        </w:tc>
        <w:tc>
          <w:tcPr>
            <w:tcW w:w="3827" w:type="dxa"/>
          </w:tcPr>
          <w:p w14:paraId="1E5BE5DF"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So far, research on negotiations with antitrust authorities and public institutions mainly focuses on economic and legal aspects.</w:t>
            </w:r>
          </w:p>
        </w:tc>
        <w:tc>
          <w:tcPr>
            <w:tcW w:w="3828" w:type="dxa"/>
          </w:tcPr>
          <w:p w14:paraId="468E5DF3"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Analyze negotiations with authorities and institutions from a managerial and strategic perspective</w:t>
            </w:r>
          </w:p>
          <w:p w14:paraId="5EB7071F" w14:textId="77777777" w:rsidR="00657E0C" w:rsidRPr="002F5F67" w:rsidRDefault="00657E0C" w:rsidP="00D24718">
            <w:pPr>
              <w:numPr>
                <w:ilvl w:val="0"/>
                <w:numId w:val="2"/>
              </w:numPr>
              <w:contextualSpacing/>
              <w:rPr>
                <w:rFonts w:ascii="Times New Roman" w:eastAsia="Arial" w:hAnsi="Times New Roman"/>
              </w:rPr>
            </w:pPr>
            <w:r w:rsidRPr="002F5F67">
              <w:rPr>
                <w:rFonts w:ascii="Times New Roman" w:eastAsia="Arial" w:hAnsi="Times New Roman"/>
              </w:rPr>
              <w:t>Identify key success factors/ best practices for successful negotiations with antitrust authorities in the cross-border context</w:t>
            </w:r>
          </w:p>
        </w:tc>
      </w:tr>
      <w:tr w:rsidR="00657E0C" w:rsidRPr="00DD46B4" w14:paraId="61E0DCF7" w14:textId="77777777" w:rsidTr="00D24718">
        <w:tc>
          <w:tcPr>
            <w:tcW w:w="9072" w:type="dxa"/>
            <w:gridSpan w:val="3"/>
          </w:tcPr>
          <w:p w14:paraId="419DE82D" w14:textId="77777777" w:rsidR="00657E0C" w:rsidRPr="002F5F67" w:rsidRDefault="00657E0C" w:rsidP="00D24718">
            <w:pPr>
              <w:contextualSpacing/>
              <w:rPr>
                <w:rFonts w:ascii="Times New Roman" w:eastAsia="Arial" w:hAnsi="Times New Roman"/>
                <w:b/>
                <w:bCs/>
              </w:rPr>
            </w:pPr>
            <w:r w:rsidRPr="002F5F67">
              <w:rPr>
                <w:rFonts w:ascii="Times New Roman" w:eastAsia="Arial" w:hAnsi="Times New Roman"/>
                <w:b/>
                <w:bCs/>
              </w:rPr>
              <w:t>Panel C: Cross-border M&amp;A as a value-creating strategy</w:t>
            </w:r>
          </w:p>
        </w:tc>
      </w:tr>
      <w:tr w:rsidR="00657E0C" w:rsidRPr="00DD46B4" w14:paraId="06A18478" w14:textId="77777777" w:rsidTr="00D24718">
        <w:tc>
          <w:tcPr>
            <w:tcW w:w="1417" w:type="dxa"/>
          </w:tcPr>
          <w:p w14:paraId="0A89C8AD"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Variable definition</w:t>
            </w:r>
          </w:p>
        </w:tc>
        <w:tc>
          <w:tcPr>
            <w:tcW w:w="3827" w:type="dxa"/>
          </w:tcPr>
          <w:p w14:paraId="62E43943"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Both dependent and independent variables are oftentimes hardly comparable and need a more fine-grained definition and application.</w:t>
            </w:r>
          </w:p>
        </w:tc>
        <w:tc>
          <w:tcPr>
            <w:tcW w:w="3828" w:type="dxa"/>
          </w:tcPr>
          <w:p w14:paraId="6875A3D1" w14:textId="77777777" w:rsidR="00657E0C" w:rsidRPr="002F5F67" w:rsidRDefault="00657E0C" w:rsidP="00D24718">
            <w:pPr>
              <w:numPr>
                <w:ilvl w:val="0"/>
                <w:numId w:val="3"/>
              </w:numPr>
              <w:contextualSpacing/>
              <w:rPr>
                <w:rFonts w:ascii="Times New Roman" w:eastAsia="Arial" w:hAnsi="Times New Roman"/>
              </w:rPr>
            </w:pPr>
            <w:r w:rsidRPr="002F5F67">
              <w:rPr>
                <w:rFonts w:ascii="Times New Roman" w:eastAsia="Arial" w:hAnsi="Times New Roman"/>
              </w:rPr>
              <w:t>Ensure clear and reliable definitions of dependent and independent variables</w:t>
            </w:r>
          </w:p>
          <w:p w14:paraId="041A7906" w14:textId="77777777" w:rsidR="00657E0C" w:rsidRPr="002F5F67" w:rsidRDefault="00657E0C" w:rsidP="00D24718">
            <w:pPr>
              <w:numPr>
                <w:ilvl w:val="0"/>
                <w:numId w:val="3"/>
              </w:numPr>
              <w:contextualSpacing/>
              <w:rPr>
                <w:rFonts w:ascii="Times New Roman" w:eastAsia="Arial" w:hAnsi="Times New Roman"/>
              </w:rPr>
            </w:pPr>
            <w:r w:rsidRPr="002F5F67">
              <w:rPr>
                <w:rFonts w:ascii="Times New Roman" w:eastAsia="Arial" w:hAnsi="Times New Roman"/>
              </w:rPr>
              <w:t>Enable comparability among studies to facilitate generalizations</w:t>
            </w:r>
          </w:p>
        </w:tc>
      </w:tr>
      <w:tr w:rsidR="00657E0C" w:rsidRPr="00DD46B4" w14:paraId="6E2FD39D" w14:textId="77777777" w:rsidTr="00D24718">
        <w:tc>
          <w:tcPr>
            <w:tcW w:w="1417" w:type="dxa"/>
          </w:tcPr>
          <w:p w14:paraId="7D63A64A"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New explanatory variables</w:t>
            </w:r>
          </w:p>
        </w:tc>
        <w:tc>
          <w:tcPr>
            <w:tcW w:w="3827" w:type="dxa"/>
          </w:tcPr>
          <w:p w14:paraId="72EF55A6"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The scope of explanatory variables explaining (cross-border) M&amp;A performance is not yet exhausted.</w:t>
            </w:r>
          </w:p>
        </w:tc>
        <w:tc>
          <w:tcPr>
            <w:tcW w:w="3828" w:type="dxa"/>
          </w:tcPr>
          <w:p w14:paraId="62B5A961" w14:textId="77777777" w:rsidR="00657E0C" w:rsidRPr="002F5F67" w:rsidRDefault="00657E0C" w:rsidP="00D24718">
            <w:pPr>
              <w:numPr>
                <w:ilvl w:val="0"/>
                <w:numId w:val="3"/>
              </w:numPr>
              <w:contextualSpacing/>
              <w:rPr>
                <w:rFonts w:ascii="Times New Roman" w:eastAsia="Arial" w:hAnsi="Times New Roman"/>
              </w:rPr>
            </w:pPr>
            <w:r w:rsidRPr="002F5F67">
              <w:rPr>
                <w:rFonts w:ascii="Times New Roman" w:eastAsia="Arial" w:hAnsi="Times New Roman"/>
              </w:rPr>
              <w:t>Include new and understudied explanatory variables (e.g., CEO traits, incentive schemes, board composition) to explain M&amp;A performance</w:t>
            </w:r>
          </w:p>
        </w:tc>
      </w:tr>
      <w:tr w:rsidR="00657E0C" w:rsidRPr="00DD46B4" w14:paraId="15A31F1D" w14:textId="77777777" w:rsidTr="00D24718">
        <w:tc>
          <w:tcPr>
            <w:tcW w:w="1417" w:type="dxa"/>
          </w:tcPr>
          <w:p w14:paraId="3BD62506"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Alternative M&amp;A rationales</w:t>
            </w:r>
          </w:p>
        </w:tc>
        <w:tc>
          <w:tcPr>
            <w:tcW w:w="3827" w:type="dxa"/>
          </w:tcPr>
          <w:p w14:paraId="21571BBE" w14:textId="77777777" w:rsidR="00657E0C" w:rsidRPr="002F5F67" w:rsidRDefault="00657E0C" w:rsidP="00D24718">
            <w:pPr>
              <w:contextualSpacing/>
              <w:rPr>
                <w:rFonts w:ascii="Times New Roman" w:eastAsia="Arial" w:hAnsi="Times New Roman"/>
                <w:szCs w:val="18"/>
              </w:rPr>
            </w:pPr>
            <w:r w:rsidRPr="002F5F67">
              <w:rPr>
                <w:rFonts w:ascii="Times New Roman" w:eastAsia="Arial" w:hAnsi="Times New Roman"/>
                <w:szCs w:val="18"/>
              </w:rPr>
              <w:t>Most studies implicitly assume shareholder profit maximization as the cardinal rule for cross-border M&amp;A.</w:t>
            </w:r>
          </w:p>
        </w:tc>
        <w:tc>
          <w:tcPr>
            <w:tcW w:w="3828" w:type="dxa"/>
          </w:tcPr>
          <w:p w14:paraId="25D00338" w14:textId="77777777" w:rsidR="00657E0C" w:rsidRPr="002F5F67" w:rsidRDefault="00657E0C" w:rsidP="00D24718">
            <w:pPr>
              <w:numPr>
                <w:ilvl w:val="0"/>
                <w:numId w:val="3"/>
              </w:numPr>
              <w:contextualSpacing/>
              <w:rPr>
                <w:rFonts w:ascii="Times New Roman" w:eastAsia="Arial" w:hAnsi="Times New Roman"/>
              </w:rPr>
            </w:pPr>
            <w:r w:rsidRPr="002F5F67">
              <w:rPr>
                <w:rFonts w:ascii="Times New Roman" w:eastAsia="Arial" w:hAnsi="Times New Roman"/>
              </w:rPr>
              <w:t>Use lenses that consider alternative and non-financial M&amp;A motives</w:t>
            </w:r>
          </w:p>
          <w:p w14:paraId="381841DA" w14:textId="77777777" w:rsidR="00657E0C" w:rsidRPr="002F5F67" w:rsidRDefault="00657E0C" w:rsidP="00D24718">
            <w:pPr>
              <w:numPr>
                <w:ilvl w:val="0"/>
                <w:numId w:val="3"/>
              </w:numPr>
              <w:contextualSpacing/>
              <w:rPr>
                <w:rFonts w:ascii="Times New Roman" w:eastAsia="Arial" w:hAnsi="Times New Roman"/>
              </w:rPr>
            </w:pPr>
            <w:r w:rsidRPr="002F5F67">
              <w:rPr>
                <w:rFonts w:ascii="Times New Roman" w:eastAsia="Arial" w:hAnsi="Times New Roman"/>
              </w:rPr>
              <w:t>Scrutinize underlying strategic and non-strategic rationales in cross-border M&amp;A</w:t>
            </w:r>
          </w:p>
        </w:tc>
      </w:tr>
    </w:tbl>
    <w:p w14:paraId="2DED69FD" w14:textId="1D3B64DA" w:rsidR="00657E0C" w:rsidRPr="00762585" w:rsidRDefault="00657E0C" w:rsidP="00657E0C">
      <w:pPr>
        <w:rPr>
          <w:rFonts w:ascii="Times New Roman" w:hAnsi="Times New Roman" w:cs="Times New Roman"/>
          <w:lang w:val="en-US"/>
        </w:rPr>
      </w:pPr>
    </w:p>
    <w:p w14:paraId="0A98C242" w14:textId="21612742" w:rsidR="00F13D1B" w:rsidRPr="00762585" w:rsidRDefault="00F13D1B">
      <w:pPr>
        <w:rPr>
          <w:rFonts w:ascii="Times New Roman" w:hAnsi="Times New Roman" w:cs="Times New Roman"/>
          <w:lang w:val="en-US"/>
        </w:rPr>
      </w:pPr>
      <w:r w:rsidRPr="00762585">
        <w:rPr>
          <w:rFonts w:ascii="Times New Roman" w:hAnsi="Times New Roman" w:cs="Times New Roman"/>
          <w:lang w:val="en-US"/>
        </w:rPr>
        <w:br w:type="page"/>
      </w:r>
    </w:p>
    <w:p w14:paraId="06B6B8D3" w14:textId="154B8C35" w:rsidR="00F13D1B" w:rsidRPr="00762585" w:rsidRDefault="00F13D1B" w:rsidP="00F13D1B">
      <w:pPr>
        <w:rPr>
          <w:rFonts w:ascii="Times New Roman" w:hAnsi="Times New Roman" w:cs="Times New Roman"/>
          <w:b/>
          <w:bCs/>
          <w:sz w:val="24"/>
          <w:szCs w:val="24"/>
          <w:lang w:val="en-US"/>
        </w:rPr>
      </w:pPr>
      <w:r w:rsidRPr="00762585">
        <w:rPr>
          <w:rFonts w:ascii="Times New Roman" w:hAnsi="Times New Roman" w:cs="Times New Roman"/>
          <w:b/>
          <w:bCs/>
          <w:sz w:val="24"/>
          <w:szCs w:val="24"/>
          <w:lang w:val="en-US"/>
        </w:rPr>
        <w:t>References of focal articles</w:t>
      </w:r>
    </w:p>
    <w:p w14:paraId="2ADD1A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Agcayazi B, Hibbert AM, Morillon TG (2024) CEO international background and cross-border M&amp;As. J. Bank. Finance 164:107129. https://doi.org/10.1016/j.jbankfin.2024.107129</w:t>
      </w:r>
    </w:p>
    <w:p w14:paraId="7F58C0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Aguilera RV, Dencker JC (2004) The role of human resource management in cross-border mergers and acquisitions. Int. J. Hum. Resour. Manag. 15:1355–1370. https://doi.org/10.1080/0958519042000257977</w:t>
      </w:r>
    </w:p>
    <w:p w14:paraId="0AD132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Agyei-Boapeah H, Fosu S, Ntim CG (2020) Corporate multinationality and acquirer returns. Abacus 56:230–267. https://doi.org/10.1111/abac.12146</w:t>
      </w:r>
    </w:p>
    <w:p w14:paraId="167F9CA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Glaister KW (2013) The pre-acquisition evaluation of target firms and cross border acquisition performance. Int. Bus. Rev. 22:894–904. https://doi.org/10.1016/j.ibusrev.2013.01.001</w:t>
      </w:r>
    </w:p>
    <w:p w14:paraId="38AA83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Leone V, Tarba SY, Glaister KW, Arslan A (2017a) Equity ownership in cross-border mergers and acquisitions by British firms: An analysis of real options and transaction cost factors. Br. J. Manag. 28:180–196. https://doi.org/10.1111/1467-8551.12215</w:t>
      </w:r>
    </w:p>
    <w:p w14:paraId="00969D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Frynas JG, Scola A (2017b) Integration of non-market and market activities in cross-border mergers and acquisitions. Br. J. Manag. 28:629–648. https://doi.org/10.1111/1467-8551.12228</w:t>
      </w:r>
    </w:p>
    <w:p w14:paraId="2D2E15C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Liu YP, Glaister KW (2016a) Knowledge transfer and cross-border acquisition performance: The impact of cultural distance and employee retention. Int. Bus. Rev. 25:66–75. https://doi.org/10.1016/j.ibusrev.2014.06.015</w:t>
      </w:r>
    </w:p>
    <w:p w14:paraId="5C0757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Liu YP, Glaister KW, Cooper CL (2016b) Exploring the factors influencing the negotiation process in cross-border M&amp;A. Int. Bus. Rev. 25:445–457. https://doi.org/10.1016/j.ibusrev.2015.06.001</w:t>
      </w:r>
    </w:p>
    <w:p w14:paraId="20C322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Ahern KR, Daminelli D, Fracassi C (2015) Lost in translation? The effect of cultural values on mergers around the world. J. Financ. Econ. 117:165–189. https://doi.org/10.1016/j.jfineco.2012.08.006</w:t>
      </w:r>
    </w:p>
    <w:p w14:paraId="7900FD7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Ahiabor FS, James GA, Kwabi FO, Siems MM (2018) Shareholder protection, stock markets and cross-border mergers. Econ. Lett. 171:54–57. https://doi.org/10.1016/j.econlet.2018.07.013</w:t>
      </w:r>
    </w:p>
    <w:p w14:paraId="3607AD6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Ahmad MF, Aktas N, Aziz S (2023) Does bilateral trust matter during mergers and acquisitions negotiations? Br. J. Manag. 34:2212–2233. https://doi.org/10.1111/1467-8551.12692</w:t>
      </w:r>
    </w:p>
    <w:p w14:paraId="5F93D15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Ahmad MF, Aziz S, Michiels Y, Nguyen DK (2024) Tracing environmental sustainability footprints in cross-border M&amp;A activity. Eur. Financ. Manag. 30:1165–1195. https://doi.org/10.1111/eufm.12437</w:t>
      </w:r>
    </w:p>
    <w:p w14:paraId="44D29B5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Ahsan FM, Gubbi, SR, Popli M (2023) Do board interlocks affect the frequency and pace of cross-border acquisitions by emerging market firms? Long Range Plann. 56:102346. https://doi.org/10.1016/j.lrp.2023.102346</w:t>
      </w:r>
    </w:p>
    <w:p w14:paraId="5E9D72C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Ahsan FM, Fuad M, Sinha AK (2021) Seeking strategic assets within cross-border acquisition waves: A study of Indian firms. J. Int. Manag. 27:100875. https://doi.org/10.1016/j.intman.2021.100875</w:t>
      </w:r>
    </w:p>
    <w:p w14:paraId="59491BE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Ai Q, Tan H (2020) Uncovering neglected success factors in post-acquisition reverse capability transfer: Evidence from Chinese multinational corporations in Europe. J. World Bus. 55:101053. https://doi.org/10.1016/j.jwb.2019.101053</w:t>
      </w:r>
    </w:p>
    <w:p w14:paraId="64C03E1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Aleksanyan M, Hao ZW, Vagenas-Nanos E, Verwijmeren P (2021) Do state visits affect cross-border mergers and acquisitions. J. Corp. Finance 66:101800. https://doi.org/10.1016/j.jcorpfin.2020.101800</w:t>
      </w:r>
    </w:p>
    <w:p w14:paraId="3E19E1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Alimov A (2015) Labor market regulations and cross-border mergers and acquisitions. J. Int. Bus. Stud. 46:984–1009. https://doi.org/10.1057/jibs.2015.16</w:t>
      </w:r>
    </w:p>
    <w:p w14:paraId="01DF59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Alimov A, Officer MS (2017) Intellectual property rights and cross-border mergers and acquisitions. J. Corp. Finance 45:360–377. https://doi.org/10.1016/j.jcorpfin.2017.05.015</w:t>
      </w:r>
    </w:p>
    <w:p w14:paraId="7087D5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Alon I, Elia S, Li S (2020) Greenfield or M&amp;A? An institutional and learning perspective on the establishment mode choice of Chinese outward investments. J. Int. Manag. 26:1-17. https://doi.org/10.1016/j.intman.2020.100758</w:t>
      </w:r>
    </w:p>
    <w:p w14:paraId="26248A4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Altunbaş Y, Khan A, Thornton J (2023) Do M&amp;As impact firm carbon intensity? Energy Econ. 128:107197. https://doi.org/10.1016/j.eneco.2023.107197</w:t>
      </w:r>
    </w:p>
    <w:p w14:paraId="62D9B47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Alvarez I, Marín R (2010) Entry modes and national systems of innovation. J. Int. Manag. 16:340–353. https://doi.org/10.1016/j.intman.2010.09.005</w:t>
      </w:r>
    </w:p>
    <w:p w14:paraId="54ECF7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Ambos TC, Schlegelmilch BB, Ambos B, Brenner B (2009) Evolution of organisational structure and capabilities in internationalising banks: The CEE operations of UniCredit's Vienna office. Long Range Plann. 42:633–653. https://doi.org/10.1016/j.lrp.2009.09.004</w:t>
      </w:r>
    </w:p>
    <w:p w14:paraId="21E27AA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Anand J, Capron L, Mitchell W (2005) Using acquisitions to access multinational diversity: Thinking beyond the domestic versus cross-border M&amp;A comparison. Ind. Corp. Change 14:191–224. https://doi.org/10.1093/icc/dth044</w:t>
      </w:r>
    </w:p>
    <w:p w14:paraId="088902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André P, Kooli M, L'Her JF (2004) The long-run performance of mergers and acquisitions: Evidence from the Canadian stock market. Fin. Manag. 33:27–43</w:t>
      </w:r>
    </w:p>
    <w:p w14:paraId="0B23B0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Andriosopoulos D, Yang SA (2015) The impact of institutional investors on mergers and acquisitions in the United Kingdom. J. Bank. Finance 50:547–561. https://doi.org/10.1016/j.jbankfin.2014.06.004</w:t>
      </w:r>
    </w:p>
    <w:p w14:paraId="73385D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Ang SH, Benischke MH, Doh JP (2015) The interactions of institutions on foreign market entry mode. Strategic Manag. J. 36:1536–1553. https://doi.org/10.1002/smj.2295</w:t>
      </w:r>
    </w:p>
    <w:p w14:paraId="5479EA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Antila EM (2006) The role of HR managers in international mergers and acquisitions: A multiple case study. Int. J. Hum. Resour. Manag. 17:999–1020. https://doi.org/10.1080/09585190600693322</w:t>
      </w:r>
    </w:p>
    <w:p w14:paraId="64130C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Appadu N, Faelten A, Moeller S, Vitkova V (2016) Assessing market attractiveness for mergers and acquisitions: The M&amp;A attractiveness index score. Eur. J. Finance 22:732–755. https://doi.org/10.1080/1351847X.2014.888362</w:t>
      </w:r>
    </w:p>
    <w:p w14:paraId="49CF44F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Arikan I, Arikan AM, Shenkar O (2020) Nation-dyadic history and cross-border corporate deals: Role of conflict, trade, generational distance, and professional education. Strategic Manag. J. 41:422–466. https://doi.org/10.1002/smj.3046</w:t>
      </w:r>
    </w:p>
    <w:p w14:paraId="2F95ECD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Arslan A, Bazel-Shoham O, Imes M, Lee SM, Shoham A (2023) Protectionism and cross-border mergers and acquisitions undertaken by us multinational enterprises: The moderating role of intellectual property rights protection. Manag. Int. Rev. 63:697–730. https://doi.org/10.1007/s11575-023-00518-0</w:t>
      </w:r>
    </w:p>
    <w:p w14:paraId="25AB823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Arulampalam W, Devereux MP, Liberini F (2019) Taxes and the location of targets. J. Public Econ. 176:161–178. https://doi.org/10.1016/j.jpubeco.2019.05.005</w:t>
      </w:r>
    </w:p>
    <w:p w14:paraId="3FAE71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Avetisyan E, Baruch Y, Meschi P-X, Metais E, Norheim-Hansen A (2020) Tying the acquirer's human resource management quality to cross-border acquisition divestment probability: Curvilinear connection with slacklining. Br. J. Manag. 31:568–588. https://doi.org/10.1111/1467-8551.12403</w:t>
      </w:r>
    </w:p>
    <w:p w14:paraId="223EBA6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Aybar B, Ficici A (2009) Cross-border acquisitions and firm value: An analysis of emerging-market multinationals. J. Int. Bus. Stud. 40:1317–1338. https://doi.org/10.1057/jibs.2009.15</w:t>
      </w:r>
    </w:p>
    <w:p w14:paraId="5B8294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Bai Y, Girma S, Riaño A (2024) Corporate acquisitions and firm-level uncertainty: Domestic versus cross-border deals. J. Int. Money Finance 140:102988. https://doi.org/10.1016/j.jimonfin.2023.102988</w:t>
      </w:r>
    </w:p>
    <w:p w14:paraId="3B8145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Baik B, Cho K, Choi W, Kang J-K (2015) The role of institutional environments in cross-border mergers: A perspective from bidders' earnings management behavior. Manag. Int. Rev. 55:615–646. https://doi.org/10.1007/s11575-015-0249-4</w:t>
      </w:r>
    </w:p>
    <w:p w14:paraId="69491BA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Bao YM, Li J (2024) Cross-border M&amp;A, gender-equal culture, and board gender diversity. J. Corp. Finance 84. https://doi.org/10.1016/j.jcorpfin.2023.102527</w:t>
      </w:r>
    </w:p>
    <w:p w14:paraId="34B5E8B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Barbopoulos L, Paudyal K, Pescetto G (2012) Legal systems and gains from cross-border acquisitions. J. Bus. Res. 65:1301–1312. https://doi.org/10.1016/j.jbusres.2011.10.029</w:t>
      </w:r>
    </w:p>
    <w:p w14:paraId="41ADD7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Barkema HG, Schijven M (2008) How do firms learn to make acquisitions? A review of past research and an agenda for the future. J. Manag. 34:594–634. https://doi.org/10.1177/0149206308316968</w:t>
      </w:r>
    </w:p>
    <w:p w14:paraId="451DF404"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Barmeyer C, Mayrhofer U (2008) The contribution of intercultural management to the success of international mergers and acquisitions: An analysis of the EADS group. </w:t>
      </w:r>
      <w:r w:rsidRPr="00F13D1B">
        <w:rPr>
          <w:rFonts w:ascii="Times New Roman" w:hAnsi="Times New Roman" w:cs="Times New Roman"/>
        </w:rPr>
        <w:t>Int. Bus. Rev. 17:28–38. https://doi.org/10.1016/j.ibusrev.2007.12.001</w:t>
      </w:r>
    </w:p>
    <w:p w14:paraId="29270F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Basu D, Mitra S, Purohit A (2023) Does effective democracy explain MNE location </w:t>
      </w:r>
      <w:proofErr w:type="gramStart"/>
      <w:r w:rsidRPr="00762585">
        <w:rPr>
          <w:rFonts w:ascii="Times New Roman" w:hAnsi="Times New Roman" w:cs="Times New Roman"/>
          <w:lang w:val="en-US"/>
        </w:rPr>
        <w:t>choice?:</w:t>
      </w:r>
      <w:proofErr w:type="gramEnd"/>
      <w:r w:rsidRPr="00762585">
        <w:rPr>
          <w:rFonts w:ascii="Times New Roman" w:hAnsi="Times New Roman" w:cs="Times New Roman"/>
          <w:lang w:val="en-US"/>
        </w:rPr>
        <w:t xml:space="preserve"> Attractiveness to FDI and cross-border M&amp;As. J. Bus. Res. 167:114188. https://doi.org/10.1016/j.jbusres.2023.114188</w:t>
      </w:r>
    </w:p>
    <w:p w14:paraId="5A7EF7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(2015) Effects of industry‐ and region‐specific acquisition experience on value creation in cross‐border acquisitions: The moderating role of cultural similarity. J. Manag. Stud. 52:766–795. https://doi.org/10.1111/joms.12128</w:t>
      </w:r>
    </w:p>
    <w:p w14:paraId="53F889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(2017) Value creation in cross-border acquisitions: The role of outside directors' human and social capital. J. Bus. Res. 80:35–44. https://doi.org/10.1016/j.jbusres.2017.07.002</w:t>
      </w:r>
    </w:p>
    <w:p w14:paraId="00C2722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(2019) Effects of firm-specific and country-specific advantages on relative acquisition size in service sector cross-border acquisitions: An empirical examination. J. Int. Manag. 25:66–80. https://doi.org/10.1016/j.intman.2018.07.001</w:t>
      </w:r>
    </w:p>
    <w:p w14:paraId="3EA2A4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Bathia D, Bouras C, Demirer R, Gupta R (2020) Cross-border capital flows and return dynamics in emerging stock markets: Relative roles of equity and debt flows. J. Int. Money Finance 109:102258. https://doi.org/10.1016/j.jimonfin.2020.102258</w:t>
      </w:r>
    </w:p>
    <w:p w14:paraId="007D5F8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Bauer F, Matzler K, Wolf S (2016) M&amp;A and innovation: The role of integration and cultural differences a central European targets perspective. Int. Bus. Rev. 25:76–86. https://doi.org/10.1016/j.ibusrev.2014.07.010</w:t>
      </w:r>
    </w:p>
    <w:p w14:paraId="64C739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Bauer F, Schriber S, Degischer D, King DR (2018) Contextualizing speed and cross-border acquisition performance: Labor market flexibility and efficiency effects. J. World Bus. 53:290–301. https://doi.org/10.1016/j.jwb.2018.01.001</w:t>
      </w:r>
    </w:p>
    <w:p w14:paraId="49F014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Bazel-Shoham O, Lee SM, Ahammad MF, Tarba SY, Alon I (2023) IP protection and ownership in cross-border acquisitions. Int. Bus. Rev. 32:102101. https://doi.org/10.1016/j.ibusrev.2023.102101</w:t>
      </w:r>
    </w:p>
    <w:p w14:paraId="1A3F15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Bazel-Shoham O, Lee SM, Rivera MJ, Shoham A (2020) Impact of the female board members and gaps in linguistic gender marking on cross-border M&amp;A. J. World Bus. 55:100909. https://doi.org/10.1016/j.jwb.2017.10.005</w:t>
      </w:r>
    </w:p>
    <w:p w14:paraId="011BB4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Beladi H, Chakrabarti A, Marjit S (2010) Cross-border merger, vertical structure, and spatial competition. Econ. Lett. 109:112–114. https://doi.org/10.1016/j.econlet.2010.09.003</w:t>
      </w:r>
    </w:p>
    <w:p w14:paraId="1EDC7D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 Slama M, Saidane D, Fedhila H (2012) How to identify targets in the M&amp;A banking operations? Case of cross-border strategies in Europe by line of activity. Rev. Quant. Finance Account. 38:209–240. https://doi.org/10.1007/s11156-010-0224-x</w:t>
      </w:r>
    </w:p>
    <w:p w14:paraId="0BCDAFA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Ben-Amar W, André P (2006) Separation of ownership from control and acquiring firm performance: The case of family ownership in Canada. J. Bus. Finance Account. 33:517–543. https://doi.org/10.1111/j.1468-5957.2006.00613.x</w:t>
      </w:r>
    </w:p>
    <w:p w14:paraId="6CD7CD2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Benischke MH, Martin GP, Gomez‐Mejia LR, Ljubownikow G (2020) The effect of CEO incentives on deviations from institutional norms in foreign market expansion decisions: Behavioral agency and cross‐border acquisitions. Hum. Resour. Manag. 59:463–482. https://doi.org/10.1002/hrm.22006</w:t>
      </w:r>
    </w:p>
    <w:p w14:paraId="2DE5431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Benou G, Gleason KC, Madura J (2007) Impact of visibility and investment advisor credibility on the valuation effects of high-tech cross-border acquisitions. Fin. Manag. 36:69–89. https://doi.org/10.1111/j.1755-053X.2007.tb00165.x</w:t>
      </w:r>
    </w:p>
    <w:p w14:paraId="4F4ABDC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Betschinger MA, Settles A (2016) The relevance of political affinity for the initial acquisition premium in cross-border acquisitions. Strategic Manag. J. 37:2071–2091. https://doi.org/10.1002/smj.2438</w:t>
      </w:r>
    </w:p>
    <w:p w14:paraId="015ED2D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Zitouna H (2006) Trade liberalization and industrial restructuring: The role of cross-border mergers and acquisitions. J. Econ. Manag. Strategy 15:479–515. https://doi.org/10.1111/j.1530-9134.2006.00108.x</w:t>
      </w:r>
    </w:p>
    <w:p w14:paraId="2DCB0B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Zuniga P (2006) R&amp;D and M&amp;A: Are cross-border M&amp;A different? An investigation on oecd countries. Int. J. Ind. Organ. 24:401–423. https://doi.org/10.1016/j.ijindorg.2005.07.006</w:t>
      </w:r>
    </w:p>
    <w:p w14:paraId="61952EB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Capron L (2015) Productivity enhancement at home via cross-border acquisitions: The roles of learning and contemporaneous domestic investments. Strategic Manag. J. 36:640–658. https://doi.org/10.1002/smj.2256</w:t>
      </w:r>
    </w:p>
    <w:p w14:paraId="332DB02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Beugelsdijk S, Kostova T, Kunst VE, Spadafora E, van Essen M (2018) Cultural distance and firm internationalization: A meta-analytical review and theoretical implications. J. Manag. 44:89–130. https://doi.org/10.1177/0149206317729027</w:t>
      </w:r>
    </w:p>
    <w:p w14:paraId="7ACBBAF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Beule F de, Sels A (2016) Do innovative emerging market cross-border acquirers create more shareholder value? Evidence from India. Int. Bus. Rev. 25:604–617. https://doi.org/10.1016/j.ibusrev.2015.09.008</w:t>
      </w:r>
    </w:p>
    <w:p w14:paraId="74D02D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Birollo G, Teerikangas S (2022) Acquired middle managers’ strategy roles and value creation in cross-border acquisitions. Eur. Manag. J. 40:895–905. https://doi.org/10.1016/j.emj.2022.10.004</w:t>
      </w:r>
    </w:p>
    <w:p w14:paraId="7167F8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Björkman I, Stahl GK, Vaara E (2007) Cultural differences and capability transfer in cross-border acquisitions: The mediating roles of capability complementarity, absorptive capacity, and social integration. J. Int. Bus. Stud. 38:658–672. https://doi.org/10.1057/palgrave.jibs.8400287</w:t>
      </w:r>
    </w:p>
    <w:p w14:paraId="3CA629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Black EL, Doukas AJ, Xing XF, Guo J (2015) Gains to Chinese bidder firms: Domestic vs. foreign acquisitions. Eur. Financ. Manag. 21:905–935. https://doi.org/10.1111/j.1468-036X.2013.12031.x</w:t>
      </w:r>
    </w:p>
    <w:p w14:paraId="4D83D00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Black EL, Carnes TA, Jandik T, Henderson BC (2007) The relevance of target accounting quality to the long-term success of cross-border mergers. J. Bus. Finance Account. 34:139–168. https://doi.org/10.1111/j.1468-5957.2006.01269.x</w:t>
      </w:r>
    </w:p>
    <w:p w14:paraId="54D10A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Blonigen BA, Cristea A, Lee D (2020) Evidence for the effect of monitoring costs on foreign direct investment. J. Econ. Behav. Organ. 177:601–617. https://doi.org/10.1016/j.jebo.2020.06.008</w:t>
      </w:r>
    </w:p>
    <w:p w14:paraId="7292FF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Boateng A, Du M, Wang Y, Wang CQ, Ahammad MF (2017) Explaining the surge in M&amp;A as an entry mode: Home country and cultural influences. Int. Mark. Rev. 34:87–108. https://doi.org/10.1108/IMR-10-2014-0330</w:t>
      </w:r>
    </w:p>
    <w:p w14:paraId="0C5A6F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Boeh KK (2011) Contracting costs and information asymmetry reduction in cross-border M&amp;A. J. Manag. Stud. 48:568–590. https://doi.org/10.1111/j.1467-6486.2010.00938.x</w:t>
      </w:r>
    </w:p>
    <w:p w14:paraId="04721C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Boehm J, Sonntag J (2023) Vertical integration and foreclosure: Evidence from production network data. Manag. Sci. 69:141–161. https://doi.org/10.1287/mnsc.2022.4363</w:t>
      </w:r>
    </w:p>
    <w:p w14:paraId="28C749F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Bose S, Minnick K, Shams S (2021) Does carbon risk matter for corporate acquisition decisions? J. Corp. Finance 70:102058. https://doi.org/10.1016/j.jcorpfin.2021.102058</w:t>
      </w:r>
    </w:p>
    <w:p w14:paraId="006CBD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Boubakri N, Cosset JC, Mishra D, Somé HY (2023) The value of risk-taking in mergers: Role of ownership and country legal institutions. J. Empir. Finance 70:427–444. https://doi.org/10.1016/j.jempfin.2022.12.015</w:t>
      </w:r>
    </w:p>
    <w:p w14:paraId="66B1A97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Boubakri N, Dionne G, Triki T (2008) Consolidation and value creation in the insurance industry: The role of governance. J. Bank. Finance 32:56–68. https://doi.org/10.1016/j.jbankfin.2007.09.004</w:t>
      </w:r>
    </w:p>
    <w:p w14:paraId="48BFE84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Brakman S, Garretsen H, van Marrewijk C, van Witteloostuijn A (2023) The location of cross-border and national mergers and acquisitions within the United States. J. Econ. Manag. Strategy 32:177–206. https://doi.org/10.1111/jems.12501</w:t>
      </w:r>
    </w:p>
    <w:p w14:paraId="053E656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Brakman S, Garretsen H, van Marrewijk C, van Witteloostuijn A (2013) Cross-border merger &amp; acquisition activity and revealed comparative advantage in manufacturing industries. J. Econ. Manag. Strategy 22:28–57. https://doi.org/10.1111/jems.12007</w:t>
      </w:r>
    </w:p>
    <w:p w14:paraId="45C5CF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Brannen MY, Peterson MF (2009) Merging without alienating: Interventions promoting cross-cultural organizational integration and their limitations. J. Int. Bus. Stud. 40:468–489. https://doi.org/10.1057/jibs.2008.80</w:t>
      </w:r>
    </w:p>
    <w:p w14:paraId="50B937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Brar G, Giamouridis D, Liodakis M (2009) Predicting European takeover targets. Eur. Financ. Manag. 15:430–450. https://doi.org/10.1111/j.1468-036X.2007.00423.x</w:t>
      </w:r>
    </w:p>
    <w:p w14:paraId="6C91636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Bremus FM (2015) Cross-border banking, bank market structures and market power: Theory and cross-country evidence. J. Bank. Finance 50:242–259. https://doi.org/10.1016/j.jbankfin.2014.10.008</w:t>
      </w:r>
    </w:p>
    <w:p w14:paraId="209FA0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Breuer W, Ghufran B, Salzmann AJ (2018) National culture, managerial preferences, and takeover performance. Int. Bus. Rev. 27:1270–1289. https://doi.org/10.1016/j.ibusrev.2018.05.008</w:t>
      </w:r>
    </w:p>
    <w:p w14:paraId="26D050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Bris A, Cabolis C (2008) The value of investor protection: Firm evidence from cross-border mergers. Rev. Financ. Stud. 21:605–648. https://doi.org/10.1093/rfs/hhm089</w:t>
      </w:r>
    </w:p>
    <w:p w14:paraId="20A10E9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Brisley N, Bris A, Cabolis C (2011) A theory of optimal expropriation, mergers and industry competition. J. Bank. Finance 35:955–965. https://doi.org/10.1016/j.jbankfin.2010.09.011</w:t>
      </w:r>
    </w:p>
    <w:p w14:paraId="5DBA7A5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Brock DM (2005) Multinational acquisition integration: The role of national culture in creating synergies. Int. Bus. Rev. 14:269–288. https://doi.org/10.1016/j.ibusrev.2005.02.001</w:t>
      </w:r>
    </w:p>
    <w:p w14:paraId="55F37B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Brockman P, Rui OM, Zou H (2013) Institutions and the performance of politically connected M&amp;As. J. Int. Bus. Stud. 44:833–852. https://doi.org/10.1057/jibs.2013.37</w:t>
      </w:r>
    </w:p>
    <w:p w14:paraId="78C649B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Brooks R, Edison H, Kumar MS, Siøk T (2004) Exchange rates and capital flows. Eur. Financ. Manag. 10:511–533. https://doi.org/10.1111/j.1354-7798.2004.00261.x</w:t>
      </w:r>
    </w:p>
    <w:p w14:paraId="6A06F7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Brouthers KD, Dikova D (2010) Acquisitions and real options: The greenfield alternative. J. Manag. Stud. 47:1048–1071. https://doi.org/10.1111/j.1467-6486.2009.00875.x</w:t>
      </w:r>
    </w:p>
    <w:p w14:paraId="284A2E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Brouthers KD, Hennart J-F (2007) Boundaries of the firm: Insights from international entry mode research. J. Manag. 33:395–425. https://doi.org/10.1177/0149206307300817</w:t>
      </w:r>
    </w:p>
    <w:p w14:paraId="40EE47D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Brueller NN, Ellis S, Segev E, Carmeli A (2015) Knowing when to acquire: The case of multinational technology firms. Int. Bus. Rev. 24:1–10. https://doi.org/10.1016/j.ibusrev.2014.06.006</w:t>
      </w:r>
    </w:p>
    <w:p w14:paraId="1045FF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 J, Tang Y, Luo Y, Li C (2022) Learning from inbound foreign acquisitions for outbound expansion by emerging market MNEs. J. Int. Bus. Stud.:1–35. https://doi.org/10.1057/s41267-022-00583-x</w:t>
      </w:r>
    </w:p>
    <w:p w14:paraId="6854C0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Buch CM, DeLong G (2004) Cross-border bank mergers: What lures the rare animal? J. Bank. Finance 28:2077–2102. https://doi.org/10.1016/j.jbankfin.2003.08.002</w:t>
      </w:r>
    </w:p>
    <w:p w14:paraId="166F80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Enderwick P, Forsans N (2016) Cross-border acquisitions by Indian multinationals: Asset exploitation or asset augmentation? Int. Bus. Rev. 25:986–996. https://doi.org/10.1016/j.ibusrev.2015.10.006</w:t>
      </w:r>
    </w:p>
    <w:p w14:paraId="4EAAA3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Enderwick P, Forsans N (2016) The role of experiential and non-experiential knowledge in cross-border acquisitions: The case of Indian multinational enterprises. J. World Bus. 51:675–685. https://doi.org/10.1016/j.jwb.2016.07.006</w:t>
      </w:r>
    </w:p>
    <w:p w14:paraId="03582B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Elia S, Kafouros M (2010) Acquisitions from emerging countries: What factors influence the performance of target firms in advanced countries? Eur. J. Int. Manag. 4:30. https://doi.org/10.1504/EJIM.2010.031272</w:t>
      </w:r>
    </w:p>
    <w:p w14:paraId="688218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Elia S, Kafouros M (2014) Acquisitions by emerging market multinationals: Implications for firm performance. J. World Bus. 49:611–632. https://doi.org/10.1016/j.jwb.2013.12.013</w:t>
      </w:r>
    </w:p>
    <w:p w14:paraId="61E5F2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(2017) The role of local context in the cross‐border acquisitions by emerging economy multinational enterprises. Br. J. Manag. 28:372–389. https://doi.org/10.1111/1467-8551.12231</w:t>
      </w:r>
    </w:p>
    <w:p w14:paraId="4D90350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Burns N, Liebenberg I (2011) US takeovers in foreign markets: Do they impact emerging and developed markets differently? J. Corp. Finance 17:1028–1046. https://doi.org/10.1016/j.jcorpfin.2011.05.001</w:t>
      </w:r>
    </w:p>
    <w:p w14:paraId="304F13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Caiazza S, Clare A, af Pozzolo (2012) What do bank acquirers want? Evidence from worldwide bank M&amp;A targets. J. Bank. Finance 36:2641–2659. https://doi.org/10.1016/j.jbankfin.2012.06.004</w:t>
      </w:r>
    </w:p>
    <w:p w14:paraId="64AA0E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Caiazza S, af Pozzolo (2016) The determinants of failed takeovers in the banking sector: Deal or country characteristics? J. Bank. Finance </w:t>
      </w:r>
      <w:proofErr w:type="gramStart"/>
      <w:r w:rsidRPr="00762585">
        <w:rPr>
          <w:rFonts w:ascii="Times New Roman" w:hAnsi="Times New Roman" w:cs="Times New Roman"/>
          <w:lang w:val="en-US"/>
        </w:rPr>
        <w:t>72:S</w:t>
      </w:r>
      <w:proofErr w:type="gramEnd"/>
      <w:r w:rsidRPr="00762585">
        <w:rPr>
          <w:rFonts w:ascii="Times New Roman" w:hAnsi="Times New Roman" w:cs="Times New Roman"/>
          <w:lang w:val="en-US"/>
        </w:rPr>
        <w:t>92-S103. https://doi.org/10.1016/j.jbankfin.2016.04.011</w:t>
      </w:r>
    </w:p>
    <w:p w14:paraId="6B01CBE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Campa JM, Hernando I (2006) M&amp;As performance in the European financial industry. J. Bank. Finance 30:3367–3392. https://doi.org/10.1016/j.jbankfin.2006.06.006</w:t>
      </w:r>
    </w:p>
    <w:p w14:paraId="3EF83A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Campagnolo D, Vincenti G (2022) Cross-border M&amp;As: The impact of cultural friction and CEO change on the performance of acquired companies. J. Int. Manag. 28:100942. https://doi.org/10.1016/j.intman.2022.100942</w:t>
      </w:r>
    </w:p>
    <w:p w14:paraId="53EC1BB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Cao J, Ellis KM, Li MX (2019) Inside the board room: The influence of nationality and cultural diversity on cross-border merger and acquisition outcomes. Rev. Quant. Finance Account. 53:1031–1068. https://doi.org/10.1007/s11156-018-0774-x</w:t>
      </w:r>
    </w:p>
    <w:p w14:paraId="23EF9D5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Cartwright S, Schoenberg R (2006) Thirty years of mergers and acquisitions research: Recent advances and future opportunities. Br. J. Manag. 17:1-5. https://doi.org/10.1111/j.1467-8551.2006.00475.x</w:t>
      </w:r>
    </w:p>
    <w:p w14:paraId="3A74AB8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Cerrato D, Alessandri T, Depperu D (2016) Economic crisis, acquisitions and firm performance. Long Range Plann. 49:171–185. https://doi.org/10.1016/j.lrp.2015.12.018</w:t>
      </w:r>
    </w:p>
    <w:p w14:paraId="28E499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Chakrabarti R, Gupta-Mukherjee S, Jayaraman N (2009) Mars-Venus marriages: Culture and cross-border M&amp;A. J. Int. Bus. Stud. 40:216–236. https://doi.org/10.1057/jibs.2008.58</w:t>
      </w:r>
    </w:p>
    <w:p w14:paraId="64DA21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Chandrika R, Mahesh R, Tripathy N (2022) Is India a pollution haven? Evidence from cross-border mergers and acquisitions. J. Clean. Prod. 376:134355. https://doi.org/10.1016/j.jclepro.2022.134355</w:t>
      </w:r>
    </w:p>
    <w:p w14:paraId="1F46CE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C, Choi PMS, Huang SH (2015) Do poorly governed acquirers transfer wealth to targets in cross-border acquisitions? Fin. Manag. 44:475–498. https://doi.org/10.1111/fima.12082</w:t>
      </w:r>
    </w:p>
    <w:p w14:paraId="7A7B7CB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C-L, Chen S-P, McAleer M (2013a) Globalization and knowledge spillover: International direct investment, exports and patents. Econ. Innov. New Technol. 22:329–352. https://doi.org/10.1080/10438599.2012.707412</w:t>
      </w:r>
    </w:p>
    <w:p w14:paraId="6E6C05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SJ, Chung JH, Moon JJ (2013b) When do foreign subsidiaries outperform local firms? J. Int. Bus. Stud. 44:853–860. https://doi.org/10.1057/jibs.2013.35</w:t>
      </w:r>
    </w:p>
    <w:p w14:paraId="412DC93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Chari M, Chang K (2009) Determinants of the share of equity sought in cross-border acquisitions. J. Int. Bus. Stud. 40:1277–1297</w:t>
      </w:r>
    </w:p>
    <w:p w14:paraId="148E3A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LY, Lai JH (2015) The relationship between interlocking directorate and stock market reaction to international merger and acquisition announcements: The moderating effect of cultural distance. Eur. J. Int. Manag. 9:342–367. https://doi.org/10.1504/EJIM.2015.069132</w:t>
      </w:r>
    </w:p>
    <w:p w14:paraId="2F7088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S-FS (2008) The motives for international acquisitions: Capability procurements, strategic considerations, and the role of ownership structures. J. Int. Bus. Stud. 39:454–471. https://doi.org/10.1057/palgrave.jibs.8400357</w:t>
      </w:r>
    </w:p>
    <w:p w14:paraId="0B2FA6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VZ, Hobdari B, Zhang YL (2019) Blockholder heterogeneity and conflicts in cross-border acquisitions. J. Corp. Finance 57:86–101. https://doi.org/10.1016/j.jcorpfin.2018.02.002</w:t>
      </w:r>
    </w:p>
    <w:p w14:paraId="3E1461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X, Liang X, Wu H (2023) Cross-border mergers and acquisitions and CSR performance: Evidence from China. J. Bus. Ethics 183:255–288. https://doi.org/10.1007/s10551-021-05025-6</w:t>
      </w:r>
    </w:p>
    <w:p w14:paraId="2EEBAC3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YHL, Hua XP, Boateng A (2017) Effects of foreign acquisitions on financial constraints, productivity and investment in R&amp;D of target firms in China. Int. Bus. Rev. 26:640–651. https://doi.org/10.1016/j.ibusrev.2016.12.005</w:t>
      </w:r>
    </w:p>
    <w:p w14:paraId="223B2E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Z, Han B, Zeng YQ (2017) Financial hedging and firm performance: Evidence from cross-border mergers and acquisitions. Eur. Financ. Manag. 23:415–458. https://doi.org/10.1111/eufm.12103</w:t>
      </w:r>
    </w:p>
    <w:p w14:paraId="536FC62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Cheng C, Yang M (2017) Enhancing performance of cross-border mergers and acquisitions in developed markets: The role of business ties and technological innovation capability. J. Bus. Res. 81:107–117. https://doi.org/10.1016/j.jbusres.2017.08.019</w:t>
      </w:r>
    </w:p>
    <w:p w14:paraId="0211FB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Cheng C, Yang X, Jiang F, Yang Z (2023) How to synergize different institutional logics of firms in cross-border acquisitions: A matching theory perspective. Manag. Int. Rev. 63:403–432. https://doi.org/10.1007/s11575-023-00502-8</w:t>
      </w:r>
    </w:p>
    <w:p w14:paraId="06DE81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Chittoor R, Aulakh PS, Ray S (2015) What drives overseas acquisitions by Indian firms? A behavioral risk-taking perspective. Manag. Int. Rev. 55:255–275. https://doi.org/10.1007/s11575-015-0238-7</w:t>
      </w:r>
    </w:p>
    <w:p w14:paraId="21080D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 H, Ahn HS (2017) Stock payment and the effects of institutional and cultural differences: A study of shareholder value creation in cross-border M&amp;As. Int. Bus. Rev. 26:461–475. https://doi.org/10.1016/j.ibusrev.2016.10.004</w:t>
      </w:r>
    </w:p>
    <w:p w14:paraId="4CF649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G (2022) Determinants of target location selection for acquirers in the manufacturing sector: Pollution intensity, policy enforcement, and civic environmentalism. J. Bus. Res. 146:308–324. https://doi.org/10.1016/j.jbusres.2022.03.074</w:t>
      </w:r>
    </w:p>
    <w:p w14:paraId="1F6AB2B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JJ, Genc OF, Ju M (2020) Is an M&amp;A self-dealing? Evidence on international and domestic acquisitions and CEO compensation. J. Bus. Finance Account. 47:1290–1315. https://doi.org/10.1111/jbfa.12480</w:t>
      </w:r>
    </w:p>
    <w:p w14:paraId="5B572B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JJ, Lee SM, Shoham A (2016) The effects of institutional distance on FDI inflow: General environmental institutions (GEI) versus minority investor protection institutions (MIP). Int. Bus. Rev. 25:114–123. https://doi.org/10.1016/j.ibusrev.2014.11.010</w:t>
      </w:r>
    </w:p>
    <w:p w14:paraId="3A1EC5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S, Francis BB, Hasan I (2010) Cross-border bank M&amp;As and risk: Evidence from the bond market. J. Money Credit Bank. 42:615–645. https://doi.org/10.1111/j.1538-4616.2010.00301.x</w:t>
      </w:r>
    </w:p>
    <w:p w14:paraId="499C7B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Chow DY, Chan XW, Micelotta E (2021) Cross-border M&amp;As: Theorizing the negative effect of political ideology mismatch with host country labor institutional context on employee outcomes. J. Bus. Res. 128:164–173. https://doi.org/10.1016/j.jbusres.2021.02.011</w:t>
      </w:r>
    </w:p>
    <w:p w14:paraId="1337EC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Christofi M, Vrontis D, Thrassou A, Shams SM (2019) Triggering technological innovation through cross-border mergers and acquisitions: A micro-foundational perspective. Technol. Forecast. Soc. Change 146:148–166. https://doi.org/10.1016/j.techfore.2019.05.026</w:t>
      </w:r>
    </w:p>
    <w:p w14:paraId="6373E84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Chung GH, Du J, Choi JN (2014) How do employees adapt to organizational change driven by cross-border M&amp;As? A case in China. J. World Bus. 49:78–86. https://doi.org/10.1016/j.jwb.2013.01.001</w:t>
      </w:r>
    </w:p>
    <w:p w14:paraId="70A3D27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Ciani A, Gregori WD (2024) Participation in global value chains and M&amp;A flows. Ind. Corp. Change. https://doi.org/10.1093/icc/dtae017</w:t>
      </w:r>
    </w:p>
    <w:p w14:paraId="57CE59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Gugler K, Sørgard L, Szücs FW (2014) Cross-border mergers and domestic-firm wages: Integrating "spillover effects" and "bargaining effects". J. Int. Bus. Stud. 45:450–470. https://doi.org/10.1057/jibs.2014.2</w:t>
      </w:r>
    </w:p>
    <w:p w14:paraId="224C72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Zhang N (2021) Foreign investor reactions to risk and uncertainty in antitrust: US merger policy investigations and the deterrence of foreign acquirer presence. J. Int. Bus. Stud. 52:454–478. https://doi.org/10.1057/s41267-020-00338-6</w:t>
      </w:r>
    </w:p>
    <w:p w14:paraId="69E17F0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Kim JU, Skousen BR, Szücs F (2017) The foundations of international business: Cross-border investment activity and the balance between market-power and efficiency effects. J. Manag. Stud. 54:340–365. https://doi.org/10.1111/joms.12205</w:t>
      </w:r>
    </w:p>
    <w:p w14:paraId="0AD331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 B, Sen K (2019) The role of corporate governance for acquisitions by the emerging market multinationals: Evidence from India. J. Corp. Finance 59:239–254. https://doi.org/10.1016/j.jcorpfin.2017.09.014</w:t>
      </w:r>
    </w:p>
    <w:p w14:paraId="632640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Collins JD, Holcomb TR, Certo ST, Hitt MA, Lester RH (2009) Learning by doing: Cross-border mergers and acquisitions. J. Bus. Res. 62:1329–1334. https://doi.org/10.1016/j.jbusres.2008.11.005</w:t>
      </w:r>
    </w:p>
    <w:p w14:paraId="4D8CCD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Colman HL, Rouzies A, Lunnan R (2023) Social integration in subsidiary-building acquisitions. J. Int. Bus. Stud. 54:1712–1722. https://doi.org/10.1057/s41267-023-00633-y</w:t>
      </w:r>
    </w:p>
    <w:p w14:paraId="2DC7879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Colombo G, Conca V, Buongiorno M, Gnan L (2007) Integrating cross-border acquisitions: A process-oriented approach. Long Range Plann. 40:202–222. https://doi.org/10.1016/j.lrp.2007.04.004</w:t>
      </w:r>
    </w:p>
    <w:p w14:paraId="5AAA02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Conklin DW (2005) Cross-border mergers and acquisitions: A response to environmental transformation. J. World Bus. 40:29–40. https://doi.org/10.1016/j.jwb.2004.10.003</w:t>
      </w:r>
    </w:p>
    <w:p w14:paraId="4724386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Conn RL, Cosh A, Guest PM, Hughes AO (2005) The impact on UK acquirers of domestic, cross-border, public and private acquisitions. J. Bus. Finance Account. 32:815–870. https://doi.org/10.1111/j.0306-686X.2005.00615.x</w:t>
      </w:r>
    </w:p>
    <w:p w14:paraId="539465E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Contractor FJ, Lahiri S, Elango B, Kundu SK (2014) Institutional, cultural and industry related determinants of ownership choices in emerging market FDI acquisitions. Int. Bus. Rev. 23:931–941. https://doi.org/10.1016/j.ibusrev.2014.02.005</w:t>
      </w:r>
    </w:p>
    <w:p w14:paraId="7F1699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Cooke FL, Wu G, Zhou J, Zhong C, Wang J (2018) Acquiring global footprints: Internationalization strategy of Chinese multinational enterprises and human resource implications. J. Bus. Res. 93:184–201. https://doi.org/10.1016/j.jbusres.2018.04.012</w:t>
      </w:r>
    </w:p>
    <w:p w14:paraId="20FB4A4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Cumming D, Jindal V, Kumar S, Pandey N (2023) Mergers and acquisitions research in finance and accounting: Past, present, and future. Eur. Financ. Manag. 29:1464–1504. https://doi.org/10.1111/eufm.12417</w:t>
      </w:r>
    </w:p>
    <w:p w14:paraId="635DD1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Damioli G, Marin G (2024) The effects of foreign entry on local innovation by entry mode. Res. Policy 53:104957. https://doi.org/10.1016/j.respol.2024.104957</w:t>
      </w:r>
    </w:p>
    <w:p w14:paraId="2136173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Danakol SH, Estrin S, Reynolds P, Weitzel U (2017) Foreign direct investment via M&amp;A and domestic entrepreneurship: Blessing or curse? Small Bus. Econ. 48:599–612. https://doi.org/10.1007/s11187-016-9792-z</w:t>
      </w:r>
    </w:p>
    <w:p w14:paraId="332523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Danbolt J, Maciver G (2012) Cross-border versus domestic acquisitions and the impact on shareholder wealth. J. Bus. Finance Account. 39:1028–1067. https://doi.org/10.1111/j.1468-5957.2012.02294.x</w:t>
      </w:r>
    </w:p>
    <w:p w14:paraId="32C03D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Danbolt J (2004) Target company cross-border effects in acquisitions into the UK. Eur. Financ. Manag. 10:83–108. https://doi.org/10.1111/j.1468-036X.2004.00241.x</w:t>
      </w:r>
    </w:p>
    <w:p w14:paraId="1406A2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Dandapani K, am Hibbert, Lawrence ER (2020) The shareholder's response to a firm's first international acquisition. J. Bank. Finance 118. https://doi.org/10.1016/j.jbankfin.2020.105852</w:t>
      </w:r>
    </w:p>
    <w:p w14:paraId="5D8531F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Datta DK, Da Basuil, Agarwal A (2020) Effects of board characteristics on post-acquisition performance: A study of cross-border acquisitions by firms in the manufacturing sector. Int. Bus. Rev. 29:101674. https://doi.org/10.1016/j.ibusrev.2020.101674</w:t>
      </w:r>
    </w:p>
    <w:p w14:paraId="59DA69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Datta D, Musteen M, Basuil D (2015) Influence of managerial ownership and compensation structure on establishment mode choice: The moderating role of host country political risk. Manag. Int. Rev. 55:593–613. https://doi.org/10.1007/s11575-015-0250-y</w:t>
      </w:r>
    </w:p>
    <w:p w14:paraId="2B0F64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Degbey WY, Pelto E (2021) Customer knowledge sharing in cross-border mergers and acquisitions: The role of customer motivation and promise management. J. Int. Manag. 27:100858. https://doi.org/10.1016/j.intman.2021.100858</w:t>
      </w:r>
    </w:p>
    <w:p w14:paraId="08A13A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Deng P (2009) Why do Chinese firms tend to acquire strategic assets in international expansion? J. World Bus. 44:74–84. https://doi.org/10.1016/j.jwb.2008.03.014</w:t>
      </w:r>
    </w:p>
    <w:p w14:paraId="2C4AB0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Deng P, Yang M (2015) Cross-border mergers and acquisitions by emerging market firms: A comparative investigation. Int. Bus. Rev. 24:157–172. https://doi.org/10.1016/j.ibusrev.2014.07.005</w:t>
      </w:r>
    </w:p>
    <w:p w14:paraId="4860119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Dhir S, Ongsakul V, zu Ahmed, Rajan R (2020) Integration of knowledge and enhancing competitiveness: A case of acquisition of Zain by Bharti Airtel. J. Bus. Res. 119:674–684. https://doi.org/10.1016/j.jbusres.2019.02.056</w:t>
      </w:r>
    </w:p>
    <w:p w14:paraId="28903B6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 Guardo MC, Marrocu E, Paci R (2016) The effect of local corruption on ownership strategy in cross-border mergers and acquisitions. J. Bus. Res. 69:4225–4241. https://doi.org/10.1016/j.jbusres.2016.03.002</w:t>
      </w:r>
    </w:p>
    <w:p w14:paraId="4042CA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Brouthers K (2016) International establishment mode choice: Past, present and future. Manag. Int. Rev. 56:489–530. https://doi.org/10.1007/s11575-015-0258-3</w:t>
      </w:r>
    </w:p>
    <w:p w14:paraId="5D5CE8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Panibratov A, Veselova A (2019) Investment motives, ownership advantages and institutional distance: An examination of Russian cross-border acquisitions. Int. Bus. Rev. 28:625–637. https://doi.org/10.1016/j.ibusrev.2018.12.007</w:t>
      </w:r>
    </w:p>
    <w:p w14:paraId="504211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Sahib PR (2013) Is cultural distance a bane or a boon for cross-border acquisition performance? J. World Bus. 48:77–86. https://doi.org/10.1016/j.jwb.2012.06.009</w:t>
      </w:r>
    </w:p>
    <w:p w14:paraId="11AF01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Sahib PR, van Witteloostuijn A (2010) Cross-border acquisition abandonment and completion: The effect of institutional differences and organizational learning in the international business service industry, 1981-2001. J. Int. Bus. Stud. 41:223–245. https://doi.org/10.1057/jibs.2009.10</w:t>
      </w:r>
    </w:p>
    <w:p w14:paraId="01D20D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van Witteloostuijn A (2007) Foreign direct investment mode choice: Entry and establishment modes in transition economies. J. Int. Bus. Stud. 38:1013–1033. https://doi.org/10.1057/palgrave.jibs.8400297</w:t>
      </w:r>
    </w:p>
    <w:p w14:paraId="7258791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Dinc IS, Erel I (2013) Economic nationalism in mergers and acquisitions. J. Finance 68:2471–2514. https://doi.org/10.1111/jofi.12086</w:t>
      </w:r>
    </w:p>
    <w:p w14:paraId="47293C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Ding HY, Hu YC, Li C, Lin S (2021) CEO country-specific experience and cross-border mergers and acquisitions. J. Corp. Finance 69:102039. https://doi.org/10.1016/j.jcorpfin.2021.102039</w:t>
      </w:r>
    </w:p>
    <w:p w14:paraId="1400C5E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Dos Santos MB, Errunza VR, Miller DP (2008) Does corporate international diversification destroy value? Evidence from cross-border mergers and acquisitions. J. Bank. Finance 32:2716–2724. https://doi.org/10.1016/j.jbankfin.2008.07.010</w:t>
      </w:r>
    </w:p>
    <w:p w14:paraId="7CB4AB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Dos Santos MB, Errunza VR, Miller DP (2008) Does corporate international diversification destroy value? Evidence from cross-border mergers and acquisitions. J. Bank. Finance 32:2716–2724. https://doi.org/10.1016/j.jbankfin.2008.07.010</w:t>
      </w:r>
    </w:p>
    <w:p w14:paraId="3A344C6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Doukas JA, Kan OB (2006) Does global diversification destroy firm value? J. Int. Bus. Stud. 37:352–371. https://doi.org/10.1057/palgrave.jibs.8400203</w:t>
      </w:r>
    </w:p>
    <w:p w14:paraId="036328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Drobetz W, Momtaz PP (2020) Corporate governance convergence in the European M&amp;A market. Fin. Res. Lett. 32:101091. https://doi.org/10.1016/j.frl.2019.01.003</w:t>
      </w:r>
    </w:p>
    <w:p w14:paraId="0E1EAC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Drogendijk R, Slangen A (2006) Hofstede, Schwartz, or managerial perceptions? The effects of different cultural distance measures on establishment mode choices by multinational enterprises. Int. Bus. Rev. 15:361–380. https://doi.org/10.1016/j.ibusrev.2006.05.003</w:t>
      </w:r>
    </w:p>
    <w:p w14:paraId="49BA92C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 M, Boateng A (2015) State ownership, institutional effects and value creation in cross-border mergers and acquisitions by Chinese firms. Int. Bus. Rev. 24:430–442. https://doi.org/10.1016/j.ibusrev.2014.10.002</w:t>
      </w:r>
    </w:p>
    <w:p w14:paraId="159E07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 M, Boateng A, Newton D (2016) The impact of state ownership, formal institutions and resource seeking on acquirers' returns of Chinese M&amp;A. Rev. Quant. Finance Account. 47:159–178. https://doi.org/10.1007/s11156-015-0498-0</w:t>
      </w:r>
    </w:p>
    <w:p w14:paraId="6A9B5B2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Duan Y, Deng Z, Liu H, Yang M, Liu M, Wang X (2022) Exploring the mediating effect of managerial ability on knowledge diversity and innovation performance in reverse cross-border M&amp;As: Evidence from Chinese manufacturing corporations. Int. J. Prod. Econ. 247:108434. https://doi.org/10.1016/j.ijpe.2022.108434</w:t>
      </w:r>
    </w:p>
    <w:p w14:paraId="65061A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Duncan C, Mtar M (2006) Determinants of international acquisition success: Lessons from FirstGroup in North America. Eur. Manag. J. 24:396–410. https://doi.org/10.1016/j.emj.2006.08.002</w:t>
      </w:r>
    </w:p>
    <w:p w14:paraId="363387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Durand M (2016) Employing critical incident technique as one way to display the hidden aspects of post-merger integration. Int. Bus. Rev. 25:87–102. https://doi.org/10.1016/j.ibusrev.2015.05.003</w:t>
      </w:r>
    </w:p>
    <w:p w14:paraId="71D1D7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Durand RB, Laing E, Thao Ngo M (2016) The disciplinary role of leverage: Evidence from East Asian cross-border acquirers’ returns. Fin. Res. Lett. 18:83–88. https://doi.org/10.1016/j.frl.2016.04.004</w:t>
      </w:r>
    </w:p>
    <w:p w14:paraId="1A3D279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Eden L, Indro DC, Miller SR, Richards M (2021) Valuation uncertainty, home and host market uncertainty, and cross-border seasoned equity offerings. Int. Bus. Rev. 30:101808. https://doi.org/10.1016/j.ibusrev.2021.101808</w:t>
      </w:r>
    </w:p>
    <w:p w14:paraId="3724D9D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Eije H von, Wiegerinck H (2010) Shareholders’ reactions to announcements of acquisitions of private firms: Do target and bidder markets make a difference? Int. Bus. Rev. 19:360–377. https://doi.org/10.1016/j.ibusrev.2010.02.002</w:t>
      </w:r>
    </w:p>
    <w:p w14:paraId="1BC615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Ekkayokkaya M, Foojinphan P, Wolff C (2017) Cross-border mergers and acquisitions: Evidence from the Indochina region. Fin. Res. Lett. 23:253–256. https://doi.org/10.1016/j.frl.2017.06.009</w:t>
      </w:r>
    </w:p>
    <w:p w14:paraId="192CF3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Ekkayokkaya M, Holmes P, Paudyal K (2009) The Euro and the changing face of European banking: Evidence from mergers and acquisitions. Eur. Financ. Manag. 15:451–476. https://doi.org/10.1111/j.1468-036X.2007.00411.x</w:t>
      </w:r>
    </w:p>
    <w:p w14:paraId="6C8795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Elango B, Dhandapani K, Giachetti C (2019) Impact of institutional reforms and industry structural factors on market returns of emerging market rivals during acquisitions by foreign firms. Int. Bus. Rev. 28:101493. https://doi.org/10.1016/j.ibusrev.2018.03.008</w:t>
      </w:r>
    </w:p>
    <w:p w14:paraId="2873BBD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Elango B, Lahiri S, Kundu SK (2013) How does firm experience and institutional distance impact ownership choice in high-technology acquisitions? R&amp;D Manag. 43:501–516. https://doi.org/10.1111/radm.12032</w:t>
      </w:r>
    </w:p>
    <w:p w14:paraId="7AF9F9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Elia S, Greve P, Vallone T, Castellani D (2021) The micro-foundations of industrial diversification through foreign acquisitions: The multifaceted role of CEO experience. Long Range Plann. 54:102104. https://doi.org/10.1016/j.lrp.2021.102104</w:t>
      </w:r>
    </w:p>
    <w:p w14:paraId="62EF22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am Elnahas, Hassan MK, Ismail GM (2017) Religion and mergers and acquisitions contracting: The case of earnout agreements. J. Corp. Finance 42:221–246. https://doi.org/10.1016/j.jcorpfin.2016.11.012</w:t>
      </w:r>
    </w:p>
    <w:p w14:paraId="0AF83F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Emodi NV, Rekker S, Greig C, Wade B, Inekwe JN, Zakari A (2023) The contribution of cross-border capital flow towards decarbonisation. J. Clean. Prod. 405:137040. https://doi.org/10.1016/j.jclepro.2023.137040</w:t>
      </w:r>
    </w:p>
    <w:p w14:paraId="70A9FC9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Erel I, Liao RC, Weisbach MS (2012) Determinants of cross-border mergers and acquisitions. J. Finance 67:1045–1082. https://doi.org/10.1111/j.1540-6261.2012.01741.x</w:t>
      </w:r>
    </w:p>
    <w:p w14:paraId="444C82A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Espenlaub S, Khurshed A, Mohamed A (2015) Venture capital exits in domestic and cross-border investments. J. Bank. Finance 53:215–232. https://doi.org/10.1016/j.jbankfin.2014.11.014</w:t>
      </w:r>
    </w:p>
    <w:p w14:paraId="463C168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Eulerich M, Kopp R, Fligge B (2022) Mergers and acquisitions research—A bibliometric analysis. Eur. Manag. J. 40:832–846. https://doi.org/10.1016/j.emj.2022.09.006</w:t>
      </w:r>
    </w:p>
    <w:p w14:paraId="0A383F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Faelten A, Gietzmann M, Vitkova V (2014) Naked M&amp;A transactions: How the lack of local expertise in cross-border deals can negatively affect acquirer performance - and how informed institutional investors can mitigate this effect. J. Bus. Finance Account. 41:469–506. https://doi.org/10.1111/jbfa.12049</w:t>
      </w:r>
    </w:p>
    <w:p w14:paraId="2AEF065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Falaster C, Ferreira MP, Li D (2021) The influence of generalized and arbitrary institutional inefficiencies on the ownership decision in cross-border acquisitions. J. Int. Bus. Stud. 52:1724–1749. https://doi.org/10.1057/s41267-021-00434-1</w:t>
      </w:r>
    </w:p>
    <w:p w14:paraId="2ED3308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Fani V, Kalanoski D, Bertrand O (2023) The competitive effects of financial and fiscal institutional arbitrage opportunities: Evidence from cross-border M&amp;As. Long Range Plann. 56:102324. https://doi.org/10.1016/j.lrp.2023.102324</w:t>
      </w:r>
    </w:p>
    <w:p w14:paraId="76F9FE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Feld LP, Ruf M, Scheuering U, Schreiber U, Voget J (2016) Repatriation taxes and outbound M&amp;As. J. Public Econ. 139:13–27. https://doi.org/10.1016/j.jpubeco.2016.03.005</w:t>
      </w:r>
    </w:p>
    <w:p w14:paraId="6FA212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Fernandez WD, Sundaramurthy C (2020) Boards' relevant experience and international strategy: A recipe for success or a case of too many cooks? Global Strat. J. 10:726–749. https://doi.org/10.1002/gsj.1392</w:t>
      </w:r>
    </w:p>
    <w:p w14:paraId="3799A6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Ferreira MA, Massa M, Matos P (2010) Shareholders at the gate? Institutional investors and cross-border mergers and acquisitions. Rev. Financ. Stud. 23:601–644. https://doi.org/10.1093/rfs/hhp070</w:t>
      </w:r>
    </w:p>
    <w:p w14:paraId="1CA78C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Ferris SP, Jayaraman N, Sabherwal S (2013) CEO overconfidence and international merger and acquisition activity. J. Financ. Quant. Anal. 48:137–164. https://doi.org/10.1017/S0022109013000069</w:t>
      </w:r>
    </w:p>
    <w:p w14:paraId="62D829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Fieberg C, Lopatta K, Tammen T, Tideman SA (2021) Political affinity and investors' response to the acquisition premium in cross-border M&amp;A transactions—A moderation analysis. Strategic Manag. J. 42:2477–2492. https://doi.org/10.1002/smj.3325</w:t>
      </w:r>
    </w:p>
    <w:p w14:paraId="19C046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Firk S, Gehrke Y, Richter S, Wolff M (2023) CFO career concerns and strategic decisions: An empirical analysis of M&amp;As. Eur. Account. Rev.:1–32. https://doi.org/10.1080/09638180.2023.2291405</w:t>
      </w:r>
    </w:p>
    <w:p w14:paraId="00586D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Focarelli D, af Pozzolo (2008) Cross-border M&amp;As in the financial sector: Is banking different from insurance? J. Bank. Finance 32:15–29. https://doi.org/10.1016/j.jbankfin.2007.09.002</w:t>
      </w:r>
    </w:p>
    <w:p w14:paraId="5B5C4A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Forssbæck J, Oxelheim L (2008) Finance-specific factors as drivers of cross-border investment—An empirical investigation. Int. Bus. Rev. 17:630–641. https://doi.org/10.1016/j.ibusrev.2008.09.001</w:t>
      </w:r>
    </w:p>
    <w:p w14:paraId="7EA645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BB, Hasan I, Sun X (2008) Financial market integration and the value of global diversification: Evidence for US acquirers in cross-border mergers and acquisitions. J. Bank. Finance 32:1522–1540. https://doi.org/10.1016/j.jbankfin.2007.10.013</w:t>
      </w:r>
    </w:p>
    <w:p w14:paraId="4BC6C0A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BB, Hasan I, Sun X, Waisman M (2014) Can firms learn by observing? Evidence from cross-border M&amp;As. J. Corp. Finance 25:202–215. https://doi.org/10.1016/j.jcorpfin.2013.11.018</w:t>
      </w:r>
    </w:p>
    <w:p w14:paraId="22DAD5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JR, Huang SX, Khurana IK (2016) The role of similar accounting standards in cross-border mergers and acquisitions. Contemp. Account. Res. 33:1298–1330. https://doi.org/10.1111/1911-3846.12176</w:t>
      </w:r>
    </w:p>
    <w:p w14:paraId="404397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Fraser, Zhang H (2009) Mergers and long-term corporate performance: Evidence from cross-border bank acquisitions. J. Money Credit Bank. 41:1503–1513. https://doi.org/10.1111/j.1538-4616.2009.00265.x</w:t>
      </w:r>
    </w:p>
    <w:p w14:paraId="7C1035D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Frésard L, Hege U, Phillips G (2017) Extending industry specialization through cross-border acquisitions. Rev. Financ. Stud. 30:1539–1582. https://doi.org/10.1093/rfs/hhx008</w:t>
      </w:r>
    </w:p>
    <w:p w14:paraId="14ED92C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Frijns B, Gilbert A, Lehnert T, Tourani-Rad A (2013) Uncertainty avoidance, risk tolerance and corporate takeover decisions. J. Bank. Finance 37:2457–2471. https://doi.org/10.1016/j.jbankfin.2013.02.010</w:t>
      </w:r>
    </w:p>
    <w:p w14:paraId="7923CB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 C, Deng XY, Tang HF (2023) Who cares about corporate fraud? Evidence from cross-border mergers and acquisitions of Chinese companies. Rev. Quant. Finance Account. 60:747–789. https://doi.org/10.1007/s11156-022-01111-6</w:t>
      </w:r>
    </w:p>
    <w:p w14:paraId="6D411D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Gaur AS (2019) Merger waves, entry-timing, and cross-border acquisition completion: A frictional lens perspective. J. World Bus. 54:107–118. https://doi.org/10.1016/j.jwb.2018.12.001</w:t>
      </w:r>
    </w:p>
    <w:p w14:paraId="7605262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Gaur AS, Pattnaik C (2023) Deal completion in cross border acquisitions waves: The role of deal timing and pace. Global Strat. J. 13:927–948. https://doi.org/10.1002/gsj.1492</w:t>
      </w:r>
    </w:p>
    <w:p w14:paraId="3E95DF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Sinha AK (2018) Entry-timing, business groups and early-mover advantage within industry merger waves in emerging markets: A study of Indian firms. Asia Pac. J. Manag. 35:919–942. https://doi.org/10.1007/s10490-017-9531-2</w:t>
      </w:r>
    </w:p>
    <w:p w14:paraId="16997A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Thakur V, Pattnaik C, Jain R (2024) Family firms and the mixed gamble perspective in cross-border acquisitions: A study of Indian firms. Int. Bus. Rev. 33:102205. https://doi.org/10.1016/j.ibusrev.2023.102205</w:t>
      </w:r>
    </w:p>
    <w:p w14:paraId="18FCE5A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Fuentelsaz L, Garrido E, González M (2020) Ownership in cross-border acquisitions and entry timing of the target firm. J. World Bus. 55:1-18. https://doi.org/10.1016/j.jwb.2019.101046</w:t>
      </w:r>
    </w:p>
    <w:p w14:paraId="3903F6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Fumagalli E, Vasconcelos H (2009) Sequential cross-border mergers. Int. J. Ind. Organ. 27:175–187. https://doi.org/10.1016/j.ijindorg.2008.06.002</w:t>
      </w:r>
    </w:p>
    <w:p w14:paraId="6819AE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Gada VP, Popli M, Malhotra S (2024) Geographic distance in cross-border acquisitions: The impact of CEO's psychological attributes. J. Int. Manag. 30:101115. https://doi.org/10.1016/j.intman.2023.101115</w:t>
      </w:r>
    </w:p>
    <w:p w14:paraId="3C452B9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Gaffney N, Karst R, Clampit J (2016) Emerging market MNE cross-border acquisition equity participation: The role of economic and knowledge distance. Int. Bus. Rev. 25:267–275. https://doi.org/10.1016/j.ibusrev.2015.05.005</w:t>
      </w:r>
    </w:p>
    <w:p w14:paraId="44A62F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Galavotti I, Cerrato D, Depperu D (2017) Experience and cross-border acquisitions: An organizational learning perspective. Eur. Manag. Rev. 14:119–131. https://doi.org/10.1111/emre.12094</w:t>
      </w:r>
    </w:p>
    <w:p w14:paraId="366D8E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Galdino KM, Gordon J, King (2022) The impact of distance on acquisition performance. Eur. Manag. J. 40:857–872. https://doi.org/10.1016/j.emj.2022.09.010</w:t>
      </w:r>
    </w:p>
    <w:p w14:paraId="23F5DA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Gan Y, Qiu BH (2019) Escape from the USA: Government debt-to-GDP ratio, country tax competitiveness, and US-OECD cross-border M&amp;As. J. Int. Bus. Stud. 50:1156–1183. https://doi.org/10.1057/s41267-019-00216-w</w:t>
      </w:r>
    </w:p>
    <w:p w14:paraId="29C2B64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Gao QL, Zhang Z, Li ZJ, Li Y, Shao XF (2022) Strategic green marketing and cross-border merger and acquisition completion: The role of corporate social responsibility and green patent development. J. Clean. Prod. 343:130961. https://doi.org/10.1016/j.jclepro.2022.130961</w:t>
      </w:r>
    </w:p>
    <w:p w14:paraId="2DD759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Garcia CJ, Herrero B (2022) Corporate entrepreneurship and governance: Mergers and acquisitions in Europe. Technol. Forecast. Soc. Change 182:121845. https://doi.org/10.1016/j.techfore.2022.121845</w:t>
      </w:r>
    </w:p>
    <w:p w14:paraId="39A178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Gaur A, Malhotra S, Zhu PC (2022) Institutional distance and ownership in foreign acquisitions. J. Int. Manag. 28:100917. https://doi.org/10.1016/j.intman.2021.100917</w:t>
      </w:r>
    </w:p>
    <w:p w14:paraId="02A996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Gaur AS, Malhotra S, Zhu PC (2013) Acquisition announcements and stock market valuations of acquiring firms' rivals: A test of the growth probability hypothesis in China. Strategic Manag. J. 34:215–232. https://doi.org/10.1002/smj.2009</w:t>
      </w:r>
    </w:p>
    <w:p w14:paraId="3F1113F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Ghosh C, Narayan PC, Prasadh RS, Thenmozhi M (2022) Does corruption distance affect cross-border acquisitions? Different tales from developed and emerging markets. Eur. Financ. Manag. 28:345–402. https://doi.org/10.1111/eufm.12350</w:t>
      </w:r>
    </w:p>
    <w:p w14:paraId="0D36BD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Gill C (2012) The role of leadership in successful international mergers and acquisitions: Why Renault-Nissan succeeded and DaimlerChrysler-Mitsubishi failed. Hum. Resour. Manag. 51:433–456. https://doi.org/10.1002/hrm.21475</w:t>
      </w:r>
    </w:p>
    <w:p w14:paraId="080AE4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Goergen M, Renneboog L (2008) Contractual corporate governance. J. Corp. Finance 14:166–182. https://doi.org/10.1016/j.jcorpfin.2008.04.003</w:t>
      </w:r>
    </w:p>
    <w:p w14:paraId="24DB0BE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Goergen M, Renneboog L (2004) Shareholder wealth effects of European domestic and cross-border takeover bids. Eur. Financ. Manag. 10:9–45. https://doi.org/10.1111/j.1468-036X.2004.00239.x</w:t>
      </w:r>
    </w:p>
    <w:p w14:paraId="026486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E, Angwin D, Peter E, Mellahi K (2012) HRM issues and outcomes in African mergers and acquisitions: A study of the Nigerian banking sector. Int. J. Hum. Resour. Manag. 23:2874–2900. https://doi.org/10.1080/09585192.2012.671509</w:t>
      </w:r>
    </w:p>
    <w:p w14:paraId="658B46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E, Mellahi K, Sahadev S, Harvey A (2017) Perceptions of justice and organisational commitment in international mergers and acquisitions. Int. Mark. Rev. 34:582–605. https://doi.org/10.1108/IMR-02-2014-0046</w:t>
      </w:r>
    </w:p>
    <w:p w14:paraId="2B2A4C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M, Marsat S (2018) Does CSR impact premiums in M&amp;A transactions? Fin. Res. Lett. 26:71–80. https://doi.org/10.1016/j.frl.2017.12.005</w:t>
      </w:r>
    </w:p>
    <w:p w14:paraId="10B74F2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Graebner ME, Heimeriks KH, Huy QN, Vaara E (2017) The process of postmerger integration: A review and agenda for future research. Acad. Manag. Ann. 11:1–32. https://doi.org/10.5465/annals.2014.0078</w:t>
      </w:r>
    </w:p>
    <w:p w14:paraId="63654C3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Gregory A, McCorriston S (2005) Foreign acquisitions by UK limited companies: Short- and long-run performance. J. Empir. Finance 12:99–125. https://doi.org/10.1016/j.jempfin.2003.10.003</w:t>
      </w:r>
    </w:p>
    <w:p w14:paraId="402A80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SR (2015) Dominate or ally? Bargaining power and control in cross-border acquisitions by Indian firms. Long Range Plann. 48:301–316. https://doi.org/10.1016/j.lrp.2015.07.004</w:t>
      </w:r>
    </w:p>
    <w:p w14:paraId="3988D00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 Elango B (2016) Resource deepening vs. resource extension: Impact on asset-seeking acquisition performance. Manag. Int. Rev. 56:353–384. https://doi.org/10.1007/s11575-016-0282-y</w:t>
      </w:r>
    </w:p>
    <w:p w14:paraId="50A196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SR, Aulakh PS, Ray S, Sarkar MB, Chittoor R (2010) Do international acquisitions by emerging-economy firms create shareholder value? The case of Indian firms. J. Int. Bus. Stud. 41:397–418. https://doi.org/10.1057/jibs.2009.47</w:t>
      </w:r>
    </w:p>
    <w:p w14:paraId="6212C8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Gulamhussen MA, Hennart JF, Pinheiro CM (2016) What drives cross-border M&amp;As in commercial banking? J. Bank. Finance </w:t>
      </w:r>
      <w:proofErr w:type="gramStart"/>
      <w:r w:rsidRPr="00762585">
        <w:rPr>
          <w:rFonts w:ascii="Times New Roman" w:hAnsi="Times New Roman" w:cs="Times New Roman"/>
          <w:lang w:val="en-US"/>
        </w:rPr>
        <w:t>72:S</w:t>
      </w:r>
      <w:proofErr w:type="gramEnd"/>
      <w:r w:rsidRPr="00762585">
        <w:rPr>
          <w:rFonts w:ascii="Times New Roman" w:hAnsi="Times New Roman" w:cs="Times New Roman"/>
          <w:lang w:val="en-US"/>
        </w:rPr>
        <w:t>6-S18. https://doi.org/10.1016/j.jbankfin.2016.07.007</w:t>
      </w:r>
    </w:p>
    <w:p w14:paraId="059179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Gunkel M, Schlaegel C, Rossteutscher T, Wolff B (2015) The human aspect of cross-border acquisition outcomes: The role of management practices, employee emotions, and national culture. Int. Bus. Rev. 24:394–408. https://doi.org/10.1016/j.ibusrev.2014.09.001</w:t>
      </w:r>
    </w:p>
    <w:p w14:paraId="38E0E2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Guo W, Clougherty JA, Duso T (2016) Why are Chinese MNEs not financially competitive in cross-border acquisitions? The role of state ownership. Long Range Plann. 49:614–631. https://doi.org/10.1016/j.lrp.2016.05.002</w:t>
      </w:r>
    </w:p>
    <w:p w14:paraId="264E9D4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Haapanen L, Hurmelinna-Laukkanen P, Nikkilä S, Paakkolanvaara P (2019) The function-specific microfoundations of dynamic capabilities in cross-border mergers and acquisitions. Int. Bus. Rev. 28:766–784. https://doi.org/10.1016/j.ibusrev.2019.03.002</w:t>
      </w:r>
    </w:p>
    <w:p w14:paraId="30F41E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Collins M, Keasey K (2008) Investor protection and the value effects of bank merger announcements in Europe and the US. J. Bank. Finance 32:1333–1348. https://doi.org/10.1016/j.jbankfin.2007.11.008</w:t>
      </w:r>
    </w:p>
    <w:p w14:paraId="204DB9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Hernando I, Nieto MJ, Wall LD (2012) What do premiums paid for bank M&amp;As reflect? The case of the European Union. J. Bank. Finance 36:749–759. https://doi.org/10.1016/j.jbankfin.2011.03.009</w:t>
      </w:r>
    </w:p>
    <w:p w14:paraId="60DC8F9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Nieto MJ (2015) The safety and soundness effects of bank M&amp;A in the EU: Does prudential regulation have any impact? Eur. Financ. Manag. 21:462–490. https://doi.org/10.1111/j.1468-036X.2013.12022.x</w:t>
      </w:r>
    </w:p>
    <w:p w14:paraId="087E33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Haider S, Nisar QA, Gill SS, Hameed WU, Badar K, Meo MS (2023) Successful knowledge transfer through HRM practices and absorptive capacity: Empirical evidence from cross-border M&amp;As. Eur. J. Int. Manag. 19:585–613. https://doi.org/10.1504/EJIM.2023.129545</w:t>
      </w:r>
    </w:p>
    <w:p w14:paraId="6C9361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Hajro A (2015) Cultural influences and the mediating role of socio-cultural integration processes on the performance of cross-border mergers and acquisitions. Int. J. Hum. Resour. Manag. 26:192–215. https://doi.org/10.1080/09585192.2014.922354</w:t>
      </w:r>
    </w:p>
    <w:p w14:paraId="6D1154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Haleblian J, Devers CE, McNamara G, Carpenter MA, Davison RB (2009) Taking stock of what we know about mergers and acquisitions: A review and research agenda. J. Manag. 35:469–502. https://doi.org/10.1177/0149206308330554</w:t>
      </w:r>
    </w:p>
    <w:p w14:paraId="4CE977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Hamberg M, Overland C, Lantz B (2013) Board participation, toeholds and the cross-border effect. Int. Bus. Rev. 22:868–882. https://doi.org/10.1016/j.ibusrev.2013.01.004</w:t>
      </w:r>
    </w:p>
    <w:p w14:paraId="33ACFF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Hammer B, Knauer A, Pflücke M, Schwetzler B (2017) Inorganic growth strategies and the evolution of the private equity business model. J. Corp. Finance 45:31–63. https://doi.org/10.1016/j.jcorpfin.2017.04.006</w:t>
      </w:r>
    </w:p>
    <w:p w14:paraId="0ECCDC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Hasan I, Schmiedel H, Song L (2012) Growth strategies and value creation: What works best for stock exchanges? Fin. Rev. 47:469–499. https://doi.org/10.1111/j.1540-6288.2012.00337.x</w:t>
      </w:r>
    </w:p>
    <w:p w14:paraId="642FA0B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Hasija D, Liou RS, Ellstrand A (2020) Navigating the new normal: Political affinity and multinationals' post-acquisition performance. J. Manag. Stud. 57:569–596. https://doi.org/10.1111/joms.12545</w:t>
      </w:r>
    </w:p>
    <w:p w14:paraId="1236B6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Hassan I, Chidlow A, am Romero-Martínez (2016) Selection, valuation and performance assessment: Are these truly inter-linked within the M&amp;A transactions? Int. Bus. Rev. 25:255–266. https://doi.org/10.1016/j.ibusrev.2015.05.004</w:t>
      </w:r>
    </w:p>
    <w:p w14:paraId="581644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Hassett ME, Reynolds NS, Sandberg B (2018) The emotions of top managers and key persons in cross-border M&amp;As: Evidence from a longitudinal case study. Int. Bus. Rev. 27:737–754. https://doi.org/10.1016/j.ibusrev.2017.12.003</w:t>
      </w:r>
    </w:p>
    <w:p w14:paraId="694AE4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Hawn O (2021) How media coverage of corporate social responsibility and irresponsibility influences cross-border acquisitions. Strategic Manag. J. 42:58–83. https://doi.org/10.1002/smj.3212</w:t>
      </w:r>
    </w:p>
    <w:p w14:paraId="7919EA3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Hayashi D (2018) Knowledge flow in low-carbon technology transfer: A case of India's wind power industry. Energy Policy 123:104–116. https://doi.org/10.1016/j.enpol.2018.08.040</w:t>
      </w:r>
    </w:p>
    <w:p w14:paraId="723BBA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 X, Zhang J (2018) Emerging market MNCs' cross-border acquisition completion: Institutional image and strategies. J. Bus. Res. 93:139–150. https://doi.org/10.1016/j.jbusres.2018.04.014</w:t>
      </w:r>
    </w:p>
    <w:p w14:paraId="7870298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 ZW, Xu YB, Ruan HW (2024) How does political uncertainty affect Chinese corporate M&amp;A abroad? Evidence from the BRI scenario. Eur. J. Int. Manag. 23:250–269. https://doi.org/10.1504/EJIM.2024.138661</w:t>
      </w:r>
    </w:p>
    <w:p w14:paraId="01F71C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Hébert L, Very P, Beamish PW (2005) Expatriation as a bridge over troubled water: A knowledge-based perspective applied to cross-border acquisitions. Organ. Stud. 26:1455–1476. https://doi.org/10.1177/0170840605057067</w:t>
      </w:r>
    </w:p>
    <w:p w14:paraId="0005AF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Heinberg M, Ozkaya H, Taube M (2016) A brand built on sand: Is acquiring a local brand in an emerging market an ill-advised strategy for foreign companies? J. Acad. Mark. Sci. 44:586–607. https://doi.org/10.1007/s11747-015-0452-7</w:t>
      </w:r>
    </w:p>
    <w:p w14:paraId="752DB9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Hendriks G, Slangen A, Heugens P (2023) How cross-cultural experience shapes emerging-market multinationals’ domestic performance after a cross-border acquisition. Long Range Plann. 56:102342. https://doi.org/10.1016/j.lrp.2023.102342</w:t>
      </w:r>
    </w:p>
    <w:p w14:paraId="762E7F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Henley JM (2021) The effect of tax system characteristics on cross-border mergers and acquisitions. J. Int. Account. Res. 20:43–58. https://doi.org/10.2308/JIAR-2021-061</w:t>
      </w:r>
    </w:p>
    <w:p w14:paraId="70EAA1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Hennart J-F, Sheng HH, Pimenta G (2015) Local complementary inputs as drivers of entry mode choices: The case of US investments in Brazil. Int. Bus. Rev. 24:466–475</w:t>
      </w:r>
    </w:p>
    <w:p w14:paraId="744D77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Hillemann J, Gestrin M (2016) The limits of firm-level globalization: Revisiting the FSA/CSA matrix. Int. Bus. Rev. 25:767–775. https://doi.org/10.1016/j.ibusrev.2016.01.018</w:t>
      </w:r>
    </w:p>
    <w:p w14:paraId="5AF4479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Holland D, Scullion H (2021) Towards a talent retention model: Mapping the building blocks of the psychological contract to the three stages of the acquisition process. Int. J. Hum. Resour. Manag. 32:2683–2728. https://doi.org/10.1080/09585192.2019.1569546</w:t>
      </w:r>
    </w:p>
    <w:p w14:paraId="686A4FE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Hope OK, Thomas W, Vyas D (2011) The cost of pride: Why do firms from developing countries bid higher? J. Int. Bus. Stud. 42:128–151. https://doi.org/10.1057/jibs.2010.5</w:t>
      </w:r>
    </w:p>
    <w:p w14:paraId="518937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Hsu P-H, Huang P, Humphery-Jenner M, Powell R (2021) Cross-border mergers and acquisitions for innovation. J. Int. Money Finance 112:102320. https://doi.org/10.1016/j.jimonfin.2020.102320</w:t>
      </w:r>
    </w:p>
    <w:p w14:paraId="1823F64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 Y, Li C, Qin C (2020) The impact of regional financial depth on outbound cross-border mergers and acquisitions. J. Int. Money Finance 104:102181. https://doi.org/10.1016/j.jimonfin.2020.102181</w:t>
      </w:r>
    </w:p>
    <w:p w14:paraId="36AB0F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CH, Jin Z, Tian SY, Wu EL (2023) The real effects of corruption on M&amp;A flows: Evidence from China's anti-corruption campaign. J. Bank. Finance 150:106815. https://doi.org/10.1016/j.jbankfin.2023.106815</w:t>
      </w:r>
    </w:p>
    <w:p w14:paraId="5B6B68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P, Officer MS, Powell R (2016) Method of payment and risk mitigation in cross-border mergers and acquisitions. J. Corp. Finance 40:216–234. https://doi.org/10.1016/j.jcorpfin.2016.08.006</w:t>
      </w:r>
    </w:p>
    <w:p w14:paraId="429CF5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Z, Zhu H, Brass DJ (2017) Cross-border acquisitions and the asymmetric effect of power distance value difference on long-term post-acquisition performance. Strategic Manag. J. 38:972–991. https://doi.org/10.1002/smj.2530</w:t>
      </w:r>
    </w:p>
    <w:p w14:paraId="1A897C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Hughes P, Hughes M, Stokes P, Lee H, Rodgers P, Degbey WY (2020) Micro-foundations of organizational ambidexterity in the context of cross-border mergers and acquisitions. Technol. Forecast. Soc. Change 153:119932. https://doi.org/10.1016/j.techfore.2020.119932</w:t>
      </w:r>
    </w:p>
    <w:p w14:paraId="27673F3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Huizinga H, Voget J, Wagner W (2018) Capital gains taxation and the cost of capital: Evidence from unanticipated cross-border transfers of tax base. J. Financ. Econ. 129:306–328. https://doi.org/10.1016/j.jfineco.2018.04.014</w:t>
      </w:r>
    </w:p>
    <w:p w14:paraId="3EF180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Huizinga HP, Voget J (2009) International taxation and the direction and volume of cross-border M&amp;As. J. Finance 64:1217–1249. https://doi.org/10.1111/j.1540-6261.2009.01463.x</w:t>
      </w:r>
    </w:p>
    <w:p w14:paraId="51DB353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Humphery-Jenner M (2012) The impact of the EU takeover directive on takeover performance and empire building. J. Corp. Finance 18:254–272. https://doi.org/10.1016/j.jcorpfin.2011.12.004</w:t>
      </w:r>
    </w:p>
    <w:p w14:paraId="619672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Humphery-Jenner M, Sautner Z, Suchard JA (2017) Cross-border mergers and acquisitions: The role of private equity firms. Strategic Manag. J. 38:1688–1700. https://doi.org/10.1002/smj.2623</w:t>
      </w:r>
    </w:p>
    <w:p w14:paraId="63BB1B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Hwang BH (2011) Country-specific sentiment and security prices. J. Financ. Econ. 100:382–401. https://doi.org/10.1016/j.jfineco.2010.10.020</w:t>
      </w:r>
    </w:p>
    <w:p w14:paraId="1C186C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Ibeh K, Makhmadshoev D (2018) Post-acquisition integration behavior of nascent African multinational enterprises. J. Bus. Res. 93:255–267. https://doi.org/10.1016/j.jbusres.2018.03.032</w:t>
      </w:r>
    </w:p>
    <w:p w14:paraId="7004A28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Irwin K, Gilstrap C, McDowell W, Drnevich P, Gorbett A (2022) How knowledge and uncertainty affect strategic international business investment decisions: Implications for cross-border mergers and acquisitions. J. Bus. Res. 139:831–842. https://doi.org/10.1016/j.jbusres.2021.10.001</w:t>
      </w:r>
    </w:p>
    <w:p w14:paraId="7CDB3A4D"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Ismailescu I, Col B (2022) Cross-border M&amp;As and credit risk: Evidence from the CDS market. </w:t>
      </w:r>
      <w:r w:rsidRPr="00F13D1B">
        <w:rPr>
          <w:rFonts w:ascii="Times New Roman" w:hAnsi="Times New Roman" w:cs="Times New Roman"/>
        </w:rPr>
        <w:t>J. Empir. Finance 66:51–73. https://doi.org/10.1016/j.jempfin.2021.12.002</w:t>
      </w:r>
    </w:p>
    <w:p w14:paraId="01589D8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Ito S, Fujimura S, Tamiya T (2012) Does cultural assimilation affect organizational decision-making on quality-related </w:t>
      </w:r>
      <w:proofErr w:type="gramStart"/>
      <w:r w:rsidRPr="00762585">
        <w:rPr>
          <w:rFonts w:ascii="Times New Roman" w:hAnsi="Times New Roman" w:cs="Times New Roman"/>
          <w:lang w:val="en-US"/>
        </w:rPr>
        <w:t>incidents?—</w:t>
      </w:r>
      <w:proofErr w:type="gramEnd"/>
      <w:r w:rsidRPr="00762585">
        <w:rPr>
          <w:rFonts w:ascii="Times New Roman" w:hAnsi="Times New Roman" w:cs="Times New Roman"/>
          <w:lang w:val="en-US"/>
        </w:rPr>
        <w:t>A company's post-M&amp;A experience. J. Int. Manag. 18:160–179. https://doi.org/10.1016/j.intman.2012.02.004</w:t>
      </w:r>
    </w:p>
    <w:p w14:paraId="3F9FF9C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John K, Freund S, Nguyen D, Vasudevan GK (2010) Investor protection and cross-border acquisitions of private and public targets. J. Corp. Finance 16:259–275. https://doi.org/10.1016/j.jcorpfin.2010.02.001</w:t>
      </w:r>
    </w:p>
    <w:p w14:paraId="773DB7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Jory, SR, Ngo TN (2014) Cross-border acquisitions of state-owned enterprises. J. Int. Bus. Stud. 45:1096–1114. https://doi.org/10.1057/jibs.2014.41</w:t>
      </w:r>
    </w:p>
    <w:p w14:paraId="15A6897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Jory, SR, Ngo TN (2015) The wealth effects of acquiring foreign divested assets. Int. Bus. Rev. 24:235–245. https://doi.org/10.1016/j.ibusrev.2014.07.013</w:t>
      </w:r>
    </w:p>
    <w:p w14:paraId="30F52B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Kandilov IT, Leblebicioğlu A, Petkova N (2017) Cross-border mergers and acquisitions: The importance of local credit and source country finance. J. Int. Money Finance 70:288–318. https://doi.org/10.1016/j.jimonfin.2016.09.003</w:t>
      </w:r>
    </w:p>
    <w:p w14:paraId="48926B9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Kang JK, Kim JM (2010) Do foreign investors exhibit a corporate governance disadvantage? An information asymmetry perspective. J. Int. Bus. Stud. 41:1415–1438. https://doi.org/10.1057/jibs.2010.18</w:t>
      </w:r>
    </w:p>
    <w:p w14:paraId="34378D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Kedia BL, Reddy RK (2016) Language and cross-border acquisitions: An exploratory study. Int. Bus. Rev. 25:1321–1332. https://doi.org/10.1016/j.ibusrev.2016.04.004</w:t>
      </w:r>
    </w:p>
    <w:p w14:paraId="5236805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Rao-Nicholson R, Akhtar P, He SW (2021) Cross-border mergers and acquisitions of emerging economies' multinational enterprises—The mediating role of socialization integration mechanisms for successful integration. Hum. Resour. Manag. Rev. 31:100578. https://doi.org/10.1016/j.hrmr.2016.12.003</w:t>
      </w:r>
    </w:p>
    <w:p w14:paraId="0FE5C6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Soundararajan V, Shoham A (2020a) Global post-merger agility, transactive memory systems and human resource management practices. Hum. Resour. Manag. Rev. 30:100697. https://doi.org/10.1016/j.hrmr.2019.100697</w:t>
      </w:r>
    </w:p>
    <w:p w14:paraId="7D046CA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Soundararajan V, Wood G, Ahammad MF (2020b) Employee emotional resilience during post-merger integration across national boundaries: Rewards and the mediating role of fairness norms. J. World Bus. 55:100888. https://doi.org/10.1016/j.jwb.2017.06.009</w:t>
      </w:r>
    </w:p>
    <w:p w14:paraId="2DC8781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Kiessling T, Vlacic B, Dabic M (2021) Mapping the future of cross-border mergers and acquisitions: A review and research agenda. IEEE Trans. Eng. Manag. 68:212–222. https://doi.org/10.1109/TEM.2019.2954799</w:t>
      </w:r>
    </w:p>
    <w:p w14:paraId="7EB4D4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Kim JU, Aguilera RV (2016) Foreign location choice: Review and extensions. Int. J. Manag. Rev. 18:133–159. https://doi.org/10.1111/ijmr.12064</w:t>
      </w:r>
    </w:p>
    <w:p w14:paraId="7A5144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Kim YA, Liang FH (2023) The effect of CEO prominence on cross-border acquisitions: An international entrepreneurship approach. J. Bus. Res. 163:113950. https://doi.org/10.1016/j.jbusres.2023.113950</w:t>
      </w:r>
    </w:p>
    <w:p w14:paraId="1AC567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Kiymaz H (2004) Cross-border acquisitions of US financial institutions: Impact of macroeconomic factors. J. Bank. Finance 28:1413–1439. https://doi.org/10.1016/S0378-4266(03)00125-0</w:t>
      </w:r>
    </w:p>
    <w:p w14:paraId="22136B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Kiymaz H, Alon I (2011) Wealth impact of cross-border US acquisitions of Chinese firms. Eur. J. Int. Manag. 5:432–451</w:t>
      </w:r>
    </w:p>
    <w:p w14:paraId="5E111FDD"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Klier H, Schwens C, Zapkau FB, Dikova D (2017) Which resources matter how and where? A meta-analysis on firms' foreign establishment mode choice. J. Manag. </w:t>
      </w:r>
      <w:r w:rsidRPr="00F13D1B">
        <w:rPr>
          <w:rFonts w:ascii="Times New Roman" w:hAnsi="Times New Roman" w:cs="Times New Roman"/>
        </w:rPr>
        <w:t>Stud. 54:304–339. https://doi.org/10.1111/joms.12220</w:t>
      </w:r>
    </w:p>
    <w:p w14:paraId="52004A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Kling G, Ghobadian A, Hitt MA, Weitzel U, O'Regan N (2014) The effects of cross-border and cross-industry mergers and acquisitions on home-region and global multinational enterprises. Br. J. Manag. </w:t>
      </w:r>
      <w:proofErr w:type="gramStart"/>
      <w:r w:rsidRPr="00762585">
        <w:rPr>
          <w:rFonts w:ascii="Times New Roman" w:hAnsi="Times New Roman" w:cs="Times New Roman"/>
          <w:lang w:val="en-US"/>
        </w:rPr>
        <w:t>25:S</w:t>
      </w:r>
      <w:proofErr w:type="gramEnd"/>
      <w:r w:rsidRPr="00762585">
        <w:rPr>
          <w:rFonts w:ascii="Times New Roman" w:hAnsi="Times New Roman" w:cs="Times New Roman"/>
          <w:lang w:val="en-US"/>
        </w:rPr>
        <w:t>116-S132. https://doi.org/10.1111/1467-8551.12023</w:t>
      </w:r>
    </w:p>
    <w:p w14:paraId="7044B1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Knoerich J (2010) Gaining from the global ambitions of emerging economy enterprises: An analysis of the decision to sell a German firm to a Chinese acquirer. J. Int. Manag. 16:177–191. https://doi.org/10.1016/j.intman.2010.03.008</w:t>
      </w:r>
    </w:p>
    <w:p w14:paraId="164C76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Kohli R, Mann BJ (2012) Analyzing determinants of value creation in domestic and cross border acquisitions in India. Int. Bus. Rev. 21:998–1016. https://doi.org/10.1016/j.ibusrev.2011.11.006</w:t>
      </w:r>
    </w:p>
    <w:p w14:paraId="0E592D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Kolb J (2019) Do investment banks create value for their clients? Empirical evidence from European acquisitions. Eur. Financ. Manag. 25:80–115. https://doi.org/10.1111/eufm.12144</w:t>
      </w:r>
    </w:p>
    <w:p w14:paraId="0E41FF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Kroon DP, Noorderhaven NG, Corley, KG, Vaara E (2022) Hard and soft integration: Towards a dynamic model of post-acquisition integration. J. Manag. Stud. 59:1132–1161. https://doi.org/10.1111/joms.12766</w:t>
      </w:r>
    </w:p>
    <w:p w14:paraId="14E77D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Kroon D, Cornelissen J, Vaara E (2015) Explaining employees' reactions towards a cross-border merger: The role of English language fluency. Manag. Int. Rev. 55:775–800. https://doi.org/10.1007/s11575-015-0259-2</w:t>
      </w:r>
    </w:p>
    <w:p w14:paraId="0FD4BF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Kumar D, Sengupta K, Bhattacharya M (2023) Macroeconomic influences on M&amp;A deal outcomes: An analysis of domestic and cross-border M&amp;As in developed and emerging economies. J. Bus. Res. 161:113831. https://doi.org/10.1016/j.jbusres.2023.113831</w:t>
      </w:r>
    </w:p>
    <w:p w14:paraId="6FB098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Kwok DW (2024) Cross-border M&amp;As and early subordinate-leader trust: A social identity approach. Eur. J. Int. Manag. 23. https://doi.org/10.1504/EJIM.2024.138655</w:t>
      </w:r>
    </w:p>
    <w:p w14:paraId="64CDB7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Kwok DW, Meschi P-X, Bertrand O (2020) In CEOs we trust: When religion matters in cross-border acquisitions. The case of a multifaith country. Int. Bus. Rev. 29:101705. https://doi.org/10.1016/j.ibusrev.2020.101705</w:t>
      </w:r>
    </w:p>
    <w:p w14:paraId="4318AF7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Lahiri S, Elango B, Kundu SK (2014) Cross-border acquisition in services: Comparing ownership choice of developed and emerging economy MNEs in India. J. World Bus. 49:409–420. https://doi.org/10.1016/j.jwb.2013.08.003</w:t>
      </w:r>
    </w:p>
    <w:p w14:paraId="250F5A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Lai J-H, Chen L-Y, Chang S-C (2012) The board mechanism and entry mode choice. J. Int. Manag. 18:379–392. https://doi.org/10.1016/j.intman.2012.08.006</w:t>
      </w:r>
    </w:p>
    <w:p w14:paraId="591FAD2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Lawrence ER, Raithatha M, Rodriguez I (2021) The effect of cultural and institutional factors on initiation, completion, and duration of cross-border acquisitions. J. Corp. Finance 68:101950. https://doi.org/10.1016/j.jcorpfin.2021.101950</w:t>
      </w:r>
    </w:p>
    <w:p w14:paraId="2F43A6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Lebedev S, Peng MW, Xie E, Stevens CE (2015) Mergers and acquisitions in and out of emerging economies. J. World Bus. 50:651–662. https://doi.org/10.1016/j.jwb.2014.09.003</w:t>
      </w:r>
    </w:p>
    <w:p w14:paraId="515014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H, Ki-Hyun U, Hughes P, Hughes M, Shine EK (2023a) Understanding knowledge transfer in M&amp;As: An integration of resource orchestration and social capital theories and evidence from UK acquiring firms. Eur. Manag. J. 41:199–211. https://doi.org/10.1016/j.emj.2021.12.001</w:t>
      </w:r>
    </w:p>
    <w:p w14:paraId="082C20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IH, Hong ES, Shin JK (2023b) Multinational enterprises, intra-regional cross-border M&amp;As, and performance: Location advantages of market versus knowledge. Int. Bus. Rev. 32:102177. https://doi.org/10.1016/j.ibusrev.2023.102177</w:t>
      </w:r>
    </w:p>
    <w:p w14:paraId="1FD611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KH (2018) Cross-border mergers and acquisitions amid political uncertainty: A bargaining perspective. Strategic Manag. J. 39:2992–3005. https://doi.org/10.1002/smj.2944</w:t>
      </w:r>
    </w:p>
    <w:p w14:paraId="72627F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SJ, Kim J, Park BI (2015) Culture clashes in cross-border mergers and acquisitions: A case study of Sweden's Volvo and South Korea's Samsung. Int. Bus. Rev. 24:580–593. https://doi.org/10.1016/j.ibusrev.2014.10.016</w:t>
      </w:r>
    </w:p>
    <w:p w14:paraId="47C24B1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Lehto E, Böckerman P (2008) Analysing the employment effects of mergers and acquisitions. J. Econ. Behav. Organ. 68:112–124. https://doi.org/10.1016/j.jebo.2008.03.002</w:t>
      </w:r>
    </w:p>
    <w:p w14:paraId="03C843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Levine R, Lin C, Shen BB (2020) Cross-border acquisitions: Do labor regulations affect acquirer returns? J. Int. Bus. Stud. 51:194–217. https://doi.org/10.1057/s41267-019-00281-1</w:t>
      </w:r>
    </w:p>
    <w:p w14:paraId="34D310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Lewis Y, Bozos K (2019) Mitigating post-acquisition risk: The interplay of cross-border uncertainties. J. World Bus. 54:100996. https://doi.org/10.1016/j.jwb.2019.100996</w:t>
      </w:r>
    </w:p>
    <w:p w14:paraId="20344C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C, Arikan I, Shenkar O, Arikan A (2020) The impact of country-dyadic military conflicts on market reaction to cross-border acquisitions. J. Int. Bus. Stud. 51:299–325. https://doi.org/10.1057/s41267-019-00268-y</w:t>
      </w:r>
    </w:p>
    <w:p w14:paraId="115AB6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C, Brodbeck FC, Shenkar O, Ponzi LJ, Fisch JH (2017a) Embracing the foreign: Cultural attractiveness and international strategy. Strategic Manag. J. 38:950–971. https://doi.org/10.1002/smj.2528</w:t>
      </w:r>
    </w:p>
    <w:p w14:paraId="6013A03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D, Valentini G (2023) When are acquisitions a viable catch-up strategy? Some empirical evidence from China. Long Range Plann. 56:102265. https://doi.org/10.1016/j.lrp.2022.102265</w:t>
      </w:r>
    </w:p>
    <w:p w14:paraId="6BF778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H-Y, He R, Fu Q (2023) Does corporate social responsibility affect the performance of cross-border M&amp;A of emerging market multinationals? Fin. Res. Lett. 58:104320. https://doi.org/10.1016/j.frl.2023.104320</w:t>
      </w:r>
    </w:p>
    <w:p w14:paraId="0FC8BC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 Xia J, Lin Z (2017b) Cross-border acquisitions by state-owned firms: How do legitimacy concerns affect the completion and duration of their acquisitions? Strategic Manag. J. 38:1915–1934. https://doi.org/10.1002/smj.2609</w:t>
      </w:r>
    </w:p>
    <w:p w14:paraId="22E4B5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JT, Li PX, Wang BL (2016) Do cross-border acquisitions create value? Evidence from overseas acquisitions by Chinese firms. Int. Bus. Rev. 25:471–483. https://doi.org/10.1016/j.ibusrev.2015.08.003</w:t>
      </w:r>
    </w:p>
    <w:p w14:paraId="3B1095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JT, Li PX, Wang BL (2019) The liability of opaqueness: State ownership and the likelihood of deal completion in international acquisitions by Chinese firms. Strategic Manag. J. 40:303–327. https://doi.org/10.1002/smj.2985</w:t>
      </w:r>
    </w:p>
    <w:p w14:paraId="064047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R, Zhang R (2024) How does exchange rate fluctuation affect the efficiency of Chinese enterprises' overseas mergers and acquisitions. Fin. Res. Lett. 66:105600. https://doi.org/10.1016/j.frl.2024.105600</w:t>
      </w:r>
    </w:p>
    <w:p w14:paraId="6B0373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X, Anwar S, Peng F (2022) Cross-border acquisitions and the performance of Chinese publicly listed companies. J. Bus. Res. 141:575–588. https://doi.org/10.1016/j.jbusres.2021.11.053</w:t>
      </w:r>
    </w:p>
    <w:p w14:paraId="7E78C76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Z, Wang P (2023) Cross-border mergers and acquisitions and corporate social responsibility: Evidence from Chinese listed firms. J. Bus. Finance Account. 50:335–376. https://doi.org/10.1111/jbfa.12617</w:t>
      </w:r>
    </w:p>
    <w:p w14:paraId="7A8780E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Liang H, Renneboog L, Vansteenkiste C (2020) Cross-border acquisitions and employment policies. J. Corp. Finance 62:101575. https://doi.org/10.1016/j.jcorpfin.2020.101575</w:t>
      </w:r>
    </w:p>
    <w:p w14:paraId="3B6821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Liang Y, Giroud A, Rygh A (2022) Strategic asset-seeking acquisitions, technological gaps, and innovation performance of Chinese multinationals. J. World Bus. 57:101325. https://doi.org/10.1016/j.jwb.2022.101325</w:t>
      </w:r>
    </w:p>
    <w:p w14:paraId="24D2D1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J, Makhija AK, Shenkar O (2016) The asymmetric relationship between national cultural distance and target premiums in cross-border M&amp;A. J. Corp. Finance 41:542–571. https://doi.org/10.1016/j.jcorpfin.2016.07.007</w:t>
      </w:r>
    </w:p>
    <w:p w14:paraId="46B65A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MH, Lee JH (2016) The effects of industry relatedness and takeover motives on cross-border acquisition completion. J. Bus. Res. 69:4787–4792. https://doi.org/10.1016/j.jbusres.2016.04.031</w:t>
      </w:r>
    </w:p>
    <w:p w14:paraId="5CCD67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M-H, Lee J-H (2017) National economic disparity and cross-border acquisition resolution. Int. Bus. Rev. 26:354–364. https://doi.org/10.1016/j.ibusrev.2016.09.004</w:t>
      </w:r>
    </w:p>
    <w:p w14:paraId="4F1A30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Lindner T, Müllner J, Puhr H (2023) Ownership, institutions, and the agency of M&amp;A completion. Global Strat. J.:1–31. https://doi.org/10.1002/gsj.1494</w:t>
      </w:r>
    </w:p>
    <w:p w14:paraId="3AB8A4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Faifman L, Ellis K (2023) Navigating political risk: Protectionism and ownership strategy in cross-border M&amp;As. J. Bus. Res. 162:113885. https://doi.org/10.1016/j.jbusres.2023.113885</w:t>
      </w:r>
    </w:p>
    <w:p w14:paraId="5894E3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Rao-Nicholson R (2019) Age matters: The contingency of economic distance and economic freedom in emerging market firm's cross-border M&amp;A performance. Manag. Int. Rev. 59:355–386. https://doi.org/10.1007/s11575-019-00381-y</w:t>
      </w:r>
    </w:p>
    <w:p w14:paraId="62D6E4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Rao-Nicholson R, Sarpong D (2018) What is in a name? Cross-national distances and subsidiary’s corporate visual identity change in emerging-market firms’ cross-border acquisitions. Int. Mark. Rev. 35:301–319. https://doi.org/10.1108/IMR-10-2015-0225</w:t>
      </w:r>
    </w:p>
    <w:p w14:paraId="690AE0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JY, Meng QS, Tseng FM, Sun YT (2024) Three decades of cross-border mergers and acquisitions research: Mapping the field and paths forward. IEEE Trans. Eng. Manag. 71:5847–5868. https://doi.org/10.1109/TEM.2024.3371055</w:t>
      </w:r>
    </w:p>
    <w:p w14:paraId="61656B93" w14:textId="77777777" w:rsidR="00F13D1B" w:rsidRPr="00D24718"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Liu K, Wu SY, Guo N, Fang QL (2021) Host country's carbon emission and cross-border M&amp;A performance: Evidence from listed enterprises in China. </w:t>
      </w:r>
      <w:r w:rsidRPr="00D24718">
        <w:rPr>
          <w:rFonts w:ascii="Times New Roman" w:hAnsi="Times New Roman" w:cs="Times New Roman"/>
          <w:lang w:val="en-US"/>
        </w:rPr>
        <w:t>J. Clean. Prod. 314:127977. https://doi.org/10.1016/j.jclepro.2021.127977</w:t>
      </w:r>
    </w:p>
    <w:p w14:paraId="0ADCCC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XH, Zou H (2008) The impact of greenfield FDI and mergers and acquisitions on innovation in Chinese high-tech industries. J. World Bus. 43:352–364. https://doi.org/10.1016/j.jwb.2007.11.004</w:t>
      </w:r>
    </w:p>
    <w:p w14:paraId="5396A7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YP, Öberg C, Tarba SY, Xing YJ (2018) Brand management in mergers and acquisitions: Emerging market multinationals venturing into advanced economies. Int. Mark. Rev. 35:710–732. https://doi.org/10.1108/IMR-01-2017-0011</w:t>
      </w:r>
    </w:p>
    <w:p w14:paraId="559FDBF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Y, Meyer KE (2020) Boundary spanners, HRM practices, and reverse knowledge transfer: The case of Chinese cross-border acquisitions. J. World Bus. 55:1-14. https://doi.org/10.1016/j.jwb.2018.07.007</w:t>
      </w:r>
    </w:p>
    <w:p w14:paraId="70C5DD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Loureiro G, Silva S (2023) The wealth effects of takeover bids regulation in the European Union. Eur. Financ. Manag. 29:692–733. https://doi.org/10.1111/eufm.12383</w:t>
      </w:r>
    </w:p>
    <w:p w14:paraId="71CDA5B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Lowinski F, Schiereck D, Thomas TW (2004) The effect of cross-border acquisitions on shareholder wealth—Evidence from Switzerland. Rev. Quant. Finance Account. 22:315–330. https://doi.org/10.1023/B:REQU.0000032601.84464.52</w:t>
      </w:r>
    </w:p>
    <w:p w14:paraId="795B8A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Lozano-Vivas A, Weill L (2012) How does cross-border activity affect EU banking markets? Eur. Financ. Manag. 18:303–320. https://doi.org/10.1111/j.1468-036X.2009.00534.x</w:t>
      </w:r>
    </w:p>
    <w:p w14:paraId="47D7073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Luo Y, Witt MA (2022) Springboard MNEs under de-globalization. J. Int. Bus. Stud. 53:767–780. https://doi.org/10.1057/s41267-021-00423-4</w:t>
      </w:r>
    </w:p>
    <w:p w14:paraId="1F3DB50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Madura J, Ngo T, am Viale (2011) Convergent synergies in the global market for corporate control. J. Bank. Finance 35:2468–2478. https://doi.org/10.1016/j.jbankfin.2011.02.008</w:t>
      </w:r>
    </w:p>
    <w:p w14:paraId="1D57CAA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Gaur AS (2014) Spatial geography and control in foreign acquisitions. J. Int. Bus. Stud. 45:191–210. https://doi.org/10.1057/jibs.2013.50</w:t>
      </w:r>
    </w:p>
    <w:p w14:paraId="4C0555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Sivakumar K, Zhu PC (2011a) A comparative analysis of the role of national culture on foreign market acquisitions by U.S. firms and firms from emerging countries. J. Bus. Res. 64:714–722. https://doi.org/10.1016/j.jbusres.2010.08.003</w:t>
      </w:r>
    </w:p>
    <w:p w14:paraId="03B11FD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Sivakumar K, Zhu PC (2011b) Curvilinear relationship between cultural distance and equity participation: An empirical analysis of cross-border acquisitions. J. Int. Manag. 17:316–332. https://doi.org/10.1016/j.intman.2011.06.001</w:t>
      </w:r>
    </w:p>
    <w:p w14:paraId="3D1ED4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Zhu PC (2013) Paying for cross-border acquisitions: The impact of prior acquirers’ decisions. J. World Bus. 48:271–281. https://doi.org/10.1016/j.jwb.2012.07.010</w:t>
      </w:r>
    </w:p>
    <w:p w14:paraId="62D176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Malik A, Sinha P, Budhwar P, Pereira V (2023) Managing legitimacy in a cross-border post-merger integration context: The role of language strategies. Int. J. Hum. Resour. Manag. 34:4144–4174. https://doi.org/10.1080/09585192.2023.2237878</w:t>
      </w:r>
    </w:p>
    <w:p w14:paraId="18CEC4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Marano V, Arregle J-L, Hitt MA, Spadafora E, van Essen M (2016) Home country institutions and the internationalization-performance relationship. J. Manag. 42:1075–1110. https://doi.org/10.1177/0149206315624963</w:t>
      </w:r>
    </w:p>
    <w:p w14:paraId="4F4499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Mariscal A (2021) Global ownership patterns. J. Econ. Dyn. Control 131:104213. https://doi.org/10.1016/j.jedc.2021.104213</w:t>
      </w:r>
    </w:p>
    <w:p w14:paraId="15B5BE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Marra A, Pettinicchio A, Shalev R (2024) Home sweet home: CEOs acquiring firms in their birth countries. J. Account. Res. 62:1363–1404. https://doi.org/10.1111/1475-679X.12533</w:t>
      </w:r>
    </w:p>
    <w:p w14:paraId="785BE1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Martynova M, Renneboog L (2008) Spillover of corporate governance standards in cross-border mergers and acquisitions. J. Corp. Finance 14:200–223. https://doi.org/10.1016/j.jcorpfin.2008.03.004</w:t>
      </w:r>
    </w:p>
    <w:p w14:paraId="77DBEB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Martynova M, Renneboog L (2011) The performance of the European market for corporate control: Evidence from the fifth takeover wave. Eur. Financ. Manag. 17:208–259. https://doi.org/10.1111/j.1468-036X.2009.00497.x</w:t>
      </w:r>
    </w:p>
    <w:p w14:paraId="4AE466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McCarthy KJ, Aalbers HL (2016) Technological acquisitions: The impact of geography on post-acquisition innovative performance. Res. Policy 45:1818–1832. https://doi.org/10.1016/j.respol.2016.05.012</w:t>
      </w:r>
    </w:p>
    <w:p w14:paraId="374F7AAF" w14:textId="553BF353" w:rsidR="00F13D1B"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Meng Y, Sutton NK (2017) Is the grass on the other side greener? Testing the cross-border effect for U.S. acquirers. Rev. Quant. Finance Account. 48:917–937. https://doi.org/10.1007/s11156-016-0573-1</w:t>
      </w:r>
    </w:p>
    <w:p w14:paraId="77F2A478" w14:textId="3D393E26" w:rsidR="00E614F2" w:rsidRPr="00762585" w:rsidRDefault="00E614F2" w:rsidP="00F13D1B">
      <w:pPr>
        <w:spacing w:after="0"/>
        <w:ind w:left="397" w:hanging="397"/>
        <w:rPr>
          <w:rFonts w:ascii="Times New Roman" w:hAnsi="Times New Roman" w:cs="Times New Roman"/>
          <w:lang w:val="en-US"/>
        </w:rPr>
      </w:pPr>
      <w:r w:rsidRPr="00E614F2">
        <w:rPr>
          <w:rFonts w:ascii="Times New Roman" w:hAnsi="Times New Roman" w:cs="Times New Roman"/>
          <w:lang w:val="en-US"/>
        </w:rPr>
        <w:t>Mentz M, Schiereck D (2008) Cross-border mergers and the cross-border effect: The case of the automotive supply industry. Rev. Manag. Sci. 2:199–218. https://doi.org/10.1007/s11846-008-0022-1</w:t>
      </w:r>
    </w:p>
    <w:p w14:paraId="7F225A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Meoli M, Paleari S, Vismara S (2013) Completing the technology transfer process: M&amp;As of science-based IPOs. Small Bus. Econ. 40:227–248. https://doi.org/10.1007/s11187-012-9416-1</w:t>
      </w:r>
    </w:p>
    <w:p w14:paraId="63FE57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Mescall D, Klassen KJ (2018) How does transfer pricing risk affect premiums in cross-border mergers and acquisitions? Contemp. Account. Res. 35:830–865. https://doi.org/10.1111/1911-3846.12397</w:t>
      </w:r>
    </w:p>
    <w:p w14:paraId="2F7648D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CB, Altenborg E (2007) The disintegrating effects of equality: A study of a failed international merger. Br. J. Manag. 18:257–271. https://doi.org/10.1111/j.1467-8551.2006.00502.x</w:t>
      </w:r>
    </w:p>
    <w:p w14:paraId="67D4198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CB, Altenborg E (2008) Incompatible strategies in international mergers: The failed merger between Telia and Telenor. J. Int. Bus. Stud. 39:508–525. https://doi.org/10.1057/palgrave.jibs.8400354</w:t>
      </w:r>
    </w:p>
    <w:p w14:paraId="4EE4DC5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KE, Su Y-S (2015) Integration and responsiveness in subsidiaries in emerging economies. J. World Bus. 50:149–158. https://doi.org/10.1016/j.jwb.2014.04.001</w:t>
      </w:r>
    </w:p>
    <w:p w14:paraId="3CE6A0B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Miao Wang, Wong MCS (2009) What drives economic growth? The case of cross-border M&amp;A and greenfield FDI activities. Kyklos 62:316–330. https://doi.org/10.1111/j.1467-6435.2009.00438.x</w:t>
      </w:r>
    </w:p>
    <w:p w14:paraId="76B090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Miozzo M, DiVito L, Desyllas P (2016) When do acquirers invest in the R&amp;D assets of acquired science-based firms in cross-border acquisitions? The role of technology and capabilities similarity and complementarity. Long Range Plann. 49:221–240. https://doi.org/10.1016/j.lrp.2015.07.002</w:t>
      </w:r>
    </w:p>
    <w:p w14:paraId="6EB2E0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Moeller SB, Schlingemann FP (2005) Global diversification and bidder gains: A comparison between cross-border and domestic acquisitions. J. Bank. Finance 29:533–564. https://doi.org/10.1016/S0378-4266(04)00047-0</w:t>
      </w:r>
    </w:p>
    <w:p w14:paraId="5F485F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Monastyrenko E (2017) Eco-efficiency outcomes of mergers and acquisitions in the European electricity industry. Energy Policy 107:258–277. https://doi.org/10.1016/j.enpol.2017.04.030</w:t>
      </w:r>
    </w:p>
    <w:p w14:paraId="767CFE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Moore F (2021) 'National culture' as an integrating agent in the post-acquisition organisation. Int. J. Hum. Resour. Manag. 32:2783–2806. https://doi.org/10.1080/09585192.2019.1602550</w:t>
      </w:r>
    </w:p>
    <w:p w14:paraId="343062E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Morschett D, Schramm-Klein H, Swoboda B (2010) Decades of research on market entry modes: What do we really know about external antecedents of entry mode choice? J. Int. Manag. 16:60–77. https://doi.org/10.1016/j.intman.2009.09.002</w:t>
      </w:r>
    </w:p>
    <w:p w14:paraId="3F4E64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Moschieri C, Campa JM (2014) New trends in mergers and acquisitions: Idiosyncrasies of the European market. J. Bus. Res. 67:1478–1485. https://doi.org/10.1016/j.jbusres.2013.07.018</w:t>
      </w:r>
    </w:p>
    <w:p w14:paraId="3D67BC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Moschieri C, Ragozzino R, Campa J (2014) Does regional integration change the effects of country-level institutional barriers on M&amp;A? The case of the European Union. Manag. Int. Rev. 54:853–877. https://doi.org/10.1007/s11575-014-0206-7</w:t>
      </w:r>
    </w:p>
    <w:p w14:paraId="4FBDBD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Mtar M (2010) Institutional, industry and power effects on integration in cross-border acquisitions. Organ. Stud. 31:1099–1127. https://doi.org/10.1177/0170840610376147</w:t>
      </w:r>
    </w:p>
    <w:p w14:paraId="3D188E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Mukherjee R, Proebsting C (2021) Acquirers and financial constraints: Theory and evidence from emerging markets. J. Int. Money Finance 117:102440. https://doi.org/10.1016/j.jimonfin.2021.102440</w:t>
      </w:r>
    </w:p>
    <w:p w14:paraId="722A717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Mukherji A, Mukherji J, Dibrell C, Francis JD (2013) Overbidding in cross-border acquisitions: Misperceptions in assessing and valuing knowledge. J. World Bus. 48:39–46. https://doi.org/10.1016/j.jwb.2012.06.005</w:t>
      </w:r>
    </w:p>
    <w:p w14:paraId="615092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Nachum L, Zaheer S, Gross S (2008) Does it matter where countries are? Proximity to knowledge, markets and resources, and MNE location choices. Manag. Sci. 54:1252–1265. https://doi.org/10.1287/mnsc.1080.0865</w:t>
      </w:r>
    </w:p>
    <w:p w14:paraId="6B08FE9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Nadolska A, Barkema HG (2007) Learning to internationalise: The pace and success of foreign acquisitions. J. Int. Bus. Stud. 38:1170–1186. https://doi.org/10.1057/palgrave.jibs.8400318</w:t>
      </w:r>
    </w:p>
    <w:p w14:paraId="531CD6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Nguyen Q (2017) Multinationality and performance literature: A critical review and future research agenda. Manag. Int. Rev. 57:311–347. https://doi.org/10.1007/s11575-016-0290-y</w:t>
      </w:r>
    </w:p>
    <w:p w14:paraId="14507F9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Nicholson RR, Salaber J (2013) The motives and performance of cross-border acquirers from emerging economies: Comparison between Chinese and Indian firms. Int. Bus. Rev. 22:963–980. https://doi.org/10.1016/j.ibusrev.2013.02.003</w:t>
      </w:r>
    </w:p>
    <w:p w14:paraId="6F3BB3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Ning LT, Kuo JM, Strange R, Wang B (2014) International investors' reactions to cross-border acquisitions by emerging market multinationals. Int. Bus. Rev. 23:811–823. https://doi.org/10.1016/j.ibusrev.2013.12.003</w:t>
      </w:r>
    </w:p>
    <w:p w14:paraId="606201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Noseleit F, Estrada I, McCarthy K (2024) Which partners become targets? The role of location in partner acquisitions. Long Range Plann. 57:102387. https://doi.org/10.1016/j.lrp.2023.102387</w:t>
      </w:r>
    </w:p>
    <w:p w14:paraId="2AE825E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Oehmichen J, Firk S, Wolff M, Haas V (2022) Board experience and value creation in cross-border acquisitions: The role of acquirer and target country institutions. Int. Bus. Rev. 31:101966. https://doi.org/10.1016/j.ibusrev.2021.101966</w:t>
      </w:r>
    </w:p>
    <w:p w14:paraId="27026AF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Okoshi H (2024) Attractive target for tax avoidance: Trade liberalization and entry mode. Int. Tax Public Finance. https://doi.org/10.1007/s10797-024-09830-3</w:t>
      </w:r>
    </w:p>
    <w:p w14:paraId="22CDE5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Olcott G (2008) The politics of institutionalization: The impact of foreign ownership and control on Japanese organizations. Int. J. Hum. Resour. Manag. 19:1569–1587. https://doi.org/10.1080/09585190802294846</w:t>
      </w:r>
    </w:p>
    <w:p w14:paraId="4FE208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Orefice G, Sly N, Toubal F (2021) Cross-border merger and acquisition activity and wage dynamics. Ind. Labor Relat. Rev. 74:131–162. https://doi.org/10.1177/0019793919839031</w:t>
      </w:r>
    </w:p>
    <w:p w14:paraId="2D7752F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Osuji J, Torres de Oliveira R, Tupper C (2024) Escaping the stigma of firm operations in emerging markets: Are you willing to pay the price? J. Bus. Res. 180:114714. https://doi.org/10.1016/j.jbusres.2024.114714</w:t>
      </w:r>
    </w:p>
    <w:p w14:paraId="55B5DE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Otchere I, Oldford E (2018) Cross-border acquisitions and host country competitiveness. J. Bus. Finance Account. 45:1260–1292. https://doi.org/10.1111/jbfa.12342</w:t>
      </w:r>
    </w:p>
    <w:p w14:paraId="3D2718B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Otto F, Sampaio JO, Silva V (2021) Domestic and cross-border effect of acquisition announcements: A short-term study for developed and emerging countries. Fin. Res. Lett. 38:101501. https://doi.org/10.1016/j.frl.2020.101501</w:t>
      </w:r>
    </w:p>
    <w:p w14:paraId="1FEB1F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Ovin R, Macek A (2010) How beneficial are inward C-B M&amp;A for European countries? Eur. J. Int. Manag. 4:488–505. https://doi.org/10.1504/EJIM.2010.034963</w:t>
      </w:r>
    </w:p>
    <w:p w14:paraId="1A3201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Owen S, Yawson A (2010) Human development and cross-border acquisitions. J. Empir. Finance 17:689–701. https://doi.org/10.1016/j.jempfin.2010.03.004</w:t>
      </w:r>
    </w:p>
    <w:p w14:paraId="0B6DAF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Øyna S, Almor T, Elango B, Tarba SY (2018) Maturing born globals and their acquisitive behaviour. Int. Bus. Rev. 27:714–725. https://doi.org/10.1016/j.ibusrev.2017.12.002</w:t>
      </w:r>
    </w:p>
    <w:p w14:paraId="0A0119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Pablo E (2009) Determinants of cross-border M&amp;As in Latin America. J. Bus. Res. 62:861–867. https://doi.org/10.1016/j.jbusres.2008.10.004</w:t>
      </w:r>
    </w:p>
    <w:p w14:paraId="673027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Pablo E (2013) Cross-border diversification through M&amp;As in Latin America. J. Bus. Res. 66:425–430. https://doi.org/10.1016/j.jbusres.2012.04.009</w:t>
      </w:r>
    </w:p>
    <w:p w14:paraId="3D58A9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Paik YS, Belcher JS (2012) Key HRM strategies for M&amp;A integration in the global banking industry: A comparative study of the USA, Europe and South America. Eur. J. Int. Manag. 6:676–696. https://doi.org/10.1504/EJIM.2012.050422</w:t>
      </w:r>
    </w:p>
    <w:p w14:paraId="0D72F3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Palm M, Kraft PS, Kammerlander N (2024) Family firms, M&amp;A strategies, and M&amp;A performance: A meta-analysis. J. Manag. 50:2818–2849. https://doi.org/10.1177/01492063231178027</w:t>
      </w:r>
    </w:p>
    <w:p w14:paraId="0DFAD77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Pandey VK, Sutton NK, Steigner T (2021) Learning in serial mergers: Evidence from a global sample. J. Bus. Finance Account. 48:1747–1796. https://doi.org/10.1111/jbfa.12548</w:t>
      </w:r>
    </w:p>
    <w:p w14:paraId="6B27C83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Parada P, Alemany L, Planellas M (2009) The internationalisation of retail banking: Banco Santander's journey towards globalisation. Long Range Plann. 42:654–677. https://doi.org/10.1016/j.lrp.2009.09.006</w:t>
      </w:r>
    </w:p>
    <w:p w14:paraId="7039C3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Park BI, Choi J (2014) Control mechanisms of MNEs and absorption of foreign technology in cross-border acquisitions. Int. Bus. Rev. 23:130–144. https://doi.org/10.1016/j.ibusrev.2013.03.004</w:t>
      </w:r>
    </w:p>
    <w:p w14:paraId="73032D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Park KM, Meglio O (2019) Playing a double game? Pursuing innovation through ambidexterity in an international acquisition program from the Arabian Gulf Region. R&amp;D Manag. 49:115–135. https://doi.org/10.1111/radm.12361</w:t>
      </w:r>
    </w:p>
    <w:p w14:paraId="5BEE142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Paustian-Underdahl SC, Fainshmidt S, Sanchez JI, Misati E, Zhao Y, Zhang H (2017) The role of economic development and perceived growth opportunities in employee reactions to M&amp;As: A study of the merger syndrome across 29 countries. Group Organ. Manag. 42:163–194. https://doi.org/10.1177/1059601117696674</w:t>
      </w:r>
    </w:p>
    <w:p w14:paraId="5788F28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Pereira V, Temouri Y, Budhwar P, Tarba S (2021) Cross-border acquisition performance of emerging market multinational enterprises: The moderating role of state-ownership and acquisition experience. Long Range Plann. 54:102107. https://doi.org/10.1016/j.lrp.2021.102107</w:t>
      </w:r>
    </w:p>
    <w:p w14:paraId="3BCC8892"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Picone PM, Pisano V, Dagnino GB (2021) The bright and dark sides of CEO hubris: Assessing cultural distance in international business. </w:t>
      </w:r>
      <w:r w:rsidRPr="00F13D1B">
        <w:rPr>
          <w:rFonts w:ascii="Times New Roman" w:hAnsi="Times New Roman" w:cs="Times New Roman"/>
        </w:rPr>
        <w:t>Eur. Manag. Rev. 18:343–362. https://doi.org/10.1111/emre.12479</w:t>
      </w:r>
    </w:p>
    <w:p w14:paraId="30A021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Piekkari R, Vaara E, Tienari J, Säntti R (2005) Integration or </w:t>
      </w:r>
      <w:proofErr w:type="gramStart"/>
      <w:r w:rsidRPr="00762585">
        <w:rPr>
          <w:rFonts w:ascii="Times New Roman" w:hAnsi="Times New Roman" w:cs="Times New Roman"/>
          <w:lang w:val="en-US"/>
        </w:rPr>
        <w:t>disintegration?:</w:t>
      </w:r>
      <w:proofErr w:type="gramEnd"/>
      <w:r w:rsidRPr="00762585">
        <w:rPr>
          <w:rFonts w:ascii="Times New Roman" w:hAnsi="Times New Roman" w:cs="Times New Roman"/>
          <w:lang w:val="en-US"/>
        </w:rPr>
        <w:t xml:space="preserve"> Human resource implications of a common corporate language decision in a cross-border merger. Int. J. Hum. Resour. Manag. 16:330–344. https://doi.org/10.1080/0958519042000339534</w:t>
      </w:r>
    </w:p>
    <w:p w14:paraId="0A4464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Pinto CF, Ferreira MP, Falaster C, Fleury MTL, Fleury A (2017) Ownership in cross-border acquisitions and the role of government support. J. World Bus. 52:533–545. https://doi.org/10.1016/j.jwb.2016.08.004</w:t>
      </w:r>
    </w:p>
    <w:p w14:paraId="7CE215D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Pioch E (2007) 'Business as usual? ' Retail employee perceptions of organizational life following cross-border acquisition. Int. J. Hum. Resour. Manag. 18:209–231. https://doi.org/10.1080/09585190601102364</w:t>
      </w:r>
    </w:p>
    <w:p w14:paraId="086CEF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Ahsan FM (2024) Springboarding and activity load: Constraints on managerial attention and dependency on advisory firms in cross-border acquisitions. J. Int. Manag. 30:101121. https://doi.org/10.1016/j.intman.2024.101121</w:t>
      </w:r>
    </w:p>
    <w:p w14:paraId="562F36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Akbar M, Kumar V, Gaur A (2016) Reconceptualizing cultural distance: The role of cultural experience reserve in cross-border acquisitions. J. World Bus. 51:404–412. https://doi.org/10.1016/j.jwb.2015.11.003</w:t>
      </w:r>
    </w:p>
    <w:p w14:paraId="6C5C58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Ladkani RM, Gaur AS (2017) Business group affiliation and post-acquisition performance: An extended resource-based view. J. Bus. Res. 81:21–30. https://doi.org/10.1016/j.jbusres.2017.08.003</w:t>
      </w:r>
    </w:p>
    <w:p w14:paraId="2DB93E5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Powell R, Prendergast S, Sharma R (2022) The impact of economic nationalism in Europe on the returns to rivals of cross-border M&amp;A bids. J. Bus. Finance Account. 49:1784–1829. https://doi.org/10.1111/jbfa.12598</w:t>
      </w:r>
    </w:p>
    <w:p w14:paraId="369A5DD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Power GJ, Rani N, Mandal A (2022) Corporate control and the choice of investment financing: The case of corporate acquisitions in India. Rev. Quant. Finance Account. 58:41–68. https://doi.org/10.1007/s11156-021-00987-0</w:t>
      </w:r>
    </w:p>
    <w:p w14:paraId="5B0FA6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Prettl A, Hagen D von (2023) Multinational ownership patterns and anti-tax avoidance legislation. Int. Tax Public Finance 30:565–634. https://doi.org/10.1007/s10797-021-09719-5</w:t>
      </w:r>
    </w:p>
    <w:p w14:paraId="0268C8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Qiu Y, Zhou C, Jiang CS, Tang B, Li M (2024) M&amp;As and the value chain of host countries in the "belt and road"—Based on path test of technological innovation. Technol. Forecast. Soc. Change 204:123413. https://doi.org/10.1016/j.techfore.2024.123413</w:t>
      </w:r>
    </w:p>
    <w:p w14:paraId="08E950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Quah P, Young S (2005) Post-acquisition management: A phases approach for cross-border M&amp;As. Eur. Manag. J. 23:65–75. https://doi.org/10.1016/j.emj.2004.12.010</w:t>
      </w:r>
    </w:p>
    <w:p w14:paraId="79B8886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Rabbiosi L, Elia S, Bertoni F (2012) Acquisitions by EMNCs in developed markets. Manag. Int. Rev. 52:193–212. https://doi.org/10.1007/s11575-012-0134-3</w:t>
      </w:r>
    </w:p>
    <w:p w14:paraId="3756EB5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Raff H, Ryan M, Stähler F (2012) Firm productivity and the foreign-market entry decision. J. Econ. Manag. Strategy 21:849–871. https://doi.org/10.1111/j.1530-9134.2012.00346.x</w:t>
      </w:r>
    </w:p>
    <w:p w14:paraId="1C8F88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Ragozzino R (2009) The effects of geographic distance on the foreign acquisition activity of U.S. firms. Manag. Int. Rev. 49:509–535. https://doi.org/10.1007/s11575-009-0006-7</w:t>
      </w:r>
    </w:p>
    <w:p w14:paraId="497768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Rajamani A, van der Poel M, Jong A de, Ongena S (2017) The international diversification of banks and the value of their cross-border M&amp;A advice. Manag. Sci. 63:2211–2232. https://doi.org/10.1287/mnsc.2015.2396</w:t>
      </w:r>
    </w:p>
    <w:p w14:paraId="04DF0C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(2017) Standardization versus adaptation of global marketing strategies in emerging market cross-border acquisitions. Int. Mark. Rev. 34:138–158. https://doi.org/10.1108/IMR-12-2015-0292</w:t>
      </w:r>
    </w:p>
    <w:p w14:paraId="7BDDD59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Akhtar P, Tarba SY (2020) The contingent role of distributed leadership in the relationship between HR practices and organizational ambidexterity in the cross-border M&amp;As of emerging market multinationals. Int. J. Hum. Resour. Manag. 31:232–253. https://doi.org/10.1080/09585192.2016.1216882</w:t>
      </w:r>
    </w:p>
    <w:p w14:paraId="0858DD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Akhtar P, Merchant H (2016a) The impact of leadership on organizational ambidexterity and employee psychological safety in the global acquisitions of emerging market multinationals. Int. J. Hum. Resour. Manag. 27:2461–2487. https://doi.org/10.1080/09585192.2016.1204557</w:t>
      </w:r>
    </w:p>
    <w:p w14:paraId="5428D1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Stokes P (2016b) Making great minds think alike: Emerging market multinational firms' leadership effects on targets' employee psychological safety after cross-border mergers and acquisitions. Int. Bus. Rev. 25:103–113. https://doi.org/10.1016/j.ibusrev.2015.09.007</w:t>
      </w:r>
    </w:p>
    <w:p w14:paraId="3CE895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Rashid R, Badir YF, Tariq A, Afsar B (2022) The role of product lines in determining the degree and speed of integration: Evidence from the pharmaceutical MNCs in cross-border acquisitions. Eur. J. Int. Manag. 17:27. https://doi.org/10.1504/EJIM.2022.119783</w:t>
      </w:r>
    </w:p>
    <w:p w14:paraId="41C878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Reddy RK, Fabian F (2020) Information asymmetry and host country institutions in cross-border acquisitions. Manag. Int. Rev. 60:909–938. https://doi.org/10.1007/s11575-020-00431-w</w:t>
      </w:r>
    </w:p>
    <w:p w14:paraId="42CA411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Rees C, Edwards T (2009) Management strategy and HR in international mergers: Choice, constraint and pragmatism. Hum. Resour. Manag. J. 19:24–39. https://doi.org/10.1111/j.1748-8583.2008.00087.x</w:t>
      </w:r>
    </w:p>
    <w:p w14:paraId="642FEAB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Renneboog L, Szilagyi PG, Vansteenkiste C (2017) Creditor rights, claims enforcement, and bond performance in mergers and acquisitions. J. Int. Bus. Stud. 48:174–194. https://doi.org/10.1057/s41267-016-0031-2</w:t>
      </w:r>
    </w:p>
    <w:p w14:paraId="1D4B72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Reuer JJ, Shenkar O, Ragozzino R (2004) Mitigating risk in international mergers and acquisitions: The role of contingent payouts. J. Int. Bus. Stud. 35:19–32. https://doi.org/10.1057/palgrave.jibs.8400053</w:t>
      </w:r>
    </w:p>
    <w:p w14:paraId="726AD4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(2012) Culture's consequences for emotional attending during cross-border acquisition implementation. J. World Bus. 47:342–351. https://doi.org/10.1016/j.jwb.2011.05.002</w:t>
      </w:r>
    </w:p>
    <w:p w14:paraId="07781D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Lamont BT, Ellis KM (2016) A darker side of knowledge transfer following international acquisitions. Strategic Manag. J. 37:932–944. https://doi.org/10.1002/smj.2373</w:t>
      </w:r>
    </w:p>
    <w:p w14:paraId="2615A1E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Lamont BT (2009) The double-edged sword of cultural distance in international acquisitions. J. Int. Bus. Stud. 40:1298–1316. https://doi.org/10.1057/jibs.2009.25</w:t>
      </w:r>
    </w:p>
    <w:p w14:paraId="26F0CA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Reynolds NS, Teerikangas S (2016) The international experience in domestic mergers—Are purely domestic M&amp;A a myth? Int. Bus. Rev. 25:42–50. https://doi.org/10.1016/j.ibusrev.2015.07.002</w:t>
      </w:r>
    </w:p>
    <w:p w14:paraId="7E9271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Rossi S, Volpin PF (2004) Cross-country determinants of mergers and acquisitions. J. Financ. Econ. 74:277–304. https://doi.org/10.1016/j.jfineco.2003.10.001</w:t>
      </w:r>
    </w:p>
    <w:p w14:paraId="530E3E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Roy A, Bagchi A (2011) Optimal patent policy with endogenous cross-border acquisitions. Econ. Innov. New Technol. 20:259–282. https://doi.org/10.1080/10438590903526201</w:t>
      </w:r>
    </w:p>
    <w:p w14:paraId="649290D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Rui HC, Yip GS (2008) Foreign acquisitions by Chinese firms: A strategic intent perspective. J. World Bus. 43:213–226. https://doi.org/10.1016/j.jwb.2007.11.006</w:t>
      </w:r>
    </w:p>
    <w:p w14:paraId="65CADB9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Santangelo GD, Stucchi T (2018) Internationalization through exaptation: The role of domestic geographical dispersion in the internationalization process. J. Int. Bus. Stud. 49:753–760. https://doi.org/10.1057/s41267-018-0151-y</w:t>
      </w:r>
    </w:p>
    <w:p w14:paraId="32575A7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(2010) The impact of cultural differences and acculturation factors on post-acquisition conflict. Scand. J. Manag. 26:38–56. https://doi.org/10.1016/j.scaman.2009.07.001</w:t>
      </w:r>
    </w:p>
    <w:p w14:paraId="5C3677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Vaara E, Junni P (2019) Beyond merger syndrome and cultural differences: New avenues for research on the "human side" of global mergers and acquisitions (M&amp;As). J. World Bus. 54:307–321. https://doi.org/10.1016/j.jwb.2017.10.001</w:t>
      </w:r>
    </w:p>
    <w:p w14:paraId="30A379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Vaara E (2010) Cultural differences, convergence, and crossvergence as explanations of knowledge transfer in international acquisitions. J. Int. Bus. Stud. 41:1365–1390. https://doi.org/10.1057/jibs.2009.89</w:t>
      </w:r>
    </w:p>
    <w:p w14:paraId="0A8336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Schiffbauer M, Siedschlag I, Ruane F (2017) Do foreign mergers and acquisitions boost firm productivity? Int. Bus. Rev. 26:1124–1140. https://doi.org/10.1016/j.ibusrev.2017.04.003</w:t>
      </w:r>
    </w:p>
    <w:p w14:paraId="66D4BE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Schoenberg R (2006) Measuring the performance of corporate acquisitions: An empirical comparison of alternative metrics. Br. J. Manag. 17:361–370. https://doi.org/10.1111/j.1467-8551.2006.00488.x</w:t>
      </w:r>
    </w:p>
    <w:p w14:paraId="0AA863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Schweizer D, Walker T, Zhang AR (2019) Cross-border acquisitions acquisitions by Chinese enterprises: The benefits and disadvantages of political connections. J. Corp. Finance 57:63–85. https://doi.org/10.1016/j.jcorpfin.2017.12.023</w:t>
      </w:r>
    </w:p>
    <w:p w14:paraId="790EC1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Shen HY, Liang Y, Li HW, Liu J, Lu GX (2021) Does geopolitical risk promote mergers and acquisitions of listed companies in energy and electric power industries. Energy Econ. 95:105115. https://doi.org/10.1016/j.eneco.2021.105115</w:t>
      </w:r>
    </w:p>
    <w:p w14:paraId="4614121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 XW, Sutherland D, Williams C, Rong K (2021) Chinese MNE acquisition of unrelated foreign businesses: The role of diversified business group affiliation, private ownership and strategic asset seeking. J. Bus. Res. 129:145–156. https://doi.org/10.1016/j.jbusres.2021.02.036</w:t>
      </w:r>
    </w:p>
    <w:p w14:paraId="0B07B7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Shimizu K, Hitt MA, Vaidyanath D, Pisano V (2004) Theoretical foundations of cross-border mergers and acquisitions: A review of current research and recommendations for the future. J. Int. Manag. 10:307–353. https://doi.org/10.1016/j.intman.2004.05.005</w:t>
      </w:r>
    </w:p>
    <w:p w14:paraId="421A88D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Shirasu Y (2018) Long-term strategic effects of mergers and acquisitions in Asia-Pacific banks. Fin. Res. Lett. 24:199–220. https://doi.org/10.1016/j.frl.2017.07.003</w:t>
      </w:r>
    </w:p>
    <w:p w14:paraId="0EFFDB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Singla C (2019) Antecedents of inbound and outbound M&amp;A: Industry-level analysis from India. Manag. Int. Rev. 59:703–739. https://doi.org/10.1007/s11575-019-00398-3</w:t>
      </w:r>
    </w:p>
    <w:p w14:paraId="088ADC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Jedin MH, Sinkovics N (2014) Marketing integration in cross-border mergers and acquisitions: Conceptual framework and research propositions. Eur. J. Int. Manag. 8:644–670. https://doi.org/10.1504/EJIM.2014.064899</w:t>
      </w:r>
    </w:p>
    <w:p w14:paraId="5239E1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Sinkovics N, Lew YK, Jedin MH, Zagelmeyer S (2015) Antecedents of marketing integration in cross-border mergers and acquisitions evidence from Malaysia and Indonesia. Int. Mark. Rev. 32:2–28. https://doi.org/10.1108/IMR-07-2014-0211</w:t>
      </w:r>
    </w:p>
    <w:p w14:paraId="118B1FD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Zagelmeyer S, Kusstatscher V (2011) Between merger and syndrome: The intermediary role of emotions in four cross-border M&amp;As. Int. Bus. Rev. 20:27–47. https://doi.org/10.1016/j.ibusrev.2010.05.002</w:t>
      </w:r>
    </w:p>
    <w:p w14:paraId="215263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(2006) National cultural distance and initial foreign acquisition performance: The moderating effect of integration. J. World Bus. 41:161–170. https://doi.org/10.1016/j.jwb.2006.01.003</w:t>
      </w:r>
    </w:p>
    <w:p w14:paraId="70C906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(2011) A communication-based theory of the choice between greenfield and acquisition entry. J. Manag. Stud. 48:1699–1726. https://doi.org/10.1111/j.1467-6486.2011.01013.x</w:t>
      </w:r>
    </w:p>
    <w:p w14:paraId="6AFFC9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(2013) Greenfield or acquisition entry? The roles of policy uncertainty and MNE legitimacy in host countries. Global Strat. J. 3:262–280. https://doi.org/10.1111/j.2042-5805.2013.01056.x</w:t>
      </w:r>
    </w:p>
    <w:p w14:paraId="71EB313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(2007) Greenfield or acquisition entry: A review of the empirical foreign establishment mode literature. J. Int. Manag. 13:403–429. https://doi.org/10.1016/j.intman.2007.08.001</w:t>
      </w:r>
    </w:p>
    <w:p w14:paraId="66CB4DC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(2008a) Do foreign greenfields outperform foreign acquisitions or vice versa? An institutional perspective. J. Manag. Stud. 45:1301–1328. https://doi.org/10.1111/j.1467-6486.2008.00794.x</w:t>
      </w:r>
    </w:p>
    <w:p w14:paraId="207322C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(2008b) Do multinationals really prefer to enter culturally distant countries through greenfields rather than through acquisitions? The role of parent experience and subsidiary autonomy. J. Int. Bus. Stud. 39:472–490. https://doi.org/10.1057/palgrave.jibs.8400356</w:t>
      </w:r>
    </w:p>
    <w:p w14:paraId="7C093C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Søderberg A-M (2006) Narrative interviewing and narrative analysis in a study of a cross-border merger. Manag. Int. Rev. 46:397–416. https://doi.org/10.1007/s11575-006-0098-2</w:t>
      </w:r>
    </w:p>
    <w:p w14:paraId="095194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Srinivasan S (2020) Foreign competition and acquisitions. J. Corp. Finance 60:101484. https://doi.org/10.1016/j.jcorpfin.2019.07.007</w:t>
      </w:r>
    </w:p>
    <w:p w14:paraId="19C6E48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Stahl GK, Chua CH, Pablo AL (2012) Does national context affect target firm employees' trust in acquisitions? Manag. Int. Rev. 52:395–423. https://doi.org/10.1007/s11575-011-0099-7</w:t>
      </w:r>
    </w:p>
    <w:p w14:paraId="7E39D74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Stahl GK, Voigt A (2008) Do cultural differences matter in mergers and acquisitions? A tentative model and examination. Organ. Sci. 19:160–176. https://doi.org/10.1287/orsc.1070.0270</w:t>
      </w:r>
    </w:p>
    <w:p w14:paraId="0C0476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Steigenberger N (2017) The challenge of integration: A review of the M&amp;A integration literature. Int. J. Manag. Rev. 19:408–431. https://doi.org/10.1111/ijmr.12099</w:t>
      </w:r>
    </w:p>
    <w:p w14:paraId="22360C1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Steigner T, Sutton NK (2011) How does national culture impact internalization benefits in cross-border mergers and acquisitions? Fin. Rev. 46:103–125. https://doi.org/10.1111/j.1540-6288.2010.00292.x</w:t>
      </w:r>
    </w:p>
    <w:p w14:paraId="0E7A983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Stiebale J (2013) The impact of cross-border mergers and acquisitions on the acquirers' R&amp;D—Firm-level evidence. Int. J. Ind. Organ. 31:307–321. https://doi.org/10.1016/j.ijindorg.2013.04.005</w:t>
      </w:r>
    </w:p>
    <w:p w14:paraId="102F13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Stiebale J, Reize F (2011) The impact of FDI through mergers and acquisitions on innovation in target firms. Int. J. Ind. Organ. 29:155–167. https://doi.org/10.1016/j.ijindorg.2010.06.003</w:t>
      </w:r>
    </w:p>
    <w:p w14:paraId="79076B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Strobl A, Bauer F, Matzler K (2020) The impact of industry-wide and target market environmental hostility on entrepreneurial leadership in mergers and acquisitions. J. World Bus. 55:100931. https://doi.org/10.1016/j.jwb.2018.03.002</w:t>
      </w:r>
    </w:p>
    <w:p w14:paraId="2CB0D9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Stucchi T (2012) Emerging market firms' acquisitions in advanced markets: Matching strategy with resource-, institution- and industry-based antecedents. Eur. Manag. J. 30:278–289. https://doi.org/10.1016/j.emj.2012.03.011</w:t>
      </w:r>
    </w:p>
    <w:p w14:paraId="17908C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 L (2023) The real options value of open innovation through cross-border mergers and acquisitions: Evidence from publicly listed firms in China. Int. J. Innov. Manag. 27. https://doi.org/10.1142/S1363919623500494</w:t>
      </w:r>
    </w:p>
    <w:p w14:paraId="1F5798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Sun SL, Peng MW, Ren B, Yan DY (2012) A comparative ownership advantage framework for cross-border M&amp;As: The rise of Chinese and Indian MNEs. J. World Bus. 47:4–16. https://doi.org/10.1016/j.jwb.2010.10.015</w:t>
      </w:r>
    </w:p>
    <w:p w14:paraId="7E729E1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Sun SL, Ko YJ (2023) The zone of conformity: A comparison of private and state-controlled enterprises in M&amp;As. Manag. Int. Rev. 63:247–284. https://doi.org/10.1007/s11575-023-00501-9</w:t>
      </w:r>
    </w:p>
    <w:p w14:paraId="0E28D7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Tan D (2009) Foreign market entry strategies and post-entry growth: Acquisitions vs greenfield investments. J. Int. Bus. Stud. 40:1046–1063. https://doi.org/10.1057/jibs.2009.1</w:t>
      </w:r>
    </w:p>
    <w:p w14:paraId="4FD060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Tang L, Zhao M (2023) Light-touch integration: A study on cross-border acquisitions by emerging market multinationals. Strategic Manag. J. 44:2688–2723. https://doi.org/10.1002/smj.3508</w:t>
      </w:r>
    </w:p>
    <w:p w14:paraId="080B46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Tao F, Liu XH, Gao L, Xia EJ (2017) Do cross-border mergers and acquisitions increase short-term market performance? The case of Chinese firms. Int. Bus. Rev. 26:189–202. https://doi.org/10.1016/j.ibusrev.2016.06.006</w:t>
      </w:r>
    </w:p>
    <w:p w14:paraId="33A56F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Tardios JA, Clegg LJ (2024) Outbound profit shifting and the propensity to engage in cross-border acquisitions. Br. J. Manag.:1–24. https://doi.org/10.1111/1467-8551.12825</w:t>
      </w:r>
    </w:p>
    <w:p w14:paraId="6CA77C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Tarsalewska M (2021) Ownership and cross-border patent sales in M&amp;A transactions. Fin. Res. Lett. 40:101677. https://doi.org/10.1016/j.frl.2020.101677</w:t>
      </w:r>
    </w:p>
    <w:p w14:paraId="707046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(2012) Dynamics of acquired firm pre-acquisition employee reactions. J. Manag. 38:599–639. https://doi.org/10.1177/0149206310383908</w:t>
      </w:r>
    </w:p>
    <w:p w14:paraId="1E502A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Thanos IC (2018) Looking into the 'black box'—Unlocking the effect of integration on acquisition performance. Eur. Manag. J. 36:366–380. https://doi.org/10.1016/j.emj.2017.06.002</w:t>
      </w:r>
    </w:p>
    <w:p w14:paraId="048D8D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Very P (2006) The culture–performance relationship in M&amp;A: From yes/no to how. Br. J. Manag. 17:31-48. https://doi.org/10.1111/j.1467-8551.2006.00477.x</w:t>
      </w:r>
    </w:p>
    <w:p w14:paraId="4588375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Thakur-Wernz P, Cantwell J, Samant S (2019) Impact of international entry choices on the nature and type of innovation: Evidence from emerging economy firms from the Indian bio-pharmaceutical industry. Int. Bus. Rev. 28:101601. https://doi.org/10.1016/j.ibusrev.2019.101601</w:t>
      </w:r>
    </w:p>
    <w:p w14:paraId="15BFFF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Tian AY, Ahammad MF, Tarba SY, Pereira V, Arslan A, Khan Z (2021) Investigating employee and organizational performance in a cross‐border acquisition—A case of withdrawal behavior. Hum. Resour. Manag. 60:753–769. https://doi.org/10.1002/hrm.22058</w:t>
      </w:r>
    </w:p>
    <w:p w14:paraId="01BC13E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Tienari J, Søderberg A-M, Holgersson C, Vaara E (2005) Gender and national identity constructions in the cross-border merger context. Gend. Work Organ. 12:217–241. https://doi.org/10.1111/j.1468-0432.2005.00271.x</w:t>
      </w:r>
    </w:p>
    <w:p w14:paraId="2755320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Tsang E, Yip P (2007) Economic distance and the survival of foreign direct investments. Acad. Manag. J. 50:1156–1168. https://doi.org/10.2307/20159917</w:t>
      </w:r>
    </w:p>
    <w:p w14:paraId="0A6E1D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Tsui-Auch LS, Chow D (2019) MNEs' agency within institutional contexts: A study of Walmart's post-acquisition practices in Mexico, Germany, and Japan. J. Int. Manag. 25. https://doi.org/10.1016/j.intman.2018.11.001</w:t>
      </w:r>
    </w:p>
    <w:p w14:paraId="3D6CB7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Tunyi AA, Ntim CG (2016) Location advantages, governance quality, stock market development and firm characteristics as antecedents of African M&amp;As. J. Int. Manag. 22:147–167. https://doi.org/10.1016/j.intman.2016.01.005</w:t>
      </w:r>
    </w:p>
    <w:p w14:paraId="0ED699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Uddin M, Boateng A (2011) Explaining the trends in the UK cross-border mergers 82 acquisitions: An analysis of macro-economic factors. Int. Bus. Rev. 20:547–556. https://doi.org/10.1016/j.ibusrev.2010.11.003</w:t>
      </w:r>
    </w:p>
    <w:p w14:paraId="59CB221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Umber MP, Grote MH, Frey R (2014) Same as it ever was? Europe's national borders and the market for corporate control. J. Int. Money Finance 40:109–127. https://doi.org/10.1016/j.jimonfin.2013.09.002</w:t>
      </w:r>
    </w:p>
    <w:p w14:paraId="60E759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Useche D, Miguelez E, Lissoni F (2020) Highly skilled and well connected: Migrant inventors in cross-border M&amp;As. J. Int. Bus. Stud. 51:737–763. https://doi.org/10.1057/s41267-018-0203-3</w:t>
      </w:r>
    </w:p>
    <w:p w14:paraId="264EE30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Utesch-Xiong F, Leymann G, Lundan SM (2024) More policy is not always effective policy: How policy coherence affects firm internationalization. Int. Bus. Rev. 33:102082. https://doi.org/10.1016/j.ibusrev.2022.102082</w:t>
      </w:r>
    </w:p>
    <w:p w14:paraId="3B68E8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Junni P, Sarala RM, Ehrnrooth M, Koveshnikov A (2014) Attributional tendencies in cultural explanations of M&amp;A performance. Strategic Manag. J. 35:1302–1317. https://doi.org/10.1002/smj.2163</w:t>
      </w:r>
    </w:p>
    <w:p w14:paraId="42B5D9B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Sarala R, Stahl GK, Björkman I (2012) The impact of organizational and national cultural differences on social conflict and knowledge transfer in international acquisitions. J. Manag. Stud. 49:1–27. https://doi.org/10.1111/j.1467-6486.2010.00975.x</w:t>
      </w:r>
    </w:p>
    <w:p w14:paraId="556E95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Tienari J (2011) On the narrative construction of multinational corporations: An antenarrative analysis of legitimation and resistance in a cross-border merger. Organ. Sci. 22:370–390. https://doi.org/10.1287/orsc.1100.0593</w:t>
      </w:r>
    </w:p>
    <w:p w14:paraId="0E6857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van Oorschot KE, Nujen BB, Solli-Sæther H, de Mwesiumo (2023) The complexity of post-mergers and acquisitions reorganization: Integration and differentiation. Global Strat. J. 13:673–699. https://doi.org/10.1002/gsj.1454</w:t>
      </w:r>
    </w:p>
    <w:p w14:paraId="53F7C4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Vissa SK, Thenmozhi M (2022) Do home country stability factors matter for domestic and cross border mergers and acquisitions? A case of G19 countries. Fin. Res. Lett. 47:102527. https://doi.org/10.1016/j.frl.2021.102527</w:t>
      </w:r>
    </w:p>
    <w:p w14:paraId="63287E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 C, Sousa CMP, Lengler J, Tan Q (2023) Entry mode choice: A meta-analysis of antecedents and outcomes. Manag. Int. Rev. 63:193–246. https://doi.org/10.1007/s11575-022-00499-6</w:t>
      </w:r>
    </w:p>
    <w:p w14:paraId="2391E61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 KM, Wong KF (2009) Economic impact of political barriers to cross-border acquisitions: An empirical study of CNOOCs unsuccessful takeover of Unocal. J. Corp. Finance 15:447–468. https://doi.org/10.1016/j.jcorpfin.2009.03.004</w:t>
      </w:r>
    </w:p>
    <w:p w14:paraId="2F3579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D, Hain DS, Larimo J, Dao LT (2020) Cultural differences and synergy realization in cross-border acquisitions: The moderating effect of acquisition process. Int. Bus. Rev. 29:1-27. https://doi.org/10.1016/j.ibusrev.2020.101675</w:t>
      </w:r>
    </w:p>
    <w:p w14:paraId="317FCF0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LF, Wang SS (2012) Economic freedom and cross-border venture capital performance. J. Empir. Finance 19:26–50. https://doi.org/10.1016/j.jempfin.2011.10.002</w:t>
      </w:r>
    </w:p>
    <w:p w14:paraId="0F35C1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S, Wei J, Zhao M (2022) Shopping as locals: A study of conduit acquisition by multinational enterprises. J. Int. Bus. Stud. 53:1670–1694. https://doi.org/10.1057/s41267-022-00520-y</w:t>
      </w:r>
    </w:p>
    <w:p w14:paraId="1C584D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Y, Larimo J (2020) Survival of full versus partial acquisitions: The moderating role of firm's internationalization experience, cultural distance, and host country context characteristics. Int. Bus. Rev. 29:101605. https://doi.org/10.1016/j.ibusrev.2019.101605</w:t>
      </w:r>
    </w:p>
    <w:p w14:paraId="02A04A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Y-K (2019) Executive migration and international mergers and acquisitions. Int. Bus. Rev. 28:284–293. https://doi.org/10.1016/j.ibusrev.2018.10.001</w:t>
      </w:r>
    </w:p>
    <w:p w14:paraId="5A5C0D7B" w14:textId="1828824D" w:rsidR="00F13D1B"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Z, Jiang DC, Zhang M (2024) Seeking new location advantages: Analysis of emerging digital cross-border M&amp;As-based on TIMG index. Int. Bus. Rev. 33:102243. https://doi.org/10.1016/j.ibusrev.2023.102243</w:t>
      </w:r>
    </w:p>
    <w:p w14:paraId="651B8DB3" w14:textId="7D3A56E1" w:rsidR="00260FE8" w:rsidRPr="00762585" w:rsidRDefault="00260FE8" w:rsidP="00F13D1B">
      <w:pPr>
        <w:spacing w:after="0"/>
        <w:ind w:left="397" w:hanging="397"/>
        <w:rPr>
          <w:rFonts w:ascii="Times New Roman" w:hAnsi="Times New Roman" w:cs="Times New Roman"/>
          <w:lang w:val="en-US"/>
        </w:rPr>
      </w:pPr>
      <w:r w:rsidRPr="00260FE8">
        <w:rPr>
          <w:rFonts w:ascii="Times New Roman" w:hAnsi="Times New Roman" w:cs="Times New Roman"/>
          <w:lang w:val="en-US"/>
        </w:rPr>
        <w:t>Waqar WT, Ma Y (2024) Acquirers' corporate governance ratings and the likelihood of deal completion: Do stakeholders care about the agency hazards of European cross-border acquirers? Rev. Manag. Sci. 18:2815–2848. https://doi.org/10.1007/s11846-023-00693-2</w:t>
      </w:r>
    </w:p>
    <w:p w14:paraId="187DFF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Wei Z, Nguyen Q (2020) Chinese service multinationals: The degree of internationalization and performance. Manag. Int. Rev. 60:869–908. https://doi.org/10.1007/s11575-020-00434-7</w:t>
      </w:r>
    </w:p>
    <w:p w14:paraId="34B9FE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Weitzel U, Berns S (2006) Cross-border takeovers, corruption, and related aspects of governance. J. Int. Bus. Stud. 37:786–806. https://doi.org/10.1057/palgrave.jibs.8400225</w:t>
      </w:r>
    </w:p>
    <w:p w14:paraId="5E5626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Westbrock B, Muehlfeld K, Weitzel U (2019) Selecting legal advisors in M&amp;As: Organizational learning and the role of multiplicity of mental models. J. Manag. 45:2193–2224. https://doi.org/10.1177/0149206317753292</w:t>
      </w:r>
    </w:p>
    <w:p w14:paraId="2A11D9C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Wong WK (2008) Comparing the fit of the gravity model for different cross-border flows. Econ. Lett. 99:474–477. https://doi.org/10.1016/j.econlet.2007.09.018</w:t>
      </w:r>
    </w:p>
    <w:p w14:paraId="09DC3F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J, Morschett D (2023) M&amp;As by Chinese multinational enterprises in developed economies: Strategic asset seeking and bundling. Eur. J. Int. Manag. 21:460–488. https://doi.org/10.1504/EJIM.2023.133938</w:t>
      </w:r>
    </w:p>
    <w:p w14:paraId="618278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S, Di Fan (2023) Taking two to tango: A comparative nationalism view of cross-border acquisitions. Int. Bus. Rev. 32:102069. https://doi.org/10.1016/j.ibusrev.2022.102069</w:t>
      </w:r>
    </w:p>
    <w:p w14:paraId="654486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X, Wang M, Cui V (2024) Are proactive outbound cross-border mergers and acquisitions effective for firms' R&amp;D? New evidence from emerging market enterprises. J. Int. Manag. 30:101155. https://doi.org/10.1016/j.intman.2024.101155</w:t>
      </w:r>
    </w:p>
    <w:p w14:paraId="10DA80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 J, Ma XF, Tong TW, Li WW (2018) Network information and cross-border M&amp;A activities. Global Strat. J. 8:301–323. https://doi.org/10.1002/gsj.1182</w:t>
      </w:r>
    </w:p>
    <w:p w14:paraId="296F20F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 J (2010) Resource dependence and cross-border constraint-absorption. Manag. Int. Rev. 50:155–183. https://doi.org/10.1007/s11575-010-0030-7</w:t>
      </w:r>
    </w:p>
    <w:p w14:paraId="27500D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Xiao HM, Shi YT, Yang TQ (2022) The impacts of board faultlines on innovation performance in cross-border mergers and acquisitions. Int. J. Innov. Manag. 26. https://doi.org/10.1142/S1363919622500736</w:t>
      </w:r>
    </w:p>
    <w:p w14:paraId="45193D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Xie E, Reddy KS, Liang J (2017) Country-specific determinants of cross-border mergers and acquisitions: A comprehensive review and future research directions. J. World Bus. 52:127–183. https://doi.org/10.1016/j.jwb.2016.12.005</w:t>
      </w:r>
    </w:p>
    <w:p w14:paraId="745BE4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Xie Z, Wang L (2022) Returnee managers as an asset for emerging market multinational enterprises: Chinese cross-border acquisitions (2008–2017). J. World Bus. 57:101270. https://doi.org/10.1016/j.jwb.2021.101270</w:t>
      </w:r>
    </w:p>
    <w:p w14:paraId="04561F8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Xu EQ (2017) Cross-border merger waves. J. Corp. Finance 46:207–231. https://doi.org/10.1016/j.jcorpfin.2017.07.004</w:t>
      </w:r>
    </w:p>
    <w:p w14:paraId="77037AD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Yahiaoui D, Chebbi H, Weber Y (2016) HR practices, context and knowledge transfer in M&amp;A. Int. J. Hum. Resour. Manag. 27:2415–2435. https://doi.org/10.1080/09585192.2016.1226192</w:t>
      </w:r>
    </w:p>
    <w:p w14:paraId="5B8C884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Yang M, Hyland M (2012) Similarity in cross-border mergers and acquisitions: Imitation, uncertainty and experience among Chinese firms, 1985-2006. J. Int. Manag. 18:352–365. https://doi.org/10.1016/j.intman.2012.09.001</w:t>
      </w:r>
    </w:p>
    <w:p w14:paraId="39552DD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Yang P, Huang J, Guan C, Xiao Y (2024) Impact of cross-border mergers and acquisitions on firm innovation performance: From the perspective of dynamic capability theory. Econ. Innov. New Technol. https://doi.org/10.1080/10438599.2024.2350516</w:t>
      </w:r>
    </w:p>
    <w:p w14:paraId="13CD4CD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Yapici N, Hudson BA (2020) Generating a scandal: Non-market activity to stop a cross-border merger and acquisition. J. Int. Manag. 26:100759. https://doi.org/10.1016/j.intman.2020.100759</w:t>
      </w:r>
    </w:p>
    <w:p w14:paraId="460A31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Ye SL, Zhou J, Jiang YW, Liu XM (2023) Managers as the bridge: How cultural friction influences the integration of cross-border mergers and acquisitions. Int. Bus. Rev. 32:102138. https://doi.org/10.1016/j.ibusrev.2023.102138</w:t>
      </w:r>
    </w:p>
    <w:p w14:paraId="10204B3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(2014) Not all differences are the same: Dual roles of status and cultural distance in sociocultural integration in cross-border M&amp;As. J. Int. Manag. 20:25–37. https://doi.org/10.1016/j.intman.2013.03.014</w:t>
      </w:r>
    </w:p>
    <w:p w14:paraId="41F2F5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(2016) "Us vs. them" or "us over them"? On the roles of similarity and status in M&amp;As. Int. Bus. Rev. 25:51–65. https://doi.org/10.1016/j.ibusrev.2015.05.002</w:t>
      </w:r>
    </w:p>
    <w:p w14:paraId="20C775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Fey CF (2010) Compatibility and unlearning in knowledge transfer in mergers and acquisitions. Scand. J. Manag. 26:448–456. https://doi.org/10.1016/j.scaman.2010.09.010</w:t>
      </w:r>
    </w:p>
    <w:p w14:paraId="1EFEA9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Fey CF (2016) Are the extent and effect of psychic distance perceptions symmetrical in cross-border M&amp;As? Evidence from a two-country study. J. Int. Bus. Stud. 47:830–857. https://doi.org/10.1057/jibs.2016.27</w:t>
      </w:r>
    </w:p>
    <w:p w14:paraId="2ACB2B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Yoon H, Peillex J, Buckley PJ (2021) Friends or foes? Bilateral relationships and ownership choice in cross-border acquisitions by emerging market firms. Br. J. Manag. 32:852–871. https://doi.org/10.1111/1467-8551.12442</w:t>
      </w:r>
    </w:p>
    <w:p w14:paraId="4F5334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Yu L, Bai T, Yin JW, Tan X (2024) Overcoming the liability of origin by hiring foreign independent directors: Evidence from Chinese firms' cross-border M&amp;As. J. World Bus. 59:101520. https://doi.org/10.1016/j.jwb.2024.101520</w:t>
      </w:r>
    </w:p>
    <w:p w14:paraId="460E9F1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Yuan C, Jiang H, Chen C (2023) Differences in returns to cross-border and domestic mergers and acquisitions: Empirical evidence from China using PSM-DID. Fin. Res. Lett. 55:103961. https://doi.org/10.1016/j.frl.2023.103961</w:t>
      </w:r>
    </w:p>
    <w:p w14:paraId="39F96A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Zaheer A, Hernandez E, Banerjee S (2010) Prior alliances with targets and acquisition performance in knowledge-intensive industries. Organ. Sci. 21:1072–1091. https://doi.org/10.1287/orsc.1100.0528</w:t>
      </w:r>
    </w:p>
    <w:p w14:paraId="306C1F9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Zahoor N, Khan Z, Sinkovics RR (2022) The role of emotions in cross-border mergers and acquisitions: A systematic review of the inter-disciplinary literature and future research agenda. J. Int. Manag. 28:100958. https://doi.org/10.1016/j.intman.2022.100958</w:t>
      </w:r>
    </w:p>
    <w:p w14:paraId="3F0591E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Zámborský P, Yan ZJ, Michailova S, Zhuang V (2023) Chinese multinationals' internationalization strategies: New realities, new pathways. Calif. Manag. Rev. 66:96–123. https://doi.org/10.1177/00081256231193467</w:t>
      </w:r>
    </w:p>
    <w:p w14:paraId="53BAB91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Zander U, Zander L (2010) Opening the grey box: Social communities, knowledge and culture in acquisitions. J. Int. Bus. Stud. 41:27–37. https://doi.org/10.1057/jibs.2009.76</w:t>
      </w:r>
    </w:p>
    <w:p w14:paraId="3D5B51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C, Kandilov IT, Walker MD (2021a) Direct flights and cross-border mergers and acquisitions. J. Corp. Finance 70:102063. https://doi.org/10.1016/j.jcorpfin.2021.102063</w:t>
      </w:r>
    </w:p>
    <w:p w14:paraId="73653E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HJ, Young MN, Tan J, Sun WZ (2018) How Chinese companies deal with a legitimacy imbalance when acquiring firms from developed economies. J. World Bus. 53:752–767. https://doi.org/10.1016/j.jwb.2018.05.004</w:t>
      </w:r>
    </w:p>
    <w:p w14:paraId="0E1450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(2022) Liability of emergingness and EMNEs’ cross-border acquisition completion: A legitimacy perspective. Int. Bus. Rev. 31:101951. https://doi.org/10.1016/j.ibusrev.2021.101951</w:t>
      </w:r>
    </w:p>
    <w:p w14:paraId="3C4E71E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He X (2014) Economic nationalism and foreign acquisition completion: The case of China. Int. Bus. Rev. 23:212–227. https://doi.org/10.1016/j.ibusrev.2013.04.002</w:t>
      </w:r>
    </w:p>
    <w:p w14:paraId="2874C3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van Witteloostuijn A, Zhou C, Zhou S (2024a) Cross-border acquisition completion by emerging market MNEs revisited: Inductive evidence from a machine learning analysis. J. World Bus. 59:101517. https://doi.org/10.1016/j.jwb.2024.101517</w:t>
      </w:r>
    </w:p>
    <w:p w14:paraId="228D0B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Zhou C, Ebbers H (2011) Completion of Chinese overseas acquisitions: Institutional perspectives and evidence. Int. Bus. Rev. 20:226–238. https://doi.org/10.1016/j.ibusrev.2010.07.003</w:t>
      </w:r>
    </w:p>
    <w:p w14:paraId="17F0B50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M, Peng D (2023) The impact of digital transformation on corporate cross-border mergers and acquisitions. Fin. Res. Lett. 58:104427. https://doi.org/10.1016/j.frl.2023.104427</w:t>
      </w:r>
    </w:p>
    <w:p w14:paraId="085D7E5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WH, Wang KC, Li L, Chen Y, Wang XM (2018) The impact of firms' mergers and acquisitions on their performance in emerging economies. Technol. Forecast. Soc. Change 135:208–216. https://doi.org/10.1016/j.techfore.2018.05.015</w:t>
      </w:r>
    </w:p>
    <w:p w14:paraId="05C3F32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XT, Liu YP, Tarba SY, Del Giudice M (2020a) The micro-foundations of strategic ambidexterity: Chinese cross-border M&amp;As, mid-view thinking and integration management. Int. Bus. Rev. 29:101710. https://doi.org/10.1016/j.ibusrev.2020.101710</w:t>
      </w:r>
    </w:p>
    <w:p w14:paraId="4953A6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Y, Sun W, Du Y (2024b) Lingua franca proficiency and cross-border mergers and acquisitions: Language matters. Fin. Res. Lett. 66:105667. https://doi.org/10.1016/j.frl.2024.105667</w:t>
      </w:r>
    </w:p>
    <w:p w14:paraId="293061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Z, Lyles MA, Wu CQ (2020b) The stock market performance of exploration-oriented and exploitation-oriented cross-border mergers and acquisitions: Evidence from emerging market enterprises. Int. Bus. Rev. 29:101707. https://doi.org/10.1016/j.ibusrev.2020.101707</w:t>
      </w:r>
    </w:p>
    <w:p w14:paraId="40155D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Z, Xie XL, Qian T (2021b) Why do half of the cross-border M&amp;As conducted by Chinese MNCs fail? Government affiliation and cross-border M&amp;A completion. Eur. J. Int. Manag. 15:79–111. https://doi.org/10.1504/EJIM.2021.111911</w:t>
      </w:r>
    </w:p>
    <w:p w14:paraId="0EB0AA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N, Wei YQ, Zhang YB, Yang JJ (2016) In search of strategic assets through cross-border merger and acquisitions: Evidence from Chinese multinational enterprises in developed economies. Int. Bus. Rev. 25:177–186. https://doi.org/10.1016/j.ibusrev.2014.11.009</w:t>
      </w:r>
    </w:p>
    <w:p w14:paraId="2A76AC2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Q, Noorderhaven N, Du J (2022) Making the unlikely marriage work: The integration process of Chinese strategic asset-seeking acquisitions. J. World Bus. 57:101305. https://doi.org/10.1016/j.jwb.2021.101305</w:t>
      </w:r>
    </w:p>
    <w:p w14:paraId="25B7FC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W, Zheng Y, Yi J, Shaheer N, Li S (2024) Context matters: The signaling role of foreign bidders’ reputation in cross-border acquisition contests. J. World Bus. 59:101551. https://doi.org/10.1016/j.jwb.2024.101551</w:t>
      </w:r>
    </w:p>
    <w:p w14:paraId="1E61CFD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AJ, Fey C, Yildiz HE (2020) Fostering integration through HRM practices: An empirical examination of absorptive capacity and knowledge transfer in cross-border M&amp;As. J. World Bus. 55:100947. https://doi.org/10.1016/j.jwb.2018.05.005</w:t>
      </w:r>
    </w:p>
    <w:p w14:paraId="296F8B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CX, Xie JH, Wang Q (2016) Failure to complete cross-border M&amp;As: "To" vs. "from" emerging markets. J. Int. Bus. Stud. 47:1077–1105. https://doi.org/10.1057/s41267-016-0027-y</w:t>
      </w:r>
    </w:p>
    <w:p w14:paraId="373470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CX, Zhang YM, Bu ML (2024) Home country adverse political shocks and cross-border mergers and acquisitions financial performance of politically connected emerging market firms. Int. Bus. Rev. 33:102175. https://doi.org/10.1016/j.ibusrev.2023.102175</w:t>
      </w:r>
    </w:p>
    <w:p w14:paraId="71D318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Qian G-M (2015) High-tech firms' international acquisition performance: The influence of host country property rights protection. Int. Bus. Rev. 24:556–566. https://doi.org/10.1016/j.ibusrev.2014.10.013</w:t>
      </w:r>
    </w:p>
    <w:p w14:paraId="4A6591E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Xia J, Makino S (2015) How do high-technology firms create value in international M&amp;A? Integration, autonomy and cross-border contingencies. J. World Bus. 50:718–728. https://doi.org/10.1016/j.jwb.2015.01.001</w:t>
      </w:r>
    </w:p>
    <w:p w14:paraId="359B90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Zhu Q, Ding ZW (2020) The roles of Chinese CEOs in managing individualistic cultures in cross-border mergers and acquisitions. J. Manag. Stud. 57:664–697. https://doi.org/10.1111/joms.12556</w:t>
      </w:r>
    </w:p>
    <w:p w14:paraId="2BFDBE7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Ma X, Sauerwald S, Peng MW (2019) Home country institutions behind cross-border acquisition performance. J. Manag. 45:1315–1342. https://doi.org/10.1177/0149206317699520</w:t>
      </w:r>
    </w:p>
    <w:p w14:paraId="407F9E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PC, Jog V, Otchere I (2011) Partial acquisitions in emerging markets: A test of the strategic market entry and corporate control hypotheses. J. Corp. Finance 17:288–305. https://doi.org/10.1016/j.jcorpfin.2010.09.003</w:t>
      </w:r>
    </w:p>
    <w:p w14:paraId="7AE4668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Zilja F, Benito G, Boustanifar H, Zhang D (2023) CEO wealth and cross-border acquisitions by SMEs. Int. Bus. Rev. 32:102192. https://doi.org/10.1016/j.ibusrev.2023.102192</w:t>
      </w:r>
    </w:p>
    <w:p w14:paraId="272BDB2E" w14:textId="273F74F6" w:rsid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Zou H, Ghauri PN (2008) Learning through international acquisitions: The process of knowledge acquisition in China. </w:t>
      </w:r>
      <w:r w:rsidRPr="00F13D1B">
        <w:rPr>
          <w:rFonts w:ascii="Times New Roman" w:hAnsi="Times New Roman" w:cs="Times New Roman"/>
        </w:rPr>
        <w:t>Manag. Int. Rev. 48:207–226. https://doi.org/10.1007/s11575-008-0012-1</w:t>
      </w:r>
      <w:bookmarkStart w:id="4" w:name="_GoBack"/>
      <w:bookmarkEnd w:id="4"/>
    </w:p>
    <w:sectPr w:rsidR="00F13D1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9D6C4" w16cex:dateUtc="2024-09-09T12:19:00Z"/>
  <w16cex:commentExtensible w16cex:durableId="2A89D7EF" w16cex:dateUtc="2024-09-09T12:24:00Z"/>
  <w16cex:commentExtensible w16cex:durableId="2A89D6D4" w16cex:dateUtc="2024-09-09T12:19:00Z"/>
  <w16cex:commentExtensible w16cex:durableId="2A89D830" w16cex:dateUtc="2024-09-09T12:25:00Z"/>
  <w16cex:commentExtensible w16cex:durableId="2A89D7D6" w16cex:dateUtc="2024-09-09T12: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182D7" w14:textId="77777777" w:rsidR="00A71E09" w:rsidRDefault="00A71E09" w:rsidP="00DA1835">
      <w:pPr>
        <w:spacing w:after="0" w:line="240" w:lineRule="auto"/>
      </w:pPr>
      <w:r>
        <w:separator/>
      </w:r>
    </w:p>
  </w:endnote>
  <w:endnote w:type="continuationSeparator" w:id="0">
    <w:p w14:paraId="2DDDB3F1" w14:textId="77777777" w:rsidR="00A71E09" w:rsidRDefault="00A71E09" w:rsidP="00DA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827B7" w14:textId="77777777" w:rsidR="00D24718" w:rsidRDefault="00D247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203782"/>
      <w:docPartObj>
        <w:docPartGallery w:val="Page Numbers (Bottom of Page)"/>
        <w:docPartUnique/>
      </w:docPartObj>
    </w:sdtPr>
    <w:sdtEndPr>
      <w:rPr>
        <w:rFonts w:ascii="Times New Roman" w:hAnsi="Times New Roman" w:cs="Times New Roman"/>
      </w:rPr>
    </w:sdtEndPr>
    <w:sdtContent>
      <w:p w14:paraId="5066B686" w14:textId="77777777" w:rsidR="00D24718" w:rsidRPr="00A4384A" w:rsidRDefault="00D24718" w:rsidP="00A4384A">
        <w:pPr>
          <w:pStyle w:val="Fuzeile"/>
          <w:jc w:val="center"/>
          <w:rPr>
            <w:rFonts w:ascii="Times New Roman" w:hAnsi="Times New Roman" w:cs="Times New Roman"/>
          </w:rPr>
        </w:pPr>
        <w:r w:rsidRPr="00A4384A">
          <w:rPr>
            <w:rFonts w:ascii="Times New Roman" w:hAnsi="Times New Roman" w:cs="Times New Roman"/>
          </w:rPr>
          <w:fldChar w:fldCharType="begin"/>
        </w:r>
        <w:r w:rsidRPr="00A4384A">
          <w:rPr>
            <w:rFonts w:ascii="Times New Roman" w:hAnsi="Times New Roman" w:cs="Times New Roman"/>
          </w:rPr>
          <w:instrText>PAGE   \* MERGEFORMAT</w:instrText>
        </w:r>
        <w:r w:rsidRPr="00A4384A">
          <w:rPr>
            <w:rFonts w:ascii="Times New Roman" w:hAnsi="Times New Roman" w:cs="Times New Roman"/>
          </w:rPr>
          <w:fldChar w:fldCharType="separate"/>
        </w:r>
        <w:r w:rsidRPr="00A4384A">
          <w:rPr>
            <w:rFonts w:ascii="Times New Roman" w:hAnsi="Times New Roman" w:cs="Times New Roman"/>
          </w:rPr>
          <w:t>2</w:t>
        </w:r>
        <w:r w:rsidRPr="00A4384A">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0F969" w14:textId="77777777" w:rsidR="00D24718" w:rsidRDefault="00D24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8A915" w14:textId="77777777" w:rsidR="00A71E09" w:rsidRDefault="00A71E09" w:rsidP="00DA1835">
      <w:pPr>
        <w:spacing w:after="0" w:line="240" w:lineRule="auto"/>
      </w:pPr>
      <w:r>
        <w:separator/>
      </w:r>
    </w:p>
  </w:footnote>
  <w:footnote w:type="continuationSeparator" w:id="0">
    <w:p w14:paraId="4DDE5FA4" w14:textId="77777777" w:rsidR="00A71E09" w:rsidRDefault="00A71E09" w:rsidP="00DA1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24CD1" w14:textId="77777777" w:rsidR="00D24718" w:rsidRDefault="00D247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4E4B" w14:textId="77777777" w:rsidR="00D24718" w:rsidRDefault="00D247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46A3" w14:textId="77777777" w:rsidR="00D24718" w:rsidRDefault="00D247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24DE3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7F24F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6299E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58ED0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F0EE23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206E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B8866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EC519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96529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67AB6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A3507B6"/>
    <w:multiLevelType w:val="hybridMultilevel"/>
    <w:tmpl w:val="1EFCEF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4F747B4"/>
    <w:multiLevelType w:val="hybridMultilevel"/>
    <w:tmpl w:val="184EDB72"/>
    <w:lvl w:ilvl="0" w:tplc="3822F8A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1302D1"/>
    <w:multiLevelType w:val="hybridMultilevel"/>
    <w:tmpl w:val="942CC6C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9873954"/>
    <w:multiLevelType w:val="hybridMultilevel"/>
    <w:tmpl w:val="33AA705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13"/>
  </w:num>
  <w:num w:numId="4">
    <w:abstractNumId w:val="1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C2"/>
    <w:rsid w:val="00000613"/>
    <w:rsid w:val="00022636"/>
    <w:rsid w:val="00022F92"/>
    <w:rsid w:val="00027BCB"/>
    <w:rsid w:val="00031F85"/>
    <w:rsid w:val="000332A9"/>
    <w:rsid w:val="0004241A"/>
    <w:rsid w:val="000500B6"/>
    <w:rsid w:val="000564DB"/>
    <w:rsid w:val="00067300"/>
    <w:rsid w:val="0007211E"/>
    <w:rsid w:val="00073ABD"/>
    <w:rsid w:val="00074022"/>
    <w:rsid w:val="00074BC3"/>
    <w:rsid w:val="00077282"/>
    <w:rsid w:val="00077BD8"/>
    <w:rsid w:val="00084F8E"/>
    <w:rsid w:val="000976AC"/>
    <w:rsid w:val="000A4998"/>
    <w:rsid w:val="000A719A"/>
    <w:rsid w:val="000C31E1"/>
    <w:rsid w:val="000C5330"/>
    <w:rsid w:val="000C596F"/>
    <w:rsid w:val="000D544D"/>
    <w:rsid w:val="000E04DE"/>
    <w:rsid w:val="001012E5"/>
    <w:rsid w:val="001063F1"/>
    <w:rsid w:val="00110670"/>
    <w:rsid w:val="0011304E"/>
    <w:rsid w:val="00122D36"/>
    <w:rsid w:val="0013134F"/>
    <w:rsid w:val="0014352C"/>
    <w:rsid w:val="00145A41"/>
    <w:rsid w:val="00160C86"/>
    <w:rsid w:val="00161E3B"/>
    <w:rsid w:val="00182C86"/>
    <w:rsid w:val="00186E4F"/>
    <w:rsid w:val="001A20CC"/>
    <w:rsid w:val="001A6E1D"/>
    <w:rsid w:val="001C289B"/>
    <w:rsid w:val="001C3010"/>
    <w:rsid w:val="001C3D1A"/>
    <w:rsid w:val="001C71FD"/>
    <w:rsid w:val="001D5463"/>
    <w:rsid w:val="001E790B"/>
    <w:rsid w:val="001F388D"/>
    <w:rsid w:val="001F4EEE"/>
    <w:rsid w:val="00201135"/>
    <w:rsid w:val="002045C7"/>
    <w:rsid w:val="00206969"/>
    <w:rsid w:val="00211D66"/>
    <w:rsid w:val="0021442F"/>
    <w:rsid w:val="00216F62"/>
    <w:rsid w:val="00233737"/>
    <w:rsid w:val="00235FFC"/>
    <w:rsid w:val="002404C6"/>
    <w:rsid w:val="00246000"/>
    <w:rsid w:val="00247937"/>
    <w:rsid w:val="00255984"/>
    <w:rsid w:val="00255FF8"/>
    <w:rsid w:val="00260E85"/>
    <w:rsid w:val="00260FE8"/>
    <w:rsid w:val="002645F8"/>
    <w:rsid w:val="00267275"/>
    <w:rsid w:val="0027038D"/>
    <w:rsid w:val="0027599D"/>
    <w:rsid w:val="00283514"/>
    <w:rsid w:val="002925B0"/>
    <w:rsid w:val="00293CD5"/>
    <w:rsid w:val="0029650D"/>
    <w:rsid w:val="002A339A"/>
    <w:rsid w:val="002B5C3D"/>
    <w:rsid w:val="002B626D"/>
    <w:rsid w:val="002C40F4"/>
    <w:rsid w:val="002D4C99"/>
    <w:rsid w:val="002D58E7"/>
    <w:rsid w:val="002F5E88"/>
    <w:rsid w:val="002F75FA"/>
    <w:rsid w:val="00325719"/>
    <w:rsid w:val="003266F8"/>
    <w:rsid w:val="00346291"/>
    <w:rsid w:val="003508AB"/>
    <w:rsid w:val="0035339A"/>
    <w:rsid w:val="00353CFE"/>
    <w:rsid w:val="003575D9"/>
    <w:rsid w:val="00366C7A"/>
    <w:rsid w:val="00366E15"/>
    <w:rsid w:val="003752BE"/>
    <w:rsid w:val="003832AB"/>
    <w:rsid w:val="00392223"/>
    <w:rsid w:val="003A1AB1"/>
    <w:rsid w:val="003A3C2D"/>
    <w:rsid w:val="003A40B2"/>
    <w:rsid w:val="003A6B50"/>
    <w:rsid w:val="003A7DC8"/>
    <w:rsid w:val="003B39D1"/>
    <w:rsid w:val="003B4B8F"/>
    <w:rsid w:val="003B4ECB"/>
    <w:rsid w:val="003C2EC2"/>
    <w:rsid w:val="003C3B6C"/>
    <w:rsid w:val="003D6CA4"/>
    <w:rsid w:val="003E6AAF"/>
    <w:rsid w:val="003F1277"/>
    <w:rsid w:val="003F137E"/>
    <w:rsid w:val="003F6560"/>
    <w:rsid w:val="003F7DCC"/>
    <w:rsid w:val="004006A7"/>
    <w:rsid w:val="00422212"/>
    <w:rsid w:val="00427789"/>
    <w:rsid w:val="00430515"/>
    <w:rsid w:val="00433BB5"/>
    <w:rsid w:val="004370B5"/>
    <w:rsid w:val="00447C78"/>
    <w:rsid w:val="0045246B"/>
    <w:rsid w:val="00453FCF"/>
    <w:rsid w:val="00455C8F"/>
    <w:rsid w:val="00457E4D"/>
    <w:rsid w:val="00462AE8"/>
    <w:rsid w:val="004758F7"/>
    <w:rsid w:val="0047636B"/>
    <w:rsid w:val="00492107"/>
    <w:rsid w:val="00492DC4"/>
    <w:rsid w:val="00495041"/>
    <w:rsid w:val="004966FA"/>
    <w:rsid w:val="004A4413"/>
    <w:rsid w:val="004A6E84"/>
    <w:rsid w:val="004B1936"/>
    <w:rsid w:val="004C1C3E"/>
    <w:rsid w:val="004C4CFE"/>
    <w:rsid w:val="004D161C"/>
    <w:rsid w:val="004D554D"/>
    <w:rsid w:val="004D55E6"/>
    <w:rsid w:val="004F2071"/>
    <w:rsid w:val="004F211B"/>
    <w:rsid w:val="00501FFF"/>
    <w:rsid w:val="00504243"/>
    <w:rsid w:val="00504F54"/>
    <w:rsid w:val="00505AE8"/>
    <w:rsid w:val="00511B14"/>
    <w:rsid w:val="005135D8"/>
    <w:rsid w:val="005141CA"/>
    <w:rsid w:val="00521AA4"/>
    <w:rsid w:val="00535C23"/>
    <w:rsid w:val="005423D6"/>
    <w:rsid w:val="005435FD"/>
    <w:rsid w:val="00547339"/>
    <w:rsid w:val="00551636"/>
    <w:rsid w:val="005523D6"/>
    <w:rsid w:val="00560C8F"/>
    <w:rsid w:val="0056657C"/>
    <w:rsid w:val="0056795E"/>
    <w:rsid w:val="00576E34"/>
    <w:rsid w:val="00581EE0"/>
    <w:rsid w:val="00582983"/>
    <w:rsid w:val="0059069E"/>
    <w:rsid w:val="005A43DB"/>
    <w:rsid w:val="005B46B6"/>
    <w:rsid w:val="005B51FA"/>
    <w:rsid w:val="005B5837"/>
    <w:rsid w:val="005D160E"/>
    <w:rsid w:val="005D7BCB"/>
    <w:rsid w:val="005E2BAE"/>
    <w:rsid w:val="005E3D92"/>
    <w:rsid w:val="005E6335"/>
    <w:rsid w:val="005F305C"/>
    <w:rsid w:val="005F3188"/>
    <w:rsid w:val="005F4B32"/>
    <w:rsid w:val="005F54EA"/>
    <w:rsid w:val="006033F0"/>
    <w:rsid w:val="00605352"/>
    <w:rsid w:val="00612311"/>
    <w:rsid w:val="006154D3"/>
    <w:rsid w:val="00621545"/>
    <w:rsid w:val="00622596"/>
    <w:rsid w:val="006271E4"/>
    <w:rsid w:val="00637E2E"/>
    <w:rsid w:val="00657E0C"/>
    <w:rsid w:val="00661B2C"/>
    <w:rsid w:val="006813D5"/>
    <w:rsid w:val="00682012"/>
    <w:rsid w:val="006854F3"/>
    <w:rsid w:val="006A1D26"/>
    <w:rsid w:val="006B7EFA"/>
    <w:rsid w:val="006C2507"/>
    <w:rsid w:val="006C4087"/>
    <w:rsid w:val="006D45F3"/>
    <w:rsid w:val="006D7FC3"/>
    <w:rsid w:val="006E2808"/>
    <w:rsid w:val="00706261"/>
    <w:rsid w:val="00710738"/>
    <w:rsid w:val="007118F9"/>
    <w:rsid w:val="00715F13"/>
    <w:rsid w:val="0072223D"/>
    <w:rsid w:val="0072246B"/>
    <w:rsid w:val="00722D01"/>
    <w:rsid w:val="007249CE"/>
    <w:rsid w:val="0072669D"/>
    <w:rsid w:val="007302C5"/>
    <w:rsid w:val="00735E8C"/>
    <w:rsid w:val="00740CCD"/>
    <w:rsid w:val="007453E8"/>
    <w:rsid w:val="00750CD8"/>
    <w:rsid w:val="00762585"/>
    <w:rsid w:val="00766EB0"/>
    <w:rsid w:val="007677E7"/>
    <w:rsid w:val="0076786F"/>
    <w:rsid w:val="00772666"/>
    <w:rsid w:val="00773725"/>
    <w:rsid w:val="00776155"/>
    <w:rsid w:val="00776E6E"/>
    <w:rsid w:val="00780726"/>
    <w:rsid w:val="00781CC2"/>
    <w:rsid w:val="00787CBE"/>
    <w:rsid w:val="00792544"/>
    <w:rsid w:val="007932D4"/>
    <w:rsid w:val="007943DA"/>
    <w:rsid w:val="00796C44"/>
    <w:rsid w:val="007A1066"/>
    <w:rsid w:val="007A4AC9"/>
    <w:rsid w:val="007A7AD1"/>
    <w:rsid w:val="007B0609"/>
    <w:rsid w:val="007C5C49"/>
    <w:rsid w:val="007D2E2B"/>
    <w:rsid w:val="007D5E81"/>
    <w:rsid w:val="007D64E1"/>
    <w:rsid w:val="007D6C14"/>
    <w:rsid w:val="007F6AC8"/>
    <w:rsid w:val="00814A37"/>
    <w:rsid w:val="00816F79"/>
    <w:rsid w:val="008220B1"/>
    <w:rsid w:val="00837CF9"/>
    <w:rsid w:val="008411C0"/>
    <w:rsid w:val="00856EB8"/>
    <w:rsid w:val="0085706D"/>
    <w:rsid w:val="008701AF"/>
    <w:rsid w:val="00881B8F"/>
    <w:rsid w:val="00886067"/>
    <w:rsid w:val="008922C8"/>
    <w:rsid w:val="008B2E91"/>
    <w:rsid w:val="008B547B"/>
    <w:rsid w:val="008C020A"/>
    <w:rsid w:val="008C595A"/>
    <w:rsid w:val="008D45EA"/>
    <w:rsid w:val="008D6336"/>
    <w:rsid w:val="008E0C9E"/>
    <w:rsid w:val="008E2CE0"/>
    <w:rsid w:val="008E7C28"/>
    <w:rsid w:val="008F0A7D"/>
    <w:rsid w:val="008F2401"/>
    <w:rsid w:val="009000B2"/>
    <w:rsid w:val="00905F7A"/>
    <w:rsid w:val="00915426"/>
    <w:rsid w:val="00915608"/>
    <w:rsid w:val="0092626C"/>
    <w:rsid w:val="00932CAE"/>
    <w:rsid w:val="00937FF0"/>
    <w:rsid w:val="00943E76"/>
    <w:rsid w:val="00954877"/>
    <w:rsid w:val="00957EFF"/>
    <w:rsid w:val="00967E61"/>
    <w:rsid w:val="00967EB9"/>
    <w:rsid w:val="009710D3"/>
    <w:rsid w:val="009766D0"/>
    <w:rsid w:val="00982C7A"/>
    <w:rsid w:val="00983F35"/>
    <w:rsid w:val="009A69D0"/>
    <w:rsid w:val="009B446A"/>
    <w:rsid w:val="009B62C2"/>
    <w:rsid w:val="009B6D0F"/>
    <w:rsid w:val="009B7EB3"/>
    <w:rsid w:val="009C2AB3"/>
    <w:rsid w:val="009C60C8"/>
    <w:rsid w:val="009E4264"/>
    <w:rsid w:val="009F0334"/>
    <w:rsid w:val="00A01718"/>
    <w:rsid w:val="00A0204D"/>
    <w:rsid w:val="00A172B2"/>
    <w:rsid w:val="00A21FEE"/>
    <w:rsid w:val="00A23A76"/>
    <w:rsid w:val="00A24112"/>
    <w:rsid w:val="00A421CE"/>
    <w:rsid w:val="00A4384A"/>
    <w:rsid w:val="00A450AB"/>
    <w:rsid w:val="00A54B82"/>
    <w:rsid w:val="00A554E6"/>
    <w:rsid w:val="00A55F30"/>
    <w:rsid w:val="00A60785"/>
    <w:rsid w:val="00A6159F"/>
    <w:rsid w:val="00A638D3"/>
    <w:rsid w:val="00A70294"/>
    <w:rsid w:val="00A71E09"/>
    <w:rsid w:val="00A74101"/>
    <w:rsid w:val="00A76BA7"/>
    <w:rsid w:val="00A76C94"/>
    <w:rsid w:val="00A826D1"/>
    <w:rsid w:val="00A91B56"/>
    <w:rsid w:val="00A92872"/>
    <w:rsid w:val="00A94D7F"/>
    <w:rsid w:val="00A95C66"/>
    <w:rsid w:val="00A95C85"/>
    <w:rsid w:val="00A96456"/>
    <w:rsid w:val="00AA39B0"/>
    <w:rsid w:val="00AA44F1"/>
    <w:rsid w:val="00AA59B4"/>
    <w:rsid w:val="00AA7EF8"/>
    <w:rsid w:val="00AB2879"/>
    <w:rsid w:val="00AB59BB"/>
    <w:rsid w:val="00AB69B3"/>
    <w:rsid w:val="00AD6309"/>
    <w:rsid w:val="00AE27E9"/>
    <w:rsid w:val="00AE565D"/>
    <w:rsid w:val="00AE6B44"/>
    <w:rsid w:val="00AE7D48"/>
    <w:rsid w:val="00AF3E86"/>
    <w:rsid w:val="00B000C8"/>
    <w:rsid w:val="00B01A5C"/>
    <w:rsid w:val="00B02334"/>
    <w:rsid w:val="00B067A8"/>
    <w:rsid w:val="00B1518F"/>
    <w:rsid w:val="00B15C51"/>
    <w:rsid w:val="00B163B5"/>
    <w:rsid w:val="00B22EE3"/>
    <w:rsid w:val="00B23626"/>
    <w:rsid w:val="00B34B07"/>
    <w:rsid w:val="00B42BBE"/>
    <w:rsid w:val="00B67845"/>
    <w:rsid w:val="00B71915"/>
    <w:rsid w:val="00B74C38"/>
    <w:rsid w:val="00B768DF"/>
    <w:rsid w:val="00B76950"/>
    <w:rsid w:val="00B810ED"/>
    <w:rsid w:val="00B912F7"/>
    <w:rsid w:val="00BA2FA2"/>
    <w:rsid w:val="00BB16A0"/>
    <w:rsid w:val="00BB2FBB"/>
    <w:rsid w:val="00BB7766"/>
    <w:rsid w:val="00BC661F"/>
    <w:rsid w:val="00BD2062"/>
    <w:rsid w:val="00BD44D8"/>
    <w:rsid w:val="00BD689A"/>
    <w:rsid w:val="00BE30EE"/>
    <w:rsid w:val="00C01772"/>
    <w:rsid w:val="00C035E1"/>
    <w:rsid w:val="00C342C9"/>
    <w:rsid w:val="00C3455D"/>
    <w:rsid w:val="00C52E27"/>
    <w:rsid w:val="00C55B65"/>
    <w:rsid w:val="00C614B5"/>
    <w:rsid w:val="00C63BE3"/>
    <w:rsid w:val="00C63ECF"/>
    <w:rsid w:val="00C74E75"/>
    <w:rsid w:val="00C94D7F"/>
    <w:rsid w:val="00C94FDC"/>
    <w:rsid w:val="00CA1FB5"/>
    <w:rsid w:val="00CB036B"/>
    <w:rsid w:val="00CB12D5"/>
    <w:rsid w:val="00CC5940"/>
    <w:rsid w:val="00CD0D3E"/>
    <w:rsid w:val="00CD1C43"/>
    <w:rsid w:val="00CD6261"/>
    <w:rsid w:val="00CD7124"/>
    <w:rsid w:val="00CE2321"/>
    <w:rsid w:val="00CE3C44"/>
    <w:rsid w:val="00D01F7D"/>
    <w:rsid w:val="00D0467E"/>
    <w:rsid w:val="00D07CEA"/>
    <w:rsid w:val="00D16819"/>
    <w:rsid w:val="00D24718"/>
    <w:rsid w:val="00D31F6C"/>
    <w:rsid w:val="00D34879"/>
    <w:rsid w:val="00D57155"/>
    <w:rsid w:val="00D63428"/>
    <w:rsid w:val="00D76288"/>
    <w:rsid w:val="00D762DD"/>
    <w:rsid w:val="00D94AF9"/>
    <w:rsid w:val="00DA1835"/>
    <w:rsid w:val="00DA1CA6"/>
    <w:rsid w:val="00DA2BC9"/>
    <w:rsid w:val="00DA69DE"/>
    <w:rsid w:val="00DC454C"/>
    <w:rsid w:val="00DC4720"/>
    <w:rsid w:val="00DD180A"/>
    <w:rsid w:val="00DD46B4"/>
    <w:rsid w:val="00DD4B79"/>
    <w:rsid w:val="00DE3C83"/>
    <w:rsid w:val="00DE3D79"/>
    <w:rsid w:val="00DE6986"/>
    <w:rsid w:val="00DF47BA"/>
    <w:rsid w:val="00E108A0"/>
    <w:rsid w:val="00E10968"/>
    <w:rsid w:val="00E20395"/>
    <w:rsid w:val="00E2112C"/>
    <w:rsid w:val="00E275CC"/>
    <w:rsid w:val="00E27915"/>
    <w:rsid w:val="00E3308C"/>
    <w:rsid w:val="00E3620D"/>
    <w:rsid w:val="00E44E46"/>
    <w:rsid w:val="00E614F2"/>
    <w:rsid w:val="00E62411"/>
    <w:rsid w:val="00E64A7D"/>
    <w:rsid w:val="00E70362"/>
    <w:rsid w:val="00E76917"/>
    <w:rsid w:val="00E8017C"/>
    <w:rsid w:val="00E915A1"/>
    <w:rsid w:val="00E91AB1"/>
    <w:rsid w:val="00E969E3"/>
    <w:rsid w:val="00EA2372"/>
    <w:rsid w:val="00EA40E1"/>
    <w:rsid w:val="00EA4FDA"/>
    <w:rsid w:val="00EA6AB7"/>
    <w:rsid w:val="00EA797A"/>
    <w:rsid w:val="00EB0020"/>
    <w:rsid w:val="00EB054A"/>
    <w:rsid w:val="00EB08E6"/>
    <w:rsid w:val="00EC2110"/>
    <w:rsid w:val="00EC39DD"/>
    <w:rsid w:val="00ED20D1"/>
    <w:rsid w:val="00ED3E46"/>
    <w:rsid w:val="00ED5FFC"/>
    <w:rsid w:val="00ED6E29"/>
    <w:rsid w:val="00EE79E3"/>
    <w:rsid w:val="00F044D7"/>
    <w:rsid w:val="00F072CA"/>
    <w:rsid w:val="00F13D1B"/>
    <w:rsid w:val="00F23F65"/>
    <w:rsid w:val="00F300F6"/>
    <w:rsid w:val="00F334E7"/>
    <w:rsid w:val="00F46D0D"/>
    <w:rsid w:val="00F5175D"/>
    <w:rsid w:val="00F5556A"/>
    <w:rsid w:val="00F6594D"/>
    <w:rsid w:val="00F718A3"/>
    <w:rsid w:val="00F72EF8"/>
    <w:rsid w:val="00F734F5"/>
    <w:rsid w:val="00F74C9E"/>
    <w:rsid w:val="00F8042F"/>
    <w:rsid w:val="00F878E7"/>
    <w:rsid w:val="00F91AC6"/>
    <w:rsid w:val="00FB3E83"/>
    <w:rsid w:val="00FC163B"/>
    <w:rsid w:val="00FE3709"/>
    <w:rsid w:val="00FF1963"/>
    <w:rsid w:val="00FF4C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DD6B"/>
  <w15:chartTrackingRefBased/>
  <w15:docId w15:val="{AC93C1D3-47B6-42A6-93D2-EE5AA9CE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710D3"/>
  </w:style>
  <w:style w:type="paragraph" w:styleId="berschrift1">
    <w:name w:val="heading 1"/>
    <w:basedOn w:val="Standard"/>
    <w:next w:val="Standard"/>
    <w:link w:val="berschrift1Zchn"/>
    <w:uiPriority w:val="9"/>
    <w:qFormat/>
    <w:rsid w:val="001130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113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130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1130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1304E"/>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1304E"/>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130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130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130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C2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A18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1835"/>
  </w:style>
  <w:style w:type="paragraph" w:styleId="Fuzeile">
    <w:name w:val="footer"/>
    <w:basedOn w:val="Standard"/>
    <w:link w:val="FuzeileZchn"/>
    <w:uiPriority w:val="99"/>
    <w:unhideWhenUsed/>
    <w:rsid w:val="00DA18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1835"/>
  </w:style>
  <w:style w:type="paragraph" w:styleId="Sprechblasentext">
    <w:name w:val="Balloon Text"/>
    <w:basedOn w:val="Standard"/>
    <w:link w:val="SprechblasentextZchn"/>
    <w:uiPriority w:val="99"/>
    <w:semiHidden/>
    <w:unhideWhenUsed/>
    <w:rsid w:val="007062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6261"/>
    <w:rPr>
      <w:rFonts w:ascii="Segoe UI" w:hAnsi="Segoe UI" w:cs="Segoe UI"/>
      <w:sz w:val="18"/>
      <w:szCs w:val="18"/>
    </w:rPr>
  </w:style>
  <w:style w:type="character" w:styleId="Kommentarzeichen">
    <w:name w:val="annotation reference"/>
    <w:basedOn w:val="Absatz-Standardschriftart"/>
    <w:semiHidden/>
    <w:unhideWhenUsed/>
    <w:rsid w:val="004C1C3E"/>
    <w:rPr>
      <w:sz w:val="16"/>
      <w:szCs w:val="16"/>
    </w:rPr>
  </w:style>
  <w:style w:type="paragraph" w:styleId="Kommentartext">
    <w:name w:val="annotation text"/>
    <w:basedOn w:val="Standard"/>
    <w:link w:val="KommentartextZchn"/>
    <w:uiPriority w:val="99"/>
    <w:semiHidden/>
    <w:unhideWhenUsed/>
    <w:rsid w:val="004C1C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1C3E"/>
    <w:rPr>
      <w:sz w:val="20"/>
      <w:szCs w:val="20"/>
    </w:rPr>
  </w:style>
  <w:style w:type="paragraph" w:styleId="Kommentarthema">
    <w:name w:val="annotation subject"/>
    <w:basedOn w:val="Kommentartext"/>
    <w:next w:val="Kommentartext"/>
    <w:link w:val="KommentarthemaZchn"/>
    <w:uiPriority w:val="99"/>
    <w:semiHidden/>
    <w:unhideWhenUsed/>
    <w:rsid w:val="004C1C3E"/>
    <w:rPr>
      <w:b/>
      <w:bCs/>
    </w:rPr>
  </w:style>
  <w:style w:type="character" w:customStyle="1" w:styleId="KommentarthemaZchn">
    <w:name w:val="Kommentarthema Zchn"/>
    <w:basedOn w:val="KommentartextZchn"/>
    <w:link w:val="Kommentarthema"/>
    <w:uiPriority w:val="99"/>
    <w:semiHidden/>
    <w:rsid w:val="004C1C3E"/>
    <w:rPr>
      <w:b/>
      <w:bCs/>
      <w:sz w:val="20"/>
      <w:szCs w:val="20"/>
    </w:rPr>
  </w:style>
  <w:style w:type="paragraph" w:customStyle="1" w:styleId="CitaviBibliographyEntry">
    <w:name w:val="Citavi Bibliography Entry"/>
    <w:basedOn w:val="Standard"/>
    <w:link w:val="CitaviBibliographyEntryChar"/>
    <w:rsid w:val="00A554E6"/>
    <w:pPr>
      <w:tabs>
        <w:tab w:val="left" w:pos="227"/>
        <w:tab w:val="left" w:pos="397"/>
      </w:tabs>
      <w:spacing w:after="120"/>
      <w:ind w:left="397" w:hanging="397"/>
    </w:pPr>
    <w:rPr>
      <w:rFonts w:ascii="Times New Roman" w:eastAsiaTheme="minorEastAsia" w:hAnsi="Times New Roman"/>
      <w:sz w:val="24"/>
      <w:lang w:eastAsia="zh-CN"/>
    </w:rPr>
  </w:style>
  <w:style w:type="character" w:customStyle="1" w:styleId="CitaviBibliographyEntryChar">
    <w:name w:val="Citavi Bibliography Entry Char"/>
    <w:basedOn w:val="Absatz-Standardschriftart"/>
    <w:link w:val="CitaviBibliographyEntry"/>
    <w:rsid w:val="00A554E6"/>
    <w:rPr>
      <w:rFonts w:ascii="Times New Roman" w:eastAsiaTheme="minorEastAsia" w:hAnsi="Times New Roman"/>
      <w:sz w:val="24"/>
      <w:lang w:eastAsia="zh-CN"/>
    </w:rPr>
  </w:style>
  <w:style w:type="paragraph" w:customStyle="1" w:styleId="CitaviLiteraturverzeichnis">
    <w:name w:val="Citavi Literaturverzeichnis"/>
    <w:basedOn w:val="Standard"/>
    <w:rsid w:val="00B912F7"/>
    <w:pPr>
      <w:spacing w:after="0"/>
      <w:ind w:left="397" w:hanging="397"/>
    </w:pPr>
    <w:rPr>
      <w:rFonts w:ascii="Calibri" w:eastAsia="Calibri" w:hAnsi="Calibri" w:cs="Calibri"/>
      <w:lang w:eastAsia="de-DE"/>
    </w:rPr>
  </w:style>
  <w:style w:type="character" w:styleId="Hyperlink">
    <w:name w:val="Hyperlink"/>
    <w:basedOn w:val="Absatz-Standardschriftart"/>
    <w:uiPriority w:val="99"/>
    <w:unhideWhenUsed/>
    <w:rsid w:val="0021442F"/>
    <w:rPr>
      <w:color w:val="0563C1" w:themeColor="hyperlink"/>
      <w:u w:val="single"/>
    </w:rPr>
  </w:style>
  <w:style w:type="character" w:styleId="NichtaufgelsteErwhnung">
    <w:name w:val="Unresolved Mention"/>
    <w:basedOn w:val="Absatz-Standardschriftart"/>
    <w:uiPriority w:val="99"/>
    <w:semiHidden/>
    <w:unhideWhenUsed/>
    <w:rsid w:val="0021442F"/>
    <w:rPr>
      <w:color w:val="605E5C"/>
      <w:shd w:val="clear" w:color="auto" w:fill="E1DFDD"/>
    </w:rPr>
  </w:style>
  <w:style w:type="paragraph" w:styleId="berarbeitung">
    <w:name w:val="Revision"/>
    <w:hidden/>
    <w:uiPriority w:val="99"/>
    <w:semiHidden/>
    <w:rsid w:val="00A24112"/>
    <w:pPr>
      <w:spacing w:after="0" w:line="240" w:lineRule="auto"/>
    </w:pPr>
  </w:style>
  <w:style w:type="table" w:customStyle="1" w:styleId="TableGrid1">
    <w:name w:val="Table Grid1"/>
    <w:basedOn w:val="NormaleTabelle"/>
    <w:next w:val="Tabellenraster"/>
    <w:uiPriority w:val="59"/>
    <w:rsid w:val="00657E0C"/>
    <w:pPr>
      <w:spacing w:after="0" w:line="240" w:lineRule="auto"/>
    </w:pPr>
    <w:rPr>
      <w:rFonts w:ascii="Arial"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rsid w:val="00657E0C"/>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57E0C"/>
    <w:pPr>
      <w:ind w:left="720"/>
      <w:contextualSpacing/>
    </w:pPr>
  </w:style>
  <w:style w:type="character" w:styleId="Platzhaltertext">
    <w:name w:val="Placeholder Text"/>
    <w:basedOn w:val="Absatz-Standardschriftart"/>
    <w:uiPriority w:val="99"/>
    <w:semiHidden/>
    <w:rsid w:val="0011304E"/>
    <w:rPr>
      <w:color w:val="808080"/>
    </w:rPr>
  </w:style>
  <w:style w:type="paragraph" w:customStyle="1" w:styleId="CitaviBibliographyHeading">
    <w:name w:val="Citavi Bibliography Heading"/>
    <w:basedOn w:val="berschrift1"/>
    <w:link w:val="CitaviBibliographyHeadingZchn"/>
    <w:uiPriority w:val="99"/>
    <w:rsid w:val="0011304E"/>
  </w:style>
  <w:style w:type="character" w:customStyle="1" w:styleId="CitaviBibliographyHeadingZchn">
    <w:name w:val="Citavi Bibliography Heading Zchn"/>
    <w:basedOn w:val="Absatz-Standardschriftart"/>
    <w:link w:val="CitaviBibliographyHeading"/>
    <w:uiPriority w:val="99"/>
    <w:rsid w:val="0011304E"/>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11304E"/>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11304E"/>
  </w:style>
  <w:style w:type="character" w:customStyle="1" w:styleId="CitaviChapterBibliographyHeadingZchn">
    <w:name w:val="Citavi Chapter Bibliography Heading Zchn"/>
    <w:basedOn w:val="Absatz-Standardschriftart"/>
    <w:link w:val="CitaviChapterBibliographyHeading"/>
    <w:uiPriority w:val="99"/>
    <w:rsid w:val="0011304E"/>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11304E"/>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11304E"/>
    <w:pPr>
      <w:outlineLvl w:val="9"/>
    </w:pPr>
    <w:rPr>
      <w:rFonts w:ascii="Times New Roman" w:hAnsi="Times New Roman" w:cs="Times New Roman"/>
      <w:b/>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11304E"/>
    <w:rPr>
      <w:rFonts w:ascii="Times New Roman" w:eastAsiaTheme="majorEastAsia" w:hAnsi="Times New Roman" w:cs="Times New Roman"/>
      <w:b/>
      <w:color w:val="2F5496"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11304E"/>
    <w:pPr>
      <w:outlineLvl w:val="9"/>
    </w:pPr>
    <w:rPr>
      <w:rFonts w:ascii="Times New Roman" w:hAnsi="Times New Roman" w:cs="Times New Roman"/>
      <w:b/>
      <w:lang w:val="en-US"/>
    </w:rPr>
  </w:style>
  <w:style w:type="character" w:customStyle="1" w:styleId="CitaviBibliographySubheading2Zchn">
    <w:name w:val="Citavi Bibliography Subheading 2 Zchn"/>
    <w:basedOn w:val="Absatz-Standardschriftart"/>
    <w:link w:val="CitaviBibliographySubheading2"/>
    <w:uiPriority w:val="99"/>
    <w:rsid w:val="0011304E"/>
    <w:rPr>
      <w:rFonts w:ascii="Times New Roman" w:eastAsiaTheme="majorEastAsia" w:hAnsi="Times New Roman" w:cs="Times New Roman"/>
      <w:b/>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11304E"/>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11304E"/>
    <w:pPr>
      <w:outlineLvl w:val="9"/>
    </w:pPr>
    <w:rPr>
      <w:rFonts w:ascii="Times New Roman" w:hAnsi="Times New Roman" w:cs="Times New Roman"/>
      <w:b/>
      <w:sz w:val="24"/>
      <w:szCs w:val="24"/>
      <w:lang w:val="en-US"/>
    </w:rPr>
  </w:style>
  <w:style w:type="character" w:customStyle="1" w:styleId="CitaviBibliographySubheading3Zchn">
    <w:name w:val="Citavi Bibliography Subheading 3 Zchn"/>
    <w:basedOn w:val="Absatz-Standardschriftart"/>
    <w:link w:val="CitaviBibliographySubheading3"/>
    <w:uiPriority w:val="99"/>
    <w:rsid w:val="0011304E"/>
    <w:rPr>
      <w:rFonts w:ascii="Times New Roman" w:eastAsiaTheme="majorEastAsia" w:hAnsi="Times New Roman" w:cs="Times New Roman"/>
      <w:b/>
      <w:i/>
      <w:iCs/>
      <w:color w:val="2F5496" w:themeColor="accent1" w:themeShade="BF"/>
      <w:sz w:val="24"/>
      <w:szCs w:val="24"/>
      <w:lang w:val="en-US"/>
    </w:rPr>
  </w:style>
  <w:style w:type="character" w:customStyle="1" w:styleId="berschrift4Zchn">
    <w:name w:val="Überschrift 4 Zchn"/>
    <w:basedOn w:val="Absatz-Standardschriftart"/>
    <w:link w:val="berschrift4"/>
    <w:uiPriority w:val="9"/>
    <w:semiHidden/>
    <w:rsid w:val="0011304E"/>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04E"/>
    <w:pPr>
      <w:outlineLvl w:val="9"/>
    </w:pPr>
    <w:rPr>
      <w:rFonts w:ascii="Times New Roman" w:hAnsi="Times New Roman" w:cs="Times New Roman"/>
      <w:b/>
      <w:sz w:val="24"/>
      <w:szCs w:val="24"/>
      <w:lang w:val="en-US"/>
    </w:rPr>
  </w:style>
  <w:style w:type="character" w:customStyle="1" w:styleId="CitaviBibliographySubheading4Zchn">
    <w:name w:val="Citavi Bibliography Subheading 4 Zchn"/>
    <w:basedOn w:val="Absatz-Standardschriftart"/>
    <w:link w:val="CitaviBibliographySubheading4"/>
    <w:uiPriority w:val="99"/>
    <w:rsid w:val="0011304E"/>
    <w:rPr>
      <w:rFonts w:ascii="Times New Roman" w:eastAsiaTheme="majorEastAsia" w:hAnsi="Times New Roman" w:cs="Times New Roman"/>
      <w:b/>
      <w:color w:val="2F5496" w:themeColor="accent1" w:themeShade="BF"/>
      <w:sz w:val="24"/>
      <w:szCs w:val="24"/>
      <w:lang w:val="en-US"/>
    </w:rPr>
  </w:style>
  <w:style w:type="character" w:customStyle="1" w:styleId="berschrift5Zchn">
    <w:name w:val="Überschrift 5 Zchn"/>
    <w:basedOn w:val="Absatz-Standardschriftart"/>
    <w:link w:val="berschrift5"/>
    <w:uiPriority w:val="9"/>
    <w:semiHidden/>
    <w:rsid w:val="0011304E"/>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04E"/>
    <w:pPr>
      <w:outlineLvl w:val="9"/>
    </w:pPr>
    <w:rPr>
      <w:rFonts w:ascii="Times New Roman" w:hAnsi="Times New Roman" w:cs="Times New Roman"/>
      <w:b/>
      <w:sz w:val="24"/>
      <w:szCs w:val="24"/>
      <w:lang w:val="en-US"/>
    </w:rPr>
  </w:style>
  <w:style w:type="character" w:customStyle="1" w:styleId="CitaviBibliographySubheading5Zchn">
    <w:name w:val="Citavi Bibliography Subheading 5 Zchn"/>
    <w:basedOn w:val="Absatz-Standardschriftart"/>
    <w:link w:val="CitaviBibliographySubheading5"/>
    <w:uiPriority w:val="99"/>
    <w:rsid w:val="0011304E"/>
    <w:rPr>
      <w:rFonts w:ascii="Times New Roman" w:eastAsiaTheme="majorEastAsia" w:hAnsi="Times New Roman" w:cs="Times New Roman"/>
      <w:b/>
      <w:color w:val="1F3763" w:themeColor="accent1" w:themeShade="7F"/>
      <w:sz w:val="24"/>
      <w:szCs w:val="24"/>
      <w:lang w:val="en-US"/>
    </w:rPr>
  </w:style>
  <w:style w:type="character" w:customStyle="1" w:styleId="berschrift6Zchn">
    <w:name w:val="Überschrift 6 Zchn"/>
    <w:basedOn w:val="Absatz-Standardschriftart"/>
    <w:link w:val="berschrift6"/>
    <w:uiPriority w:val="9"/>
    <w:semiHidden/>
    <w:rsid w:val="0011304E"/>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04E"/>
    <w:pPr>
      <w:outlineLvl w:val="9"/>
    </w:pPr>
    <w:rPr>
      <w:rFonts w:ascii="Times New Roman" w:hAnsi="Times New Roman" w:cs="Times New Roman"/>
      <w:b/>
      <w:sz w:val="24"/>
      <w:szCs w:val="24"/>
      <w:lang w:val="en-US"/>
    </w:rPr>
  </w:style>
  <w:style w:type="character" w:customStyle="1" w:styleId="CitaviBibliographySubheading6Zchn">
    <w:name w:val="Citavi Bibliography Subheading 6 Zchn"/>
    <w:basedOn w:val="Absatz-Standardschriftart"/>
    <w:link w:val="CitaviBibliographySubheading6"/>
    <w:uiPriority w:val="99"/>
    <w:rsid w:val="0011304E"/>
    <w:rPr>
      <w:rFonts w:ascii="Times New Roman" w:eastAsiaTheme="majorEastAsia" w:hAnsi="Times New Roman" w:cs="Times New Roman"/>
      <w:b/>
      <w:i/>
      <w:iCs/>
      <w:color w:val="1F3763" w:themeColor="accent1" w:themeShade="7F"/>
      <w:sz w:val="24"/>
      <w:szCs w:val="24"/>
      <w:lang w:val="en-US"/>
    </w:rPr>
  </w:style>
  <w:style w:type="character" w:customStyle="1" w:styleId="berschrift7Zchn">
    <w:name w:val="Überschrift 7 Zchn"/>
    <w:basedOn w:val="Absatz-Standardschriftart"/>
    <w:link w:val="berschrift7"/>
    <w:uiPriority w:val="9"/>
    <w:semiHidden/>
    <w:rsid w:val="0011304E"/>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04E"/>
    <w:pPr>
      <w:outlineLvl w:val="9"/>
    </w:pPr>
    <w:rPr>
      <w:rFonts w:ascii="Times New Roman" w:hAnsi="Times New Roman" w:cs="Times New Roman"/>
      <w:b/>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11304E"/>
    <w:rPr>
      <w:rFonts w:ascii="Times New Roman" w:eastAsiaTheme="majorEastAsia" w:hAnsi="Times New Roman" w:cs="Times New Roman"/>
      <w:b/>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11304E"/>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04E"/>
    <w:pPr>
      <w:outlineLvl w:val="9"/>
    </w:pPr>
    <w:rPr>
      <w:rFonts w:ascii="Times New Roman" w:hAnsi="Times New Roman" w:cs="Times New Roman"/>
      <w:b/>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11304E"/>
    <w:rPr>
      <w:rFonts w:ascii="Times New Roman" w:eastAsiaTheme="majorEastAsia" w:hAnsi="Times New Roman" w:cs="Times New Roman"/>
      <w:b/>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11304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F13D1B"/>
    <w:pPr>
      <w:outlineLvl w:val="9"/>
    </w:pPr>
  </w:style>
  <w:style w:type="paragraph" w:styleId="Literaturverzeichnis">
    <w:name w:val="Bibliography"/>
    <w:basedOn w:val="Standard"/>
    <w:next w:val="Standard"/>
    <w:uiPriority w:val="37"/>
    <w:semiHidden/>
    <w:unhideWhenUsed/>
    <w:rsid w:val="00F13D1B"/>
  </w:style>
  <w:style w:type="character" w:styleId="Buchtitel">
    <w:name w:val="Book Title"/>
    <w:basedOn w:val="Absatz-Standardschriftart"/>
    <w:uiPriority w:val="33"/>
    <w:qFormat/>
    <w:rsid w:val="00F13D1B"/>
    <w:rPr>
      <w:b/>
      <w:bCs/>
      <w:i/>
      <w:iCs/>
      <w:spacing w:val="5"/>
    </w:rPr>
  </w:style>
  <w:style w:type="character" w:styleId="IntensiverVerweis">
    <w:name w:val="Intense Reference"/>
    <w:basedOn w:val="Absatz-Standardschriftart"/>
    <w:uiPriority w:val="32"/>
    <w:qFormat/>
    <w:rsid w:val="00F13D1B"/>
    <w:rPr>
      <w:b/>
      <w:bCs/>
      <w:smallCaps/>
      <w:color w:val="4472C4" w:themeColor="accent1"/>
      <w:spacing w:val="5"/>
    </w:rPr>
  </w:style>
  <w:style w:type="character" w:styleId="SchwacherVerweis">
    <w:name w:val="Subtle Reference"/>
    <w:basedOn w:val="Absatz-Standardschriftart"/>
    <w:uiPriority w:val="31"/>
    <w:qFormat/>
    <w:rsid w:val="00F13D1B"/>
    <w:rPr>
      <w:smallCaps/>
      <w:color w:val="5A5A5A" w:themeColor="text1" w:themeTint="A5"/>
    </w:rPr>
  </w:style>
  <w:style w:type="character" w:styleId="IntensiveHervorhebung">
    <w:name w:val="Intense Emphasis"/>
    <w:basedOn w:val="Absatz-Standardschriftart"/>
    <w:uiPriority w:val="21"/>
    <w:qFormat/>
    <w:rsid w:val="00F13D1B"/>
    <w:rPr>
      <w:i/>
      <w:iCs/>
      <w:color w:val="4472C4" w:themeColor="accent1"/>
    </w:rPr>
  </w:style>
  <w:style w:type="character" w:styleId="SchwacheHervorhebung">
    <w:name w:val="Subtle Emphasis"/>
    <w:basedOn w:val="Absatz-Standardschriftart"/>
    <w:uiPriority w:val="19"/>
    <w:qFormat/>
    <w:rsid w:val="00F13D1B"/>
    <w:rPr>
      <w:i/>
      <w:iCs/>
      <w:color w:val="404040" w:themeColor="text1" w:themeTint="BF"/>
    </w:rPr>
  </w:style>
  <w:style w:type="paragraph" w:styleId="IntensivesZitat">
    <w:name w:val="Intense Quote"/>
    <w:basedOn w:val="Standard"/>
    <w:next w:val="Standard"/>
    <w:link w:val="IntensivesZitatZchn"/>
    <w:uiPriority w:val="30"/>
    <w:qFormat/>
    <w:rsid w:val="00F13D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13D1B"/>
    <w:rPr>
      <w:i/>
      <w:iCs/>
      <w:color w:val="4472C4" w:themeColor="accent1"/>
    </w:rPr>
  </w:style>
  <w:style w:type="paragraph" w:styleId="Zitat">
    <w:name w:val="Quote"/>
    <w:basedOn w:val="Standard"/>
    <w:next w:val="Standard"/>
    <w:link w:val="ZitatZchn"/>
    <w:uiPriority w:val="29"/>
    <w:qFormat/>
    <w:rsid w:val="00F13D1B"/>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13D1B"/>
    <w:rPr>
      <w:i/>
      <w:iCs/>
      <w:color w:val="404040" w:themeColor="text1" w:themeTint="BF"/>
    </w:rPr>
  </w:style>
  <w:style w:type="table" w:styleId="MittlereListe1-Akzent1">
    <w:name w:val="Medium List 1 Accent 1"/>
    <w:basedOn w:val="NormaleTabelle"/>
    <w:uiPriority w:val="65"/>
    <w:rsid w:val="00F13D1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F13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F13D1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13D1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F13D1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F13D1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F13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F13D1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F13D1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13D1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F13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F13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F13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F13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F13D1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F13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F13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13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F13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F13D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F13D1B"/>
    <w:pPr>
      <w:spacing w:after="0" w:line="240" w:lineRule="auto"/>
    </w:pPr>
  </w:style>
  <w:style w:type="character" w:styleId="HTMLVariable">
    <w:name w:val="HTML Variable"/>
    <w:basedOn w:val="Absatz-Standardschriftart"/>
    <w:uiPriority w:val="99"/>
    <w:semiHidden/>
    <w:unhideWhenUsed/>
    <w:rsid w:val="00F13D1B"/>
    <w:rPr>
      <w:i/>
      <w:iCs/>
    </w:rPr>
  </w:style>
  <w:style w:type="character" w:styleId="HTMLSchreibmaschine">
    <w:name w:val="HTML Typewriter"/>
    <w:basedOn w:val="Absatz-Standardschriftart"/>
    <w:uiPriority w:val="99"/>
    <w:semiHidden/>
    <w:unhideWhenUsed/>
    <w:rsid w:val="00F13D1B"/>
    <w:rPr>
      <w:rFonts w:ascii="Consolas" w:hAnsi="Consolas"/>
      <w:sz w:val="20"/>
      <w:szCs w:val="20"/>
    </w:rPr>
  </w:style>
  <w:style w:type="character" w:styleId="HTMLBeispiel">
    <w:name w:val="HTML Sample"/>
    <w:basedOn w:val="Absatz-Standardschriftart"/>
    <w:uiPriority w:val="99"/>
    <w:semiHidden/>
    <w:unhideWhenUsed/>
    <w:rsid w:val="00F13D1B"/>
    <w:rPr>
      <w:rFonts w:ascii="Consolas" w:hAnsi="Consolas"/>
      <w:sz w:val="24"/>
      <w:szCs w:val="24"/>
    </w:rPr>
  </w:style>
  <w:style w:type="paragraph" w:styleId="HTMLVorformatiert">
    <w:name w:val="HTML Preformatted"/>
    <w:basedOn w:val="Standard"/>
    <w:link w:val="HTMLVorformatiertZchn"/>
    <w:uiPriority w:val="99"/>
    <w:semiHidden/>
    <w:unhideWhenUsed/>
    <w:rsid w:val="00F13D1B"/>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13D1B"/>
    <w:rPr>
      <w:rFonts w:ascii="Consolas" w:hAnsi="Consolas"/>
      <w:sz w:val="20"/>
      <w:szCs w:val="20"/>
    </w:rPr>
  </w:style>
  <w:style w:type="character" w:styleId="HTMLTastatur">
    <w:name w:val="HTML Keyboard"/>
    <w:basedOn w:val="Absatz-Standardschriftart"/>
    <w:uiPriority w:val="99"/>
    <w:semiHidden/>
    <w:unhideWhenUsed/>
    <w:rsid w:val="00F13D1B"/>
    <w:rPr>
      <w:rFonts w:ascii="Consolas" w:hAnsi="Consolas"/>
      <w:sz w:val="20"/>
      <w:szCs w:val="20"/>
    </w:rPr>
  </w:style>
  <w:style w:type="character" w:styleId="HTMLDefinition">
    <w:name w:val="HTML Definition"/>
    <w:basedOn w:val="Absatz-Standardschriftart"/>
    <w:uiPriority w:val="99"/>
    <w:semiHidden/>
    <w:unhideWhenUsed/>
    <w:rsid w:val="00F13D1B"/>
    <w:rPr>
      <w:i/>
      <w:iCs/>
    </w:rPr>
  </w:style>
  <w:style w:type="character" w:styleId="HTMLCode">
    <w:name w:val="HTML Code"/>
    <w:basedOn w:val="Absatz-Standardschriftart"/>
    <w:uiPriority w:val="99"/>
    <w:semiHidden/>
    <w:unhideWhenUsed/>
    <w:rsid w:val="00F13D1B"/>
    <w:rPr>
      <w:rFonts w:ascii="Consolas" w:hAnsi="Consolas"/>
      <w:sz w:val="20"/>
      <w:szCs w:val="20"/>
    </w:rPr>
  </w:style>
  <w:style w:type="character" w:styleId="HTMLZitat">
    <w:name w:val="HTML Cite"/>
    <w:basedOn w:val="Absatz-Standardschriftart"/>
    <w:uiPriority w:val="99"/>
    <w:semiHidden/>
    <w:unhideWhenUsed/>
    <w:rsid w:val="00F13D1B"/>
    <w:rPr>
      <w:i/>
      <w:iCs/>
    </w:rPr>
  </w:style>
  <w:style w:type="paragraph" w:styleId="HTMLAdresse">
    <w:name w:val="HTML Address"/>
    <w:basedOn w:val="Standard"/>
    <w:link w:val="HTMLAdresseZchn"/>
    <w:uiPriority w:val="99"/>
    <w:semiHidden/>
    <w:unhideWhenUsed/>
    <w:rsid w:val="00F13D1B"/>
    <w:pPr>
      <w:spacing w:after="0" w:line="240" w:lineRule="auto"/>
    </w:pPr>
    <w:rPr>
      <w:i/>
      <w:iCs/>
    </w:rPr>
  </w:style>
  <w:style w:type="character" w:customStyle="1" w:styleId="HTMLAdresseZchn">
    <w:name w:val="HTML Adresse Zchn"/>
    <w:basedOn w:val="Absatz-Standardschriftart"/>
    <w:link w:val="HTMLAdresse"/>
    <w:uiPriority w:val="99"/>
    <w:semiHidden/>
    <w:rsid w:val="00F13D1B"/>
    <w:rPr>
      <w:i/>
      <w:iCs/>
    </w:rPr>
  </w:style>
  <w:style w:type="character" w:styleId="HTMLAkronym">
    <w:name w:val="HTML Acronym"/>
    <w:basedOn w:val="Absatz-Standardschriftart"/>
    <w:uiPriority w:val="99"/>
    <w:semiHidden/>
    <w:unhideWhenUsed/>
    <w:rsid w:val="00F13D1B"/>
  </w:style>
  <w:style w:type="paragraph" w:styleId="StandardWeb">
    <w:name w:val="Normal (Web)"/>
    <w:basedOn w:val="Standard"/>
    <w:uiPriority w:val="99"/>
    <w:semiHidden/>
    <w:unhideWhenUsed/>
    <w:rsid w:val="00F13D1B"/>
    <w:rPr>
      <w:rFonts w:ascii="Times New Roman" w:hAnsi="Times New Roman" w:cs="Times New Roman"/>
      <w:sz w:val="24"/>
      <w:szCs w:val="24"/>
    </w:rPr>
  </w:style>
  <w:style w:type="paragraph" w:styleId="NurText">
    <w:name w:val="Plain Text"/>
    <w:basedOn w:val="Standard"/>
    <w:link w:val="NurTextZchn"/>
    <w:uiPriority w:val="99"/>
    <w:semiHidden/>
    <w:unhideWhenUsed/>
    <w:rsid w:val="00F13D1B"/>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13D1B"/>
    <w:rPr>
      <w:rFonts w:ascii="Consolas" w:hAnsi="Consolas"/>
      <w:sz w:val="21"/>
      <w:szCs w:val="21"/>
    </w:rPr>
  </w:style>
  <w:style w:type="paragraph" w:styleId="Dokumentstruktur">
    <w:name w:val="Document Map"/>
    <w:basedOn w:val="Standard"/>
    <w:link w:val="DokumentstrukturZchn"/>
    <w:uiPriority w:val="99"/>
    <w:semiHidden/>
    <w:unhideWhenUsed/>
    <w:rsid w:val="00F13D1B"/>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13D1B"/>
    <w:rPr>
      <w:rFonts w:ascii="Segoe UI" w:hAnsi="Segoe UI" w:cs="Segoe UI"/>
      <w:sz w:val="16"/>
      <w:szCs w:val="16"/>
    </w:rPr>
  </w:style>
  <w:style w:type="character" w:styleId="Hervorhebung">
    <w:name w:val="Emphasis"/>
    <w:basedOn w:val="Absatz-Standardschriftart"/>
    <w:uiPriority w:val="20"/>
    <w:qFormat/>
    <w:rsid w:val="00F13D1B"/>
    <w:rPr>
      <w:i/>
      <w:iCs/>
    </w:rPr>
  </w:style>
  <w:style w:type="character" w:styleId="Fett">
    <w:name w:val="Strong"/>
    <w:basedOn w:val="Absatz-Standardschriftart"/>
    <w:uiPriority w:val="22"/>
    <w:qFormat/>
    <w:rsid w:val="00F13D1B"/>
    <w:rPr>
      <w:b/>
      <w:bCs/>
    </w:rPr>
  </w:style>
  <w:style w:type="character" w:styleId="BesuchterLink">
    <w:name w:val="FollowedHyperlink"/>
    <w:basedOn w:val="Absatz-Standardschriftart"/>
    <w:uiPriority w:val="99"/>
    <w:semiHidden/>
    <w:unhideWhenUsed/>
    <w:rsid w:val="00F13D1B"/>
    <w:rPr>
      <w:color w:val="954F72" w:themeColor="followedHyperlink"/>
      <w:u w:val="single"/>
    </w:rPr>
  </w:style>
  <w:style w:type="paragraph" w:styleId="Blocktext">
    <w:name w:val="Block Text"/>
    <w:basedOn w:val="Standard"/>
    <w:uiPriority w:val="99"/>
    <w:semiHidden/>
    <w:unhideWhenUsed/>
    <w:rsid w:val="00F13D1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F13D1B"/>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13D1B"/>
    <w:rPr>
      <w:sz w:val="16"/>
      <w:szCs w:val="16"/>
    </w:rPr>
  </w:style>
  <w:style w:type="paragraph" w:styleId="Textkrper-Einzug2">
    <w:name w:val="Body Text Indent 2"/>
    <w:basedOn w:val="Standard"/>
    <w:link w:val="Textkrper-Einzug2Zchn"/>
    <w:uiPriority w:val="99"/>
    <w:semiHidden/>
    <w:unhideWhenUsed/>
    <w:rsid w:val="00F13D1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13D1B"/>
  </w:style>
  <w:style w:type="paragraph" w:styleId="Textkrper3">
    <w:name w:val="Body Text 3"/>
    <w:basedOn w:val="Standard"/>
    <w:link w:val="Textkrper3Zchn"/>
    <w:uiPriority w:val="99"/>
    <w:semiHidden/>
    <w:unhideWhenUsed/>
    <w:rsid w:val="00F13D1B"/>
    <w:pPr>
      <w:spacing w:after="120"/>
    </w:pPr>
    <w:rPr>
      <w:sz w:val="16"/>
      <w:szCs w:val="16"/>
    </w:rPr>
  </w:style>
  <w:style w:type="character" w:customStyle="1" w:styleId="Textkrper3Zchn">
    <w:name w:val="Textkörper 3 Zchn"/>
    <w:basedOn w:val="Absatz-Standardschriftart"/>
    <w:link w:val="Textkrper3"/>
    <w:uiPriority w:val="99"/>
    <w:semiHidden/>
    <w:rsid w:val="00F13D1B"/>
    <w:rPr>
      <w:sz w:val="16"/>
      <w:szCs w:val="16"/>
    </w:rPr>
  </w:style>
  <w:style w:type="paragraph" w:styleId="Textkrper2">
    <w:name w:val="Body Text 2"/>
    <w:basedOn w:val="Standard"/>
    <w:link w:val="Textkrper2Zchn"/>
    <w:uiPriority w:val="99"/>
    <w:semiHidden/>
    <w:unhideWhenUsed/>
    <w:rsid w:val="00F13D1B"/>
    <w:pPr>
      <w:spacing w:after="120" w:line="480" w:lineRule="auto"/>
    </w:pPr>
  </w:style>
  <w:style w:type="character" w:customStyle="1" w:styleId="Textkrper2Zchn">
    <w:name w:val="Textkörper 2 Zchn"/>
    <w:basedOn w:val="Absatz-Standardschriftart"/>
    <w:link w:val="Textkrper2"/>
    <w:uiPriority w:val="99"/>
    <w:semiHidden/>
    <w:rsid w:val="00F13D1B"/>
  </w:style>
  <w:style w:type="paragraph" w:styleId="Fu-Endnotenberschrift">
    <w:name w:val="Note Heading"/>
    <w:basedOn w:val="Standard"/>
    <w:next w:val="Standard"/>
    <w:link w:val="Fu-EndnotenberschriftZchn"/>
    <w:uiPriority w:val="99"/>
    <w:semiHidden/>
    <w:unhideWhenUsed/>
    <w:rsid w:val="00F13D1B"/>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13D1B"/>
  </w:style>
  <w:style w:type="paragraph" w:styleId="Textkrper-Zeileneinzug">
    <w:name w:val="Body Text Indent"/>
    <w:basedOn w:val="Standard"/>
    <w:link w:val="Textkrper-ZeileneinzugZchn"/>
    <w:uiPriority w:val="99"/>
    <w:semiHidden/>
    <w:unhideWhenUsed/>
    <w:rsid w:val="00F13D1B"/>
    <w:pPr>
      <w:spacing w:after="120"/>
      <w:ind w:left="283"/>
    </w:pPr>
  </w:style>
  <w:style w:type="character" w:customStyle="1" w:styleId="Textkrper-ZeileneinzugZchn">
    <w:name w:val="Textkörper-Zeileneinzug Zchn"/>
    <w:basedOn w:val="Absatz-Standardschriftart"/>
    <w:link w:val="Textkrper-Zeileneinzug"/>
    <w:uiPriority w:val="99"/>
    <w:semiHidden/>
    <w:rsid w:val="00F13D1B"/>
  </w:style>
  <w:style w:type="paragraph" w:styleId="Textkrper-Erstzeileneinzug2">
    <w:name w:val="Body Text First Indent 2"/>
    <w:basedOn w:val="Textkrper-Zeileneinzug"/>
    <w:link w:val="Textkrper-Erstzeileneinzug2Zchn"/>
    <w:uiPriority w:val="99"/>
    <w:semiHidden/>
    <w:unhideWhenUsed/>
    <w:rsid w:val="00F13D1B"/>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13D1B"/>
  </w:style>
  <w:style w:type="paragraph" w:styleId="Textkrper">
    <w:name w:val="Body Text"/>
    <w:basedOn w:val="Standard"/>
    <w:link w:val="TextkrperZchn"/>
    <w:uiPriority w:val="99"/>
    <w:semiHidden/>
    <w:unhideWhenUsed/>
    <w:rsid w:val="00F13D1B"/>
    <w:pPr>
      <w:spacing w:after="120"/>
    </w:pPr>
  </w:style>
  <w:style w:type="character" w:customStyle="1" w:styleId="TextkrperZchn">
    <w:name w:val="Textkörper Zchn"/>
    <w:basedOn w:val="Absatz-Standardschriftart"/>
    <w:link w:val="Textkrper"/>
    <w:uiPriority w:val="99"/>
    <w:semiHidden/>
    <w:rsid w:val="00F13D1B"/>
  </w:style>
  <w:style w:type="paragraph" w:styleId="Textkrper-Erstzeileneinzug">
    <w:name w:val="Body Text First Indent"/>
    <w:basedOn w:val="Textkrper"/>
    <w:link w:val="Textkrper-ErstzeileneinzugZchn"/>
    <w:uiPriority w:val="99"/>
    <w:semiHidden/>
    <w:unhideWhenUsed/>
    <w:rsid w:val="00F13D1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13D1B"/>
  </w:style>
  <w:style w:type="paragraph" w:styleId="Datum">
    <w:name w:val="Date"/>
    <w:basedOn w:val="Standard"/>
    <w:next w:val="Standard"/>
    <w:link w:val="DatumZchn"/>
    <w:uiPriority w:val="99"/>
    <w:semiHidden/>
    <w:unhideWhenUsed/>
    <w:rsid w:val="00F13D1B"/>
  </w:style>
  <w:style w:type="character" w:customStyle="1" w:styleId="DatumZchn">
    <w:name w:val="Datum Zchn"/>
    <w:basedOn w:val="Absatz-Standardschriftart"/>
    <w:link w:val="Datum"/>
    <w:uiPriority w:val="99"/>
    <w:semiHidden/>
    <w:rsid w:val="00F13D1B"/>
  </w:style>
  <w:style w:type="paragraph" w:styleId="Anrede">
    <w:name w:val="Salutation"/>
    <w:basedOn w:val="Standard"/>
    <w:next w:val="Standard"/>
    <w:link w:val="AnredeZchn"/>
    <w:uiPriority w:val="99"/>
    <w:semiHidden/>
    <w:unhideWhenUsed/>
    <w:rsid w:val="00F13D1B"/>
  </w:style>
  <w:style w:type="character" w:customStyle="1" w:styleId="AnredeZchn">
    <w:name w:val="Anrede Zchn"/>
    <w:basedOn w:val="Absatz-Standardschriftart"/>
    <w:link w:val="Anrede"/>
    <w:uiPriority w:val="99"/>
    <w:semiHidden/>
    <w:rsid w:val="00F13D1B"/>
  </w:style>
  <w:style w:type="paragraph" w:styleId="Untertitel">
    <w:name w:val="Subtitle"/>
    <w:basedOn w:val="Standard"/>
    <w:next w:val="Standard"/>
    <w:link w:val="UntertitelZchn"/>
    <w:uiPriority w:val="11"/>
    <w:qFormat/>
    <w:rsid w:val="00F13D1B"/>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13D1B"/>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F13D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13D1B"/>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F13D1B"/>
    <w:pPr>
      <w:spacing w:after="120"/>
      <w:ind w:left="1415"/>
      <w:contextualSpacing/>
    </w:pPr>
  </w:style>
  <w:style w:type="paragraph" w:styleId="Listenfortsetzung4">
    <w:name w:val="List Continue 4"/>
    <w:basedOn w:val="Standard"/>
    <w:uiPriority w:val="99"/>
    <w:semiHidden/>
    <w:unhideWhenUsed/>
    <w:rsid w:val="00F13D1B"/>
    <w:pPr>
      <w:spacing w:after="120"/>
      <w:ind w:left="1132"/>
      <w:contextualSpacing/>
    </w:pPr>
  </w:style>
  <w:style w:type="paragraph" w:styleId="Listenfortsetzung3">
    <w:name w:val="List Continue 3"/>
    <w:basedOn w:val="Standard"/>
    <w:uiPriority w:val="99"/>
    <w:semiHidden/>
    <w:unhideWhenUsed/>
    <w:rsid w:val="00F13D1B"/>
    <w:pPr>
      <w:spacing w:after="120"/>
      <w:ind w:left="849"/>
      <w:contextualSpacing/>
    </w:pPr>
  </w:style>
  <w:style w:type="paragraph" w:styleId="Listenfortsetzung2">
    <w:name w:val="List Continue 2"/>
    <w:basedOn w:val="Standard"/>
    <w:uiPriority w:val="99"/>
    <w:semiHidden/>
    <w:unhideWhenUsed/>
    <w:rsid w:val="00F13D1B"/>
    <w:pPr>
      <w:spacing w:after="120"/>
      <w:ind w:left="566"/>
      <w:contextualSpacing/>
    </w:pPr>
  </w:style>
  <w:style w:type="paragraph" w:styleId="Listenfortsetzung">
    <w:name w:val="List Continue"/>
    <w:basedOn w:val="Standard"/>
    <w:uiPriority w:val="99"/>
    <w:semiHidden/>
    <w:unhideWhenUsed/>
    <w:rsid w:val="00F13D1B"/>
    <w:pPr>
      <w:spacing w:after="120"/>
      <w:ind w:left="283"/>
      <w:contextualSpacing/>
    </w:pPr>
  </w:style>
  <w:style w:type="paragraph" w:styleId="Unterschrift">
    <w:name w:val="Signature"/>
    <w:basedOn w:val="Standard"/>
    <w:link w:val="UnterschriftZchn"/>
    <w:uiPriority w:val="99"/>
    <w:semiHidden/>
    <w:unhideWhenUsed/>
    <w:rsid w:val="00F13D1B"/>
    <w:pPr>
      <w:spacing w:after="0" w:line="240" w:lineRule="auto"/>
      <w:ind w:left="4252"/>
    </w:pPr>
  </w:style>
  <w:style w:type="character" w:customStyle="1" w:styleId="UnterschriftZchn">
    <w:name w:val="Unterschrift Zchn"/>
    <w:basedOn w:val="Absatz-Standardschriftart"/>
    <w:link w:val="Unterschrift"/>
    <w:uiPriority w:val="99"/>
    <w:semiHidden/>
    <w:rsid w:val="00F13D1B"/>
  </w:style>
  <w:style w:type="paragraph" w:styleId="Gruformel">
    <w:name w:val="Closing"/>
    <w:basedOn w:val="Standard"/>
    <w:link w:val="GruformelZchn"/>
    <w:uiPriority w:val="99"/>
    <w:semiHidden/>
    <w:unhideWhenUsed/>
    <w:rsid w:val="00F13D1B"/>
    <w:pPr>
      <w:spacing w:after="0" w:line="240" w:lineRule="auto"/>
      <w:ind w:left="4252"/>
    </w:pPr>
  </w:style>
  <w:style w:type="character" w:customStyle="1" w:styleId="GruformelZchn">
    <w:name w:val="Grußformel Zchn"/>
    <w:basedOn w:val="Absatz-Standardschriftart"/>
    <w:link w:val="Gruformel"/>
    <w:uiPriority w:val="99"/>
    <w:semiHidden/>
    <w:rsid w:val="00F13D1B"/>
  </w:style>
  <w:style w:type="paragraph" w:styleId="Titel">
    <w:name w:val="Title"/>
    <w:basedOn w:val="Standard"/>
    <w:next w:val="Standard"/>
    <w:link w:val="TitelZchn"/>
    <w:uiPriority w:val="10"/>
    <w:qFormat/>
    <w:rsid w:val="00F13D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3D1B"/>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F13D1B"/>
    <w:pPr>
      <w:numPr>
        <w:numId w:val="5"/>
      </w:numPr>
      <w:contextualSpacing/>
    </w:pPr>
  </w:style>
  <w:style w:type="paragraph" w:styleId="Listennummer4">
    <w:name w:val="List Number 4"/>
    <w:basedOn w:val="Standard"/>
    <w:uiPriority w:val="99"/>
    <w:semiHidden/>
    <w:unhideWhenUsed/>
    <w:rsid w:val="00F13D1B"/>
    <w:pPr>
      <w:numPr>
        <w:numId w:val="6"/>
      </w:numPr>
      <w:contextualSpacing/>
    </w:pPr>
  </w:style>
  <w:style w:type="paragraph" w:styleId="Listennummer3">
    <w:name w:val="List Number 3"/>
    <w:basedOn w:val="Standard"/>
    <w:uiPriority w:val="99"/>
    <w:semiHidden/>
    <w:unhideWhenUsed/>
    <w:rsid w:val="00F13D1B"/>
    <w:pPr>
      <w:numPr>
        <w:numId w:val="7"/>
      </w:numPr>
      <w:contextualSpacing/>
    </w:pPr>
  </w:style>
  <w:style w:type="paragraph" w:styleId="Listennummer2">
    <w:name w:val="List Number 2"/>
    <w:basedOn w:val="Standard"/>
    <w:uiPriority w:val="99"/>
    <w:semiHidden/>
    <w:unhideWhenUsed/>
    <w:rsid w:val="00F13D1B"/>
    <w:pPr>
      <w:numPr>
        <w:numId w:val="8"/>
      </w:numPr>
      <w:contextualSpacing/>
    </w:pPr>
  </w:style>
  <w:style w:type="paragraph" w:styleId="Aufzhlungszeichen5">
    <w:name w:val="List Bullet 5"/>
    <w:basedOn w:val="Standard"/>
    <w:uiPriority w:val="99"/>
    <w:semiHidden/>
    <w:unhideWhenUsed/>
    <w:rsid w:val="00F13D1B"/>
    <w:pPr>
      <w:numPr>
        <w:numId w:val="9"/>
      </w:numPr>
      <w:contextualSpacing/>
    </w:pPr>
  </w:style>
  <w:style w:type="paragraph" w:styleId="Aufzhlungszeichen4">
    <w:name w:val="List Bullet 4"/>
    <w:basedOn w:val="Standard"/>
    <w:uiPriority w:val="99"/>
    <w:semiHidden/>
    <w:unhideWhenUsed/>
    <w:rsid w:val="00F13D1B"/>
    <w:pPr>
      <w:numPr>
        <w:numId w:val="10"/>
      </w:numPr>
      <w:contextualSpacing/>
    </w:pPr>
  </w:style>
  <w:style w:type="paragraph" w:styleId="Aufzhlungszeichen3">
    <w:name w:val="List Bullet 3"/>
    <w:basedOn w:val="Standard"/>
    <w:uiPriority w:val="99"/>
    <w:semiHidden/>
    <w:unhideWhenUsed/>
    <w:rsid w:val="00F13D1B"/>
    <w:pPr>
      <w:numPr>
        <w:numId w:val="11"/>
      </w:numPr>
      <w:contextualSpacing/>
    </w:pPr>
  </w:style>
  <w:style w:type="paragraph" w:styleId="Aufzhlungszeichen2">
    <w:name w:val="List Bullet 2"/>
    <w:basedOn w:val="Standard"/>
    <w:uiPriority w:val="99"/>
    <w:semiHidden/>
    <w:unhideWhenUsed/>
    <w:rsid w:val="00F13D1B"/>
    <w:pPr>
      <w:numPr>
        <w:numId w:val="12"/>
      </w:numPr>
      <w:contextualSpacing/>
    </w:pPr>
  </w:style>
  <w:style w:type="paragraph" w:styleId="Liste5">
    <w:name w:val="List 5"/>
    <w:basedOn w:val="Standard"/>
    <w:uiPriority w:val="99"/>
    <w:semiHidden/>
    <w:unhideWhenUsed/>
    <w:rsid w:val="00F13D1B"/>
    <w:pPr>
      <w:ind w:left="1415" w:hanging="283"/>
      <w:contextualSpacing/>
    </w:pPr>
  </w:style>
  <w:style w:type="paragraph" w:styleId="Liste4">
    <w:name w:val="List 4"/>
    <w:basedOn w:val="Standard"/>
    <w:uiPriority w:val="99"/>
    <w:semiHidden/>
    <w:unhideWhenUsed/>
    <w:rsid w:val="00F13D1B"/>
    <w:pPr>
      <w:ind w:left="1132" w:hanging="283"/>
      <w:contextualSpacing/>
    </w:pPr>
  </w:style>
  <w:style w:type="paragraph" w:styleId="Liste3">
    <w:name w:val="List 3"/>
    <w:basedOn w:val="Standard"/>
    <w:uiPriority w:val="99"/>
    <w:semiHidden/>
    <w:unhideWhenUsed/>
    <w:rsid w:val="00F13D1B"/>
    <w:pPr>
      <w:ind w:left="849" w:hanging="283"/>
      <w:contextualSpacing/>
    </w:pPr>
  </w:style>
  <w:style w:type="paragraph" w:styleId="Liste2">
    <w:name w:val="List 2"/>
    <w:basedOn w:val="Standard"/>
    <w:uiPriority w:val="99"/>
    <w:semiHidden/>
    <w:unhideWhenUsed/>
    <w:rsid w:val="00F13D1B"/>
    <w:pPr>
      <w:ind w:left="566" w:hanging="283"/>
      <w:contextualSpacing/>
    </w:pPr>
  </w:style>
  <w:style w:type="paragraph" w:styleId="Listennummer">
    <w:name w:val="List Number"/>
    <w:basedOn w:val="Standard"/>
    <w:uiPriority w:val="99"/>
    <w:semiHidden/>
    <w:unhideWhenUsed/>
    <w:rsid w:val="00F13D1B"/>
    <w:pPr>
      <w:numPr>
        <w:numId w:val="13"/>
      </w:numPr>
      <w:contextualSpacing/>
    </w:pPr>
  </w:style>
  <w:style w:type="paragraph" w:styleId="Aufzhlungszeichen">
    <w:name w:val="List Bullet"/>
    <w:basedOn w:val="Standard"/>
    <w:uiPriority w:val="99"/>
    <w:semiHidden/>
    <w:unhideWhenUsed/>
    <w:rsid w:val="00F13D1B"/>
    <w:pPr>
      <w:numPr>
        <w:numId w:val="14"/>
      </w:numPr>
      <w:contextualSpacing/>
    </w:pPr>
  </w:style>
  <w:style w:type="paragraph" w:styleId="Liste">
    <w:name w:val="List"/>
    <w:basedOn w:val="Standard"/>
    <w:uiPriority w:val="99"/>
    <w:semiHidden/>
    <w:unhideWhenUsed/>
    <w:rsid w:val="00F13D1B"/>
    <w:pPr>
      <w:ind w:left="283" w:hanging="283"/>
      <w:contextualSpacing/>
    </w:pPr>
  </w:style>
  <w:style w:type="paragraph" w:styleId="RGV-berschrift">
    <w:name w:val="toa heading"/>
    <w:basedOn w:val="Standard"/>
    <w:next w:val="Standard"/>
    <w:uiPriority w:val="99"/>
    <w:semiHidden/>
    <w:unhideWhenUsed/>
    <w:rsid w:val="00F13D1B"/>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F13D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13D1B"/>
    <w:rPr>
      <w:rFonts w:ascii="Consolas" w:hAnsi="Consolas"/>
      <w:sz w:val="20"/>
      <w:szCs w:val="20"/>
    </w:rPr>
  </w:style>
  <w:style w:type="paragraph" w:styleId="Rechtsgrundlagenverzeichnis">
    <w:name w:val="table of authorities"/>
    <w:basedOn w:val="Standard"/>
    <w:next w:val="Standard"/>
    <w:uiPriority w:val="99"/>
    <w:semiHidden/>
    <w:unhideWhenUsed/>
    <w:rsid w:val="00F13D1B"/>
    <w:pPr>
      <w:spacing w:after="0"/>
      <w:ind w:left="220" w:hanging="220"/>
    </w:pPr>
  </w:style>
  <w:style w:type="paragraph" w:styleId="Endnotentext">
    <w:name w:val="endnote text"/>
    <w:basedOn w:val="Standard"/>
    <w:link w:val="EndnotentextZchn"/>
    <w:uiPriority w:val="99"/>
    <w:semiHidden/>
    <w:unhideWhenUsed/>
    <w:rsid w:val="00F13D1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13D1B"/>
    <w:rPr>
      <w:sz w:val="20"/>
      <w:szCs w:val="20"/>
    </w:rPr>
  </w:style>
  <w:style w:type="character" w:styleId="Endnotenzeichen">
    <w:name w:val="endnote reference"/>
    <w:basedOn w:val="Absatz-Standardschriftart"/>
    <w:uiPriority w:val="99"/>
    <w:semiHidden/>
    <w:unhideWhenUsed/>
    <w:rsid w:val="00F13D1B"/>
    <w:rPr>
      <w:vertAlign w:val="superscript"/>
    </w:rPr>
  </w:style>
  <w:style w:type="character" w:styleId="Seitenzahl">
    <w:name w:val="page number"/>
    <w:basedOn w:val="Absatz-Standardschriftart"/>
    <w:uiPriority w:val="99"/>
    <w:semiHidden/>
    <w:unhideWhenUsed/>
    <w:rsid w:val="00F13D1B"/>
  </w:style>
  <w:style w:type="character" w:styleId="Zeilennummer">
    <w:name w:val="line number"/>
    <w:basedOn w:val="Absatz-Standardschriftart"/>
    <w:uiPriority w:val="99"/>
    <w:semiHidden/>
    <w:unhideWhenUsed/>
    <w:rsid w:val="00F13D1B"/>
  </w:style>
  <w:style w:type="character" w:styleId="Funotenzeichen">
    <w:name w:val="footnote reference"/>
    <w:basedOn w:val="Absatz-Standardschriftart"/>
    <w:uiPriority w:val="99"/>
    <w:semiHidden/>
    <w:unhideWhenUsed/>
    <w:rsid w:val="00F13D1B"/>
    <w:rPr>
      <w:vertAlign w:val="superscript"/>
    </w:rPr>
  </w:style>
  <w:style w:type="paragraph" w:styleId="Umschlagabsenderadresse">
    <w:name w:val="envelope return"/>
    <w:basedOn w:val="Standard"/>
    <w:uiPriority w:val="99"/>
    <w:semiHidden/>
    <w:unhideWhenUsed/>
    <w:rsid w:val="00F13D1B"/>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13D1B"/>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F13D1B"/>
    <w:pPr>
      <w:spacing w:after="0"/>
    </w:pPr>
  </w:style>
  <w:style w:type="paragraph" w:styleId="Beschriftung">
    <w:name w:val="caption"/>
    <w:basedOn w:val="Standard"/>
    <w:next w:val="Standard"/>
    <w:uiPriority w:val="35"/>
    <w:semiHidden/>
    <w:unhideWhenUsed/>
    <w:qFormat/>
    <w:rsid w:val="00F13D1B"/>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F13D1B"/>
    <w:pPr>
      <w:spacing w:after="0" w:line="240" w:lineRule="auto"/>
      <w:ind w:left="220" w:hanging="220"/>
    </w:pPr>
  </w:style>
  <w:style w:type="paragraph" w:styleId="Indexberschrift">
    <w:name w:val="index heading"/>
    <w:basedOn w:val="Standard"/>
    <w:next w:val="Index1"/>
    <w:uiPriority w:val="99"/>
    <w:semiHidden/>
    <w:unhideWhenUsed/>
    <w:rsid w:val="00F13D1B"/>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F13D1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13D1B"/>
    <w:rPr>
      <w:sz w:val="20"/>
      <w:szCs w:val="20"/>
    </w:rPr>
  </w:style>
  <w:style w:type="paragraph" w:styleId="Standardeinzug">
    <w:name w:val="Normal Indent"/>
    <w:basedOn w:val="Standard"/>
    <w:uiPriority w:val="99"/>
    <w:semiHidden/>
    <w:unhideWhenUsed/>
    <w:rsid w:val="00F13D1B"/>
    <w:pPr>
      <w:ind w:left="708"/>
    </w:pPr>
  </w:style>
  <w:style w:type="paragraph" w:styleId="Verzeichnis9">
    <w:name w:val="toc 9"/>
    <w:basedOn w:val="Standard"/>
    <w:next w:val="Standard"/>
    <w:autoRedefine/>
    <w:uiPriority w:val="39"/>
    <w:semiHidden/>
    <w:unhideWhenUsed/>
    <w:rsid w:val="00F13D1B"/>
    <w:pPr>
      <w:spacing w:after="100"/>
      <w:ind w:left="1760"/>
    </w:pPr>
  </w:style>
  <w:style w:type="paragraph" w:styleId="Verzeichnis8">
    <w:name w:val="toc 8"/>
    <w:basedOn w:val="Standard"/>
    <w:next w:val="Standard"/>
    <w:autoRedefine/>
    <w:uiPriority w:val="39"/>
    <w:semiHidden/>
    <w:unhideWhenUsed/>
    <w:rsid w:val="00F13D1B"/>
    <w:pPr>
      <w:spacing w:after="100"/>
      <w:ind w:left="1540"/>
    </w:pPr>
  </w:style>
  <w:style w:type="paragraph" w:styleId="Verzeichnis7">
    <w:name w:val="toc 7"/>
    <w:basedOn w:val="Standard"/>
    <w:next w:val="Standard"/>
    <w:autoRedefine/>
    <w:uiPriority w:val="39"/>
    <w:semiHidden/>
    <w:unhideWhenUsed/>
    <w:rsid w:val="00F13D1B"/>
    <w:pPr>
      <w:spacing w:after="100"/>
      <w:ind w:left="1320"/>
    </w:pPr>
  </w:style>
  <w:style w:type="paragraph" w:styleId="Verzeichnis6">
    <w:name w:val="toc 6"/>
    <w:basedOn w:val="Standard"/>
    <w:next w:val="Standard"/>
    <w:autoRedefine/>
    <w:uiPriority w:val="39"/>
    <w:semiHidden/>
    <w:unhideWhenUsed/>
    <w:rsid w:val="00F13D1B"/>
    <w:pPr>
      <w:spacing w:after="100"/>
      <w:ind w:left="1100"/>
    </w:pPr>
  </w:style>
  <w:style w:type="paragraph" w:styleId="Verzeichnis5">
    <w:name w:val="toc 5"/>
    <w:basedOn w:val="Standard"/>
    <w:next w:val="Standard"/>
    <w:autoRedefine/>
    <w:uiPriority w:val="39"/>
    <w:semiHidden/>
    <w:unhideWhenUsed/>
    <w:rsid w:val="00F13D1B"/>
    <w:pPr>
      <w:spacing w:after="100"/>
      <w:ind w:left="880"/>
    </w:pPr>
  </w:style>
  <w:style w:type="paragraph" w:styleId="Verzeichnis4">
    <w:name w:val="toc 4"/>
    <w:basedOn w:val="Standard"/>
    <w:next w:val="Standard"/>
    <w:autoRedefine/>
    <w:uiPriority w:val="39"/>
    <w:semiHidden/>
    <w:unhideWhenUsed/>
    <w:rsid w:val="00F13D1B"/>
    <w:pPr>
      <w:spacing w:after="100"/>
      <w:ind w:left="660"/>
    </w:pPr>
  </w:style>
  <w:style w:type="paragraph" w:styleId="Verzeichnis3">
    <w:name w:val="toc 3"/>
    <w:basedOn w:val="Standard"/>
    <w:next w:val="Standard"/>
    <w:autoRedefine/>
    <w:uiPriority w:val="39"/>
    <w:semiHidden/>
    <w:unhideWhenUsed/>
    <w:rsid w:val="00F13D1B"/>
    <w:pPr>
      <w:spacing w:after="100"/>
      <w:ind w:left="440"/>
    </w:pPr>
  </w:style>
  <w:style w:type="paragraph" w:styleId="Verzeichnis2">
    <w:name w:val="toc 2"/>
    <w:basedOn w:val="Standard"/>
    <w:next w:val="Standard"/>
    <w:autoRedefine/>
    <w:uiPriority w:val="39"/>
    <w:semiHidden/>
    <w:unhideWhenUsed/>
    <w:rsid w:val="00F13D1B"/>
    <w:pPr>
      <w:spacing w:after="100"/>
      <w:ind w:left="220"/>
    </w:pPr>
  </w:style>
  <w:style w:type="paragraph" w:styleId="Verzeichnis1">
    <w:name w:val="toc 1"/>
    <w:basedOn w:val="Standard"/>
    <w:next w:val="Standard"/>
    <w:autoRedefine/>
    <w:uiPriority w:val="39"/>
    <w:semiHidden/>
    <w:unhideWhenUsed/>
    <w:rsid w:val="00F13D1B"/>
    <w:pPr>
      <w:spacing w:after="100"/>
    </w:pPr>
  </w:style>
  <w:style w:type="paragraph" w:styleId="Index9">
    <w:name w:val="index 9"/>
    <w:basedOn w:val="Standard"/>
    <w:next w:val="Standard"/>
    <w:autoRedefine/>
    <w:uiPriority w:val="99"/>
    <w:semiHidden/>
    <w:unhideWhenUsed/>
    <w:rsid w:val="00F13D1B"/>
    <w:pPr>
      <w:spacing w:after="0" w:line="240" w:lineRule="auto"/>
      <w:ind w:left="1980" w:hanging="220"/>
    </w:pPr>
  </w:style>
  <w:style w:type="paragraph" w:styleId="Index8">
    <w:name w:val="index 8"/>
    <w:basedOn w:val="Standard"/>
    <w:next w:val="Standard"/>
    <w:autoRedefine/>
    <w:uiPriority w:val="99"/>
    <w:semiHidden/>
    <w:unhideWhenUsed/>
    <w:rsid w:val="00F13D1B"/>
    <w:pPr>
      <w:spacing w:after="0" w:line="240" w:lineRule="auto"/>
      <w:ind w:left="1760" w:hanging="220"/>
    </w:pPr>
  </w:style>
  <w:style w:type="paragraph" w:styleId="Index7">
    <w:name w:val="index 7"/>
    <w:basedOn w:val="Standard"/>
    <w:next w:val="Standard"/>
    <w:autoRedefine/>
    <w:uiPriority w:val="99"/>
    <w:semiHidden/>
    <w:unhideWhenUsed/>
    <w:rsid w:val="00F13D1B"/>
    <w:pPr>
      <w:spacing w:after="0" w:line="240" w:lineRule="auto"/>
      <w:ind w:left="1540" w:hanging="220"/>
    </w:pPr>
  </w:style>
  <w:style w:type="paragraph" w:styleId="Index6">
    <w:name w:val="index 6"/>
    <w:basedOn w:val="Standard"/>
    <w:next w:val="Standard"/>
    <w:autoRedefine/>
    <w:uiPriority w:val="99"/>
    <w:semiHidden/>
    <w:unhideWhenUsed/>
    <w:rsid w:val="00F13D1B"/>
    <w:pPr>
      <w:spacing w:after="0" w:line="240" w:lineRule="auto"/>
      <w:ind w:left="1320" w:hanging="220"/>
    </w:pPr>
  </w:style>
  <w:style w:type="paragraph" w:styleId="Index5">
    <w:name w:val="index 5"/>
    <w:basedOn w:val="Standard"/>
    <w:next w:val="Standard"/>
    <w:autoRedefine/>
    <w:uiPriority w:val="99"/>
    <w:semiHidden/>
    <w:unhideWhenUsed/>
    <w:rsid w:val="00F13D1B"/>
    <w:pPr>
      <w:spacing w:after="0" w:line="240" w:lineRule="auto"/>
      <w:ind w:left="1100" w:hanging="220"/>
    </w:pPr>
  </w:style>
  <w:style w:type="paragraph" w:styleId="Index4">
    <w:name w:val="index 4"/>
    <w:basedOn w:val="Standard"/>
    <w:next w:val="Standard"/>
    <w:autoRedefine/>
    <w:uiPriority w:val="99"/>
    <w:semiHidden/>
    <w:unhideWhenUsed/>
    <w:rsid w:val="00F13D1B"/>
    <w:pPr>
      <w:spacing w:after="0" w:line="240" w:lineRule="auto"/>
      <w:ind w:left="880" w:hanging="220"/>
    </w:pPr>
  </w:style>
  <w:style w:type="paragraph" w:styleId="Index3">
    <w:name w:val="index 3"/>
    <w:basedOn w:val="Standard"/>
    <w:next w:val="Standard"/>
    <w:autoRedefine/>
    <w:uiPriority w:val="99"/>
    <w:semiHidden/>
    <w:unhideWhenUsed/>
    <w:rsid w:val="00F13D1B"/>
    <w:pPr>
      <w:spacing w:after="0" w:line="240" w:lineRule="auto"/>
      <w:ind w:left="660" w:hanging="220"/>
    </w:pPr>
  </w:style>
  <w:style w:type="paragraph" w:styleId="Index2">
    <w:name w:val="index 2"/>
    <w:basedOn w:val="Standard"/>
    <w:next w:val="Standard"/>
    <w:autoRedefine/>
    <w:uiPriority w:val="99"/>
    <w:semiHidden/>
    <w:unhideWhenUsed/>
    <w:rsid w:val="00F13D1B"/>
    <w:pPr>
      <w:spacing w:after="0" w:line="240" w:lineRule="auto"/>
      <w:ind w:left="440" w:hanging="220"/>
    </w:pPr>
  </w:style>
  <w:style w:type="paragraph" w:customStyle="1" w:styleId="TextAltF10">
    <w:name w:val="Text (Alt+F10)"/>
    <w:link w:val="TextAltF10Char"/>
    <w:qFormat/>
    <w:rsid w:val="00780726"/>
    <w:pPr>
      <w:spacing w:before="120" w:after="0" w:line="480" w:lineRule="auto"/>
      <w:contextualSpacing/>
      <w:jc w:val="both"/>
    </w:pPr>
    <w:rPr>
      <w:rFonts w:ascii="Times New Roman" w:hAnsi="Times New Roman"/>
      <w:sz w:val="24"/>
      <w:lang w:val="en-US"/>
    </w:rPr>
  </w:style>
  <w:style w:type="character" w:customStyle="1" w:styleId="TextAltF10Char">
    <w:name w:val="Text (Alt+F10) Char"/>
    <w:basedOn w:val="Absatz-Standardschriftart"/>
    <w:link w:val="TextAltF10"/>
    <w:rsid w:val="00780726"/>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F1F3A73F-5E83-48F0-8F12-2449F13EE54D}"/>
      </w:docPartPr>
      <w:docPartBody>
        <w:p w:rsidR="00D23001" w:rsidRDefault="004A6187">
          <w:r w:rsidRPr="009C378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87"/>
    <w:rsid w:val="00447F8C"/>
    <w:rsid w:val="004A6187"/>
    <w:rsid w:val="004C7A9F"/>
    <w:rsid w:val="0060742B"/>
    <w:rsid w:val="00A078B1"/>
    <w:rsid w:val="00D23001"/>
    <w:rsid w:val="00DF7A2B"/>
    <w:rsid w:val="00E079E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A61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22873</Words>
  <Characters>144105</Characters>
  <Application>Microsoft Office Word</Application>
  <DocSecurity>0</DocSecurity>
  <Lines>1200</Lines>
  <Paragraphs>333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Knyphausen</dc:creator>
  <cp:keywords/>
  <dc:description/>
  <cp:lastModifiedBy>Prof. Knyphausen</cp:lastModifiedBy>
  <cp:revision>2</cp:revision>
  <cp:lastPrinted>2024-08-22T08:58:00Z</cp:lastPrinted>
  <dcterms:created xsi:type="dcterms:W3CDTF">2024-09-09T13:18:00Z</dcterms:created>
  <dcterms:modified xsi:type="dcterms:W3CDTF">2024-09-09T13:18:00Z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Cross-border M&amp;A V2 (aus 3 Datenbanken)</vt:lpwstr>
  </property>
  <property fmtid="{D5CDD505-2E9C-101B-9397-08002B2CF9AE}" pid="3" name="CitaviDocumentProperty_0">
    <vt:lpwstr>f1ed8f7d-1c65-4f06-ad48-3e96e725bea1</vt:lpwstr>
  </property>
  <property fmtid="{D5CDD505-2E9C-101B-9397-08002B2CF9AE}" pid="4" name="CitaviDocumentProperty_9">
    <vt:lpwstr>True</vt:lpwstr>
  </property>
  <property fmtid="{D5CDD505-2E9C-101B-9397-08002B2CF9AE}" pid="5" name="CitaviDocumentProperty_1">
    <vt:lpwstr>6.19.0.0</vt:lpwstr>
  </property>
  <property fmtid="{D5CDD505-2E9C-101B-9397-08002B2CF9AE}" pid="6" name="CitaviDocumentProperty_11">
    <vt:lpwstr>Überschrift 1</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6">
    <vt:lpwstr>False</vt:lpwstr>
  </property>
  <property fmtid="{D5CDD505-2E9C-101B-9397-08002B2CF9AE}" pid="13" name="CitaviDocumentProperty_8">
    <vt:lpwstr>CloudProjectKey=khfxytvzzbo2ole8a8z59qp0p9advu2r9uh91p8phtq0jn84; ProjectName=Cross-border M&amp;A V2 (aus 3 Datenbanken)</vt:lpwstr>
  </property>
</Properties>
</file>