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BB65C" w14:textId="77777777" w:rsidR="000D4591" w:rsidRDefault="00D01DE8">
      <w:pPr>
        <w:jc w:val="center"/>
        <w:rPr>
          <w:b/>
          <w:bCs/>
        </w:rPr>
      </w:pPr>
      <w:r>
        <w:rPr>
          <w:b/>
          <w:bCs/>
        </w:rPr>
        <w:t>Appendix A</w:t>
      </w:r>
    </w:p>
    <w:p w14:paraId="7FEFBD23" w14:textId="77777777" w:rsidR="000D4591" w:rsidRDefault="000D4591">
      <w:pPr>
        <w:jc w:val="center"/>
        <w:rPr>
          <w:b/>
          <w:bCs/>
        </w:rPr>
      </w:pPr>
    </w:p>
    <w:p w14:paraId="2B37E020" w14:textId="77777777" w:rsidR="000D4591" w:rsidRDefault="00D01DE8">
      <w:pPr>
        <w:spacing w:line="480" w:lineRule="auto"/>
        <w:rPr>
          <w:b/>
          <w:bCs/>
        </w:rPr>
      </w:pPr>
      <w:r>
        <w:rPr>
          <w:b/>
        </w:rPr>
        <w:t xml:space="preserve">Appendix A. </w:t>
      </w:r>
      <w:r>
        <w:rPr>
          <w:iCs/>
        </w:rPr>
        <w:t>Coding system for tasks of teaching and connected example teaching practices</w:t>
      </w:r>
      <w:r>
        <w:rPr>
          <w:i/>
        </w:rPr>
        <w:t xml:space="preserve"> </w:t>
      </w:r>
    </w:p>
    <w:p w14:paraId="199E0192" w14:textId="77777777" w:rsidR="000D4591" w:rsidRDefault="000D4591">
      <w:pPr>
        <w:jc w:val="cente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804"/>
      </w:tblGrid>
      <w:tr w:rsidR="000D4591" w14:paraId="583DE6A9" w14:textId="77777777">
        <w:tc>
          <w:tcPr>
            <w:tcW w:w="2410" w:type="dxa"/>
            <w:tcBorders>
              <w:top w:val="single" w:sz="4" w:space="0" w:color="auto"/>
              <w:bottom w:val="single" w:sz="4" w:space="0" w:color="auto"/>
            </w:tcBorders>
          </w:tcPr>
          <w:p w14:paraId="5DAEFEA0" w14:textId="77777777" w:rsidR="000D4591" w:rsidRDefault="00D01DE8">
            <w:pPr>
              <w:rPr>
                <w:bCs/>
                <w:lang w:val="en-US"/>
              </w:rPr>
            </w:pPr>
            <w:r>
              <w:rPr>
                <w:bCs/>
                <w:lang w:val="en-US"/>
              </w:rPr>
              <w:t>Code “task of teaching”</w:t>
            </w:r>
          </w:p>
        </w:tc>
        <w:tc>
          <w:tcPr>
            <w:tcW w:w="6804" w:type="dxa"/>
            <w:tcBorders>
              <w:top w:val="single" w:sz="4" w:space="0" w:color="auto"/>
              <w:bottom w:val="single" w:sz="4" w:space="0" w:color="auto"/>
            </w:tcBorders>
          </w:tcPr>
          <w:p w14:paraId="1D6B2FFF" w14:textId="77777777" w:rsidR="000D4591" w:rsidRDefault="00D01DE8">
            <w:pPr>
              <w:rPr>
                <w:bCs/>
                <w:lang w:val="en-US"/>
              </w:rPr>
            </w:pPr>
            <w:r>
              <w:rPr>
                <w:bCs/>
                <w:lang w:val="en-US"/>
              </w:rPr>
              <w:t>Code definition</w:t>
            </w:r>
          </w:p>
          <w:p w14:paraId="341D0462" w14:textId="77777777" w:rsidR="000D4591" w:rsidRDefault="00D01DE8">
            <w:pPr>
              <w:pStyle w:val="ListParagraph"/>
              <w:rPr>
                <w:lang w:val="en-US"/>
              </w:rPr>
            </w:pPr>
            <w:r>
              <w:rPr>
                <w:lang w:val="en-US"/>
              </w:rPr>
              <w:t>Example teaching practice(s)</w:t>
            </w:r>
          </w:p>
        </w:tc>
      </w:tr>
      <w:tr w:rsidR="000D4591" w14:paraId="3B88EEC7" w14:textId="77777777">
        <w:trPr>
          <w:trHeight w:val="1020"/>
        </w:trPr>
        <w:tc>
          <w:tcPr>
            <w:tcW w:w="2410" w:type="dxa"/>
            <w:tcBorders>
              <w:top w:val="single" w:sz="4" w:space="0" w:color="auto"/>
            </w:tcBorders>
          </w:tcPr>
          <w:p w14:paraId="59C6D109" w14:textId="77777777" w:rsidR="000D4591" w:rsidRDefault="00D01DE8">
            <w:pPr>
              <w:spacing w:after="120"/>
              <w:rPr>
                <w:lang w:val="en-US"/>
              </w:rPr>
            </w:pPr>
            <w:r>
              <w:rPr>
                <w:color w:val="000000"/>
                <w:lang w:val="en-US"/>
              </w:rPr>
              <w:t>Setting learning goals and structuring learning trajectories</w:t>
            </w:r>
          </w:p>
        </w:tc>
        <w:tc>
          <w:tcPr>
            <w:tcW w:w="6804" w:type="dxa"/>
            <w:tcBorders>
              <w:top w:val="single" w:sz="4" w:space="0" w:color="auto"/>
            </w:tcBorders>
          </w:tcPr>
          <w:p w14:paraId="3B4E38D6" w14:textId="6E79D09E" w:rsidR="000D4591" w:rsidRDefault="00D01DE8">
            <w:pPr>
              <w:spacing w:after="120"/>
              <w:rPr>
                <w:color w:val="000000"/>
                <w:lang w:val="en-US"/>
              </w:rPr>
            </w:pPr>
            <w:r>
              <w:rPr>
                <w:color w:val="000000"/>
                <w:lang w:val="en-US"/>
              </w:rPr>
              <w:t xml:space="preserve">Goal setting and planning as based on curricular demands and/or students’ needs are detailed in the description of the PD design and/or the related research, e.g.,  </w:t>
            </w:r>
          </w:p>
          <w:p w14:paraId="42E7392B" w14:textId="77777777" w:rsidR="000D4591" w:rsidRDefault="00D01DE8">
            <w:pPr>
              <w:pStyle w:val="ListParagraph"/>
              <w:rPr>
                <w:lang w:val="en-US"/>
              </w:rPr>
            </w:pPr>
            <w:r>
              <w:rPr>
                <w:lang w:val="en-US"/>
              </w:rPr>
              <w:t>Setting long- and short-term goals for students’ learning and sequencing the goals along a trajectory</w:t>
            </w:r>
          </w:p>
        </w:tc>
      </w:tr>
      <w:tr w:rsidR="000D4591" w14:paraId="17D69DF4" w14:textId="77777777">
        <w:tc>
          <w:tcPr>
            <w:tcW w:w="2410" w:type="dxa"/>
          </w:tcPr>
          <w:p w14:paraId="0F3D1F10" w14:textId="77777777" w:rsidR="000D4591" w:rsidRDefault="00D01DE8">
            <w:pPr>
              <w:spacing w:after="120"/>
              <w:rPr>
                <w:lang w:val="en-US"/>
              </w:rPr>
            </w:pPr>
            <w:r>
              <w:rPr>
                <w:color w:val="000000"/>
                <w:lang w:val="en-US"/>
              </w:rPr>
              <w:t>Selecting and adapting tasks and media</w:t>
            </w:r>
          </w:p>
        </w:tc>
        <w:tc>
          <w:tcPr>
            <w:tcW w:w="6804" w:type="dxa"/>
          </w:tcPr>
          <w:p w14:paraId="36DD6954" w14:textId="77777777" w:rsidR="000D4591" w:rsidRDefault="00D01DE8">
            <w:pPr>
              <w:spacing w:after="120"/>
              <w:rPr>
                <w:color w:val="000000"/>
                <w:lang w:val="en-US"/>
              </w:rPr>
            </w:pPr>
            <w:r>
              <w:rPr>
                <w:color w:val="000000"/>
                <w:lang w:val="en-US"/>
              </w:rPr>
              <w:t xml:space="preserve">Selecting and adapting instructional materials are detailed in the description of the PD design and/or the related research, e.g., </w:t>
            </w:r>
          </w:p>
          <w:p w14:paraId="671E7E0D" w14:textId="77777777" w:rsidR="000D4591" w:rsidRDefault="00D01DE8">
            <w:pPr>
              <w:pStyle w:val="ListParagraph"/>
              <w:rPr>
                <w:lang w:val="en-US"/>
              </w:rPr>
            </w:pPr>
            <w:r>
              <w:rPr>
                <w:lang w:val="en-US"/>
              </w:rPr>
              <w:t>Choosing tasks that emphasize certain goals (e.g., conceptual understanding) or process qualities (e.g., active involvement of students)</w:t>
            </w:r>
          </w:p>
        </w:tc>
      </w:tr>
      <w:tr w:rsidR="000D4591" w14:paraId="74F9C658" w14:textId="77777777">
        <w:tc>
          <w:tcPr>
            <w:tcW w:w="2410" w:type="dxa"/>
          </w:tcPr>
          <w:p w14:paraId="1F765C54" w14:textId="77777777" w:rsidR="000D4591" w:rsidRDefault="00D01DE8">
            <w:pPr>
              <w:spacing w:after="120"/>
              <w:rPr>
                <w:color w:val="000000"/>
                <w:lang w:val="en-US"/>
              </w:rPr>
            </w:pPr>
            <w:r>
              <w:rPr>
                <w:color w:val="000000"/>
                <w:lang w:val="en-US"/>
              </w:rPr>
              <w:t>Noticing and assessing student learning</w:t>
            </w:r>
          </w:p>
        </w:tc>
        <w:tc>
          <w:tcPr>
            <w:tcW w:w="6804" w:type="dxa"/>
          </w:tcPr>
          <w:p w14:paraId="1AC0CF52" w14:textId="77777777" w:rsidR="000D4591" w:rsidRDefault="00D01DE8">
            <w:pPr>
              <w:spacing w:after="120"/>
              <w:rPr>
                <w:color w:val="000000"/>
                <w:lang w:val="en-US"/>
              </w:rPr>
            </w:pPr>
            <w:r>
              <w:rPr>
                <w:color w:val="000000"/>
                <w:lang w:val="en-US"/>
              </w:rPr>
              <w:t xml:space="preserve">Using diagnostic tools and strategies to gain insight into students’ thinking are detailed in the description of the PD design and/or the related research, e.g., </w:t>
            </w:r>
          </w:p>
          <w:p w14:paraId="71DE373B" w14:textId="77777777" w:rsidR="000D4591" w:rsidRDefault="00D01DE8">
            <w:pPr>
              <w:pStyle w:val="ListParagraph"/>
              <w:rPr>
                <w:lang w:val="en-US"/>
              </w:rPr>
            </w:pPr>
            <w:r>
              <w:rPr>
                <w:lang w:val="en-US"/>
              </w:rPr>
              <w:t>Noticing common and recurring patterns of student thinking</w:t>
            </w:r>
          </w:p>
        </w:tc>
      </w:tr>
      <w:tr w:rsidR="000D4591" w14:paraId="44719C5A" w14:textId="77777777">
        <w:tc>
          <w:tcPr>
            <w:tcW w:w="2410" w:type="dxa"/>
          </w:tcPr>
          <w:p w14:paraId="2D3B1E2C" w14:textId="77777777" w:rsidR="000D4591" w:rsidRDefault="00D01DE8">
            <w:pPr>
              <w:spacing w:after="120"/>
              <w:rPr>
                <w:color w:val="000000"/>
                <w:lang w:val="en-US"/>
              </w:rPr>
            </w:pPr>
            <w:r>
              <w:rPr>
                <w:color w:val="000000"/>
                <w:lang w:val="en-US"/>
              </w:rPr>
              <w:t>Supporting and enhancing student learning</w:t>
            </w:r>
          </w:p>
        </w:tc>
        <w:tc>
          <w:tcPr>
            <w:tcW w:w="6804" w:type="dxa"/>
          </w:tcPr>
          <w:p w14:paraId="50014FBB" w14:textId="77777777" w:rsidR="000D4591" w:rsidRDefault="00D01DE8">
            <w:pPr>
              <w:spacing w:after="120"/>
              <w:rPr>
                <w:color w:val="000000"/>
                <w:lang w:val="en-US"/>
              </w:rPr>
            </w:pPr>
            <w:r>
              <w:rPr>
                <w:color w:val="000000"/>
                <w:lang w:val="en-US"/>
              </w:rPr>
              <w:t xml:space="preserve">Promoting students’ learning progress is detailed in the description of the PD design and/or the related research, e.g., </w:t>
            </w:r>
          </w:p>
          <w:p w14:paraId="5D5C994A" w14:textId="77777777" w:rsidR="000D4591" w:rsidRDefault="00D01DE8">
            <w:pPr>
              <w:pStyle w:val="ListParagraph"/>
              <w:rPr>
                <w:lang w:val="en-US"/>
              </w:rPr>
            </w:pPr>
            <w:r>
              <w:rPr>
                <w:lang w:val="en-US"/>
              </w:rPr>
              <w:t>Providing oral and/or written feedback to students adhering to their mathematical thinking</w:t>
            </w:r>
          </w:p>
        </w:tc>
      </w:tr>
      <w:tr w:rsidR="000D4591" w14:paraId="6B2DFB2B" w14:textId="77777777">
        <w:tc>
          <w:tcPr>
            <w:tcW w:w="2410" w:type="dxa"/>
            <w:tcBorders>
              <w:bottom w:val="single" w:sz="4" w:space="0" w:color="auto"/>
            </w:tcBorders>
          </w:tcPr>
          <w:p w14:paraId="5587F4D2" w14:textId="77777777" w:rsidR="000D4591" w:rsidRDefault="00D01DE8">
            <w:pPr>
              <w:spacing w:after="120"/>
              <w:rPr>
                <w:color w:val="000000"/>
                <w:lang w:val="en-US"/>
              </w:rPr>
            </w:pPr>
            <w:r>
              <w:rPr>
                <w:color w:val="000000"/>
                <w:lang w:val="en-US"/>
              </w:rPr>
              <w:t>Facilitating whole-class discussions</w:t>
            </w:r>
          </w:p>
        </w:tc>
        <w:tc>
          <w:tcPr>
            <w:tcW w:w="6804" w:type="dxa"/>
            <w:tcBorders>
              <w:bottom w:val="single" w:sz="4" w:space="0" w:color="auto"/>
            </w:tcBorders>
          </w:tcPr>
          <w:p w14:paraId="5BC80B1B" w14:textId="77777777" w:rsidR="000D4591" w:rsidRDefault="00D01DE8">
            <w:pPr>
              <w:spacing w:after="120"/>
              <w:rPr>
                <w:color w:val="000000"/>
                <w:lang w:val="en-US"/>
              </w:rPr>
            </w:pPr>
            <w:r>
              <w:rPr>
                <w:color w:val="000000"/>
                <w:lang w:val="en-US"/>
              </w:rPr>
              <w:t xml:space="preserve">Promoting classroom discourse for the entire class is described in the description of the PD design and/or the related research, e.g., </w:t>
            </w:r>
          </w:p>
          <w:p w14:paraId="245EFD73" w14:textId="77777777" w:rsidR="000D4591" w:rsidRDefault="00D01DE8">
            <w:pPr>
              <w:pStyle w:val="ListParagraph"/>
              <w:rPr>
                <w:lang w:val="en-US"/>
              </w:rPr>
            </w:pPr>
            <w:r>
              <w:rPr>
                <w:lang w:val="en-US"/>
              </w:rPr>
              <w:t>Orienting students to one another’s mathematical ideas</w:t>
            </w:r>
          </w:p>
        </w:tc>
      </w:tr>
    </w:tbl>
    <w:p w14:paraId="5E098B05" w14:textId="77777777" w:rsidR="000D4591" w:rsidRDefault="000D4591">
      <w:pPr>
        <w:jc w:val="center"/>
      </w:pPr>
    </w:p>
    <w:p w14:paraId="2F2715F6" w14:textId="77777777" w:rsidR="000D4591" w:rsidRDefault="00D01DE8">
      <w:r>
        <w:br w:type="page"/>
      </w:r>
    </w:p>
    <w:p w14:paraId="09823B5D" w14:textId="77777777" w:rsidR="000D4591" w:rsidRDefault="00D01DE8">
      <w:pPr>
        <w:jc w:val="center"/>
        <w:rPr>
          <w:b/>
          <w:bCs/>
        </w:rPr>
      </w:pPr>
      <w:r>
        <w:rPr>
          <w:b/>
          <w:bCs/>
        </w:rPr>
        <w:lastRenderedPageBreak/>
        <w:t>Appendix B</w:t>
      </w:r>
    </w:p>
    <w:p w14:paraId="642C0CB7" w14:textId="77777777" w:rsidR="000D4591" w:rsidRDefault="000D4591">
      <w:pPr>
        <w:jc w:val="center"/>
        <w:rPr>
          <w:b/>
          <w:bCs/>
        </w:rPr>
      </w:pPr>
    </w:p>
    <w:p w14:paraId="08F0AF96" w14:textId="77777777" w:rsidR="000D4591" w:rsidRDefault="00D01DE8">
      <w:pPr>
        <w:spacing w:line="360" w:lineRule="auto"/>
        <w:rPr>
          <w:b/>
          <w:bCs/>
        </w:rPr>
      </w:pPr>
      <w:r>
        <w:rPr>
          <w:b/>
          <w:bCs/>
        </w:rPr>
        <w:t xml:space="preserve">Appendix B. </w:t>
      </w:r>
      <w:r>
        <w:rPr>
          <w:iCs/>
        </w:rPr>
        <w:t>Coding system for the levels of describing activities provided in the reporting on the PD programs and on the research about the PD programs</w:t>
      </w:r>
    </w:p>
    <w:p w14:paraId="148CBE93" w14:textId="77777777" w:rsidR="000D4591" w:rsidRDefault="000D4591">
      <w:pPr>
        <w:jc w:val="center"/>
        <w:rPr>
          <w:b/>
          <w:bCs/>
        </w:rPr>
      </w:pPr>
    </w:p>
    <w:p w14:paraId="7677BFE7" w14:textId="77777777" w:rsidR="000D4591" w:rsidRDefault="000D45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5948"/>
      </w:tblGrid>
      <w:tr w:rsidR="000D4591" w14:paraId="4371A76E" w14:textId="77777777">
        <w:tc>
          <w:tcPr>
            <w:tcW w:w="1701" w:type="dxa"/>
            <w:tcBorders>
              <w:top w:val="single" w:sz="4" w:space="0" w:color="auto"/>
              <w:bottom w:val="single" w:sz="4" w:space="0" w:color="auto"/>
            </w:tcBorders>
          </w:tcPr>
          <w:p w14:paraId="6B09EB17" w14:textId="77777777" w:rsidR="000D4591" w:rsidRDefault="00D01DE8">
            <w:pPr>
              <w:rPr>
                <w:bCs/>
                <w:color w:val="000000"/>
                <w:lang w:val="en-US"/>
              </w:rPr>
            </w:pPr>
            <w:r>
              <w:rPr>
                <w:bCs/>
                <w:color w:val="000000"/>
                <w:lang w:val="en-US"/>
              </w:rPr>
              <w:t>Over-arching category</w:t>
            </w:r>
          </w:p>
        </w:tc>
        <w:tc>
          <w:tcPr>
            <w:tcW w:w="1701" w:type="dxa"/>
            <w:tcBorders>
              <w:top w:val="single" w:sz="4" w:space="0" w:color="auto"/>
              <w:bottom w:val="single" w:sz="4" w:space="0" w:color="auto"/>
            </w:tcBorders>
          </w:tcPr>
          <w:p w14:paraId="768CBA07" w14:textId="77777777" w:rsidR="000D4591" w:rsidRDefault="00D01DE8">
            <w:pPr>
              <w:rPr>
                <w:bCs/>
                <w:color w:val="000000"/>
                <w:lang w:val="en-US"/>
              </w:rPr>
            </w:pPr>
            <w:r>
              <w:rPr>
                <w:bCs/>
                <w:color w:val="000000"/>
                <w:lang w:val="en-US"/>
              </w:rPr>
              <w:t>Code</w:t>
            </w:r>
          </w:p>
        </w:tc>
        <w:tc>
          <w:tcPr>
            <w:tcW w:w="5948" w:type="dxa"/>
            <w:tcBorders>
              <w:top w:val="single" w:sz="4" w:space="0" w:color="auto"/>
              <w:bottom w:val="single" w:sz="4" w:space="0" w:color="auto"/>
            </w:tcBorders>
          </w:tcPr>
          <w:p w14:paraId="0FC9954F" w14:textId="77777777" w:rsidR="000D4591" w:rsidRDefault="00D01DE8">
            <w:pPr>
              <w:rPr>
                <w:bCs/>
                <w:color w:val="000000"/>
                <w:lang w:val="en-US"/>
              </w:rPr>
            </w:pPr>
            <w:r>
              <w:rPr>
                <w:bCs/>
                <w:color w:val="000000"/>
                <w:lang w:val="en-US"/>
              </w:rPr>
              <w:t>Definition of code</w:t>
            </w:r>
          </w:p>
        </w:tc>
      </w:tr>
      <w:tr w:rsidR="000D4591" w14:paraId="54B8F8DB" w14:textId="77777777">
        <w:tc>
          <w:tcPr>
            <w:tcW w:w="1701" w:type="dxa"/>
            <w:vMerge w:val="restart"/>
            <w:tcBorders>
              <w:top w:val="single" w:sz="4" w:space="0" w:color="auto"/>
            </w:tcBorders>
          </w:tcPr>
          <w:p w14:paraId="7A30F57C" w14:textId="77777777" w:rsidR="000D4591" w:rsidRDefault="00D01DE8">
            <w:pPr>
              <w:rPr>
                <w:lang w:val="en-US"/>
              </w:rPr>
            </w:pPr>
            <w:r>
              <w:rPr>
                <w:color w:val="000000"/>
                <w:lang w:val="en-US"/>
              </w:rPr>
              <w:t>Activities reported as focus of PD design</w:t>
            </w:r>
          </w:p>
        </w:tc>
        <w:tc>
          <w:tcPr>
            <w:tcW w:w="1701" w:type="dxa"/>
            <w:tcBorders>
              <w:top w:val="single" w:sz="4" w:space="0" w:color="auto"/>
            </w:tcBorders>
          </w:tcPr>
          <w:p w14:paraId="43467DAC" w14:textId="77777777" w:rsidR="000D4591" w:rsidRDefault="00D01DE8">
            <w:pPr>
              <w:rPr>
                <w:lang w:val="en-US"/>
              </w:rPr>
            </w:pPr>
            <w:r>
              <w:rPr>
                <w:color w:val="000000"/>
                <w:lang w:val="en-US"/>
              </w:rPr>
              <w:t>Micro-level activity descriptions</w:t>
            </w:r>
          </w:p>
        </w:tc>
        <w:tc>
          <w:tcPr>
            <w:tcW w:w="5948" w:type="dxa"/>
            <w:tcBorders>
              <w:top w:val="single" w:sz="4" w:space="0" w:color="auto"/>
            </w:tcBorders>
          </w:tcPr>
          <w:p w14:paraId="0250116B" w14:textId="77777777" w:rsidR="000D4591" w:rsidRDefault="00D01DE8">
            <w:pPr>
              <w:rPr>
                <w:lang w:val="en-US"/>
              </w:rPr>
            </w:pPr>
            <w:r>
              <w:rPr>
                <w:color w:val="000000"/>
                <w:lang w:val="en-US"/>
              </w:rPr>
              <w:t>Specific tasks and other PD activities are provided in detail and mathematical content is in focus. Descriptions of activities could include, e.g., transcripts of a modelled lesson or the reflection discussion that took place after a modelled lesson, in which the task(s) of teaching, and/or the practices as well as the mathematical content are explicated.</w:t>
            </w:r>
          </w:p>
        </w:tc>
      </w:tr>
      <w:tr w:rsidR="000D4591" w14:paraId="7B4CC12C" w14:textId="77777777">
        <w:tc>
          <w:tcPr>
            <w:tcW w:w="1701" w:type="dxa"/>
            <w:vMerge/>
          </w:tcPr>
          <w:p w14:paraId="572FD23C" w14:textId="77777777" w:rsidR="000D4591" w:rsidRDefault="000D4591">
            <w:pPr>
              <w:rPr>
                <w:lang w:val="en-US"/>
              </w:rPr>
            </w:pPr>
          </w:p>
        </w:tc>
        <w:tc>
          <w:tcPr>
            <w:tcW w:w="1701" w:type="dxa"/>
          </w:tcPr>
          <w:p w14:paraId="60A12F1F" w14:textId="77777777" w:rsidR="000D4591" w:rsidRDefault="00D01DE8">
            <w:pPr>
              <w:rPr>
                <w:lang w:val="en-US"/>
              </w:rPr>
            </w:pPr>
            <w:r>
              <w:rPr>
                <w:color w:val="000000"/>
                <w:lang w:val="en-US"/>
              </w:rPr>
              <w:t>Meso-level activity descriptions</w:t>
            </w:r>
          </w:p>
        </w:tc>
        <w:tc>
          <w:tcPr>
            <w:tcW w:w="5948" w:type="dxa"/>
          </w:tcPr>
          <w:p w14:paraId="2299A49C" w14:textId="77777777" w:rsidR="000D4591" w:rsidRDefault="00D01DE8">
            <w:pPr>
              <w:rPr>
                <w:lang w:val="en-US"/>
              </w:rPr>
            </w:pPr>
            <w:r>
              <w:rPr>
                <w:color w:val="000000"/>
                <w:lang w:val="en-US"/>
              </w:rPr>
              <w:t>General descriptions of the types of tasks and activities are provided for which the mathematical content focus becomes visible. Descriptions of activities could include, e.g., that teachers participating in a PD program would have the opportunity to practice orienting students to the thinking of others while facilitating whole-class discussion in a lesson rehearsal about algebraic thinking, without the fine-grain description of what occurred in the rehearsal.</w:t>
            </w:r>
          </w:p>
        </w:tc>
      </w:tr>
      <w:tr w:rsidR="000D4591" w14:paraId="6F29DCF7" w14:textId="77777777">
        <w:tc>
          <w:tcPr>
            <w:tcW w:w="1701" w:type="dxa"/>
            <w:vMerge/>
          </w:tcPr>
          <w:p w14:paraId="4A9BA048" w14:textId="77777777" w:rsidR="000D4591" w:rsidRDefault="000D4591">
            <w:pPr>
              <w:rPr>
                <w:lang w:val="en-US"/>
              </w:rPr>
            </w:pPr>
          </w:p>
        </w:tc>
        <w:tc>
          <w:tcPr>
            <w:tcW w:w="1701" w:type="dxa"/>
          </w:tcPr>
          <w:p w14:paraId="4F60C831" w14:textId="77777777" w:rsidR="000D4591" w:rsidRDefault="00D01DE8">
            <w:pPr>
              <w:rPr>
                <w:lang w:val="en-US"/>
              </w:rPr>
            </w:pPr>
            <w:r>
              <w:rPr>
                <w:color w:val="000000"/>
                <w:lang w:val="en-US"/>
              </w:rPr>
              <w:t>Meta-level activity descriptions</w:t>
            </w:r>
          </w:p>
        </w:tc>
        <w:tc>
          <w:tcPr>
            <w:tcW w:w="5948" w:type="dxa"/>
          </w:tcPr>
          <w:p w14:paraId="4EECD811" w14:textId="77777777" w:rsidR="000D4591" w:rsidRDefault="00D01DE8">
            <w:pPr>
              <w:rPr>
                <w:lang w:val="en-US"/>
              </w:rPr>
            </w:pPr>
            <w:r>
              <w:rPr>
                <w:color w:val="000000"/>
                <w:lang w:val="en-US"/>
              </w:rPr>
              <w:t>Global descriptions of the goals of the types of activities are provided. Descriptions of activities could include, e.g., that teachers participating in the PD program engaged in Lesson Study cycles in which they jointly planned lessons, especially a research lesson, and reflected on the research lesson, without detail concerning the task(s) of teaching, the practices or the mathematical content.</w:t>
            </w:r>
          </w:p>
        </w:tc>
      </w:tr>
      <w:tr w:rsidR="000D4591" w14:paraId="7F8A64CB" w14:textId="77777777">
        <w:tc>
          <w:tcPr>
            <w:tcW w:w="1701" w:type="dxa"/>
            <w:vMerge w:val="restart"/>
          </w:tcPr>
          <w:p w14:paraId="340ED2F0" w14:textId="77777777" w:rsidR="000D4591" w:rsidRDefault="00D01DE8">
            <w:pPr>
              <w:rPr>
                <w:lang w:val="en-US"/>
              </w:rPr>
            </w:pPr>
            <w:r>
              <w:rPr>
                <w:color w:val="000000"/>
                <w:lang w:val="en-US"/>
              </w:rPr>
              <w:t xml:space="preserve">Activities reported as focus of PD research </w:t>
            </w:r>
          </w:p>
        </w:tc>
        <w:tc>
          <w:tcPr>
            <w:tcW w:w="1701" w:type="dxa"/>
          </w:tcPr>
          <w:p w14:paraId="37BF078C" w14:textId="77777777" w:rsidR="000D4591" w:rsidRDefault="00D01DE8">
            <w:pPr>
              <w:rPr>
                <w:color w:val="000000"/>
                <w:lang w:val="en-US"/>
              </w:rPr>
            </w:pPr>
            <w:r>
              <w:rPr>
                <w:color w:val="000000"/>
                <w:lang w:val="en-US"/>
              </w:rPr>
              <w:t>Micro-level activity descriptions</w:t>
            </w:r>
          </w:p>
        </w:tc>
        <w:tc>
          <w:tcPr>
            <w:tcW w:w="5948" w:type="dxa"/>
          </w:tcPr>
          <w:p w14:paraId="36914ED7" w14:textId="77777777" w:rsidR="000D4591" w:rsidRDefault="00D01DE8">
            <w:pPr>
              <w:rPr>
                <w:color w:val="000000"/>
                <w:lang w:val="en-US"/>
              </w:rPr>
            </w:pPr>
            <w:r>
              <w:rPr>
                <w:color w:val="000000"/>
                <w:lang w:val="en-US"/>
              </w:rPr>
              <w:t>The analysis of specific tasks and other PD activities is provided in detail and mathematical content is in focus. Descriptions of the analysis of research settings or findings related to teacher learning/professional change through activities could include, e.g., the analysis of transcripts of a modelled lesson or of the reflection discussion that took place after a modelled lesson, in which the task(s) of teaching and practices learned as well as the mathematical content are explicitly discussed.</w:t>
            </w:r>
          </w:p>
        </w:tc>
      </w:tr>
      <w:tr w:rsidR="000D4591" w14:paraId="010513A5" w14:textId="77777777">
        <w:tc>
          <w:tcPr>
            <w:tcW w:w="1701" w:type="dxa"/>
            <w:vMerge/>
          </w:tcPr>
          <w:p w14:paraId="7B49C604" w14:textId="77777777" w:rsidR="000D4591" w:rsidRDefault="000D4591">
            <w:pPr>
              <w:rPr>
                <w:color w:val="000000"/>
                <w:lang w:val="en-US"/>
              </w:rPr>
            </w:pPr>
          </w:p>
        </w:tc>
        <w:tc>
          <w:tcPr>
            <w:tcW w:w="1701" w:type="dxa"/>
          </w:tcPr>
          <w:p w14:paraId="583E7479" w14:textId="77777777" w:rsidR="000D4591" w:rsidRDefault="00D01DE8">
            <w:pPr>
              <w:rPr>
                <w:color w:val="000000"/>
                <w:lang w:val="en-US"/>
              </w:rPr>
            </w:pPr>
            <w:r>
              <w:rPr>
                <w:color w:val="000000"/>
                <w:lang w:val="en-US"/>
              </w:rPr>
              <w:t>Meso-level activity descriptions</w:t>
            </w:r>
          </w:p>
        </w:tc>
        <w:tc>
          <w:tcPr>
            <w:tcW w:w="5948" w:type="dxa"/>
          </w:tcPr>
          <w:p w14:paraId="6F072AE2" w14:textId="77777777" w:rsidR="000D4591" w:rsidRDefault="00D01DE8">
            <w:pPr>
              <w:rPr>
                <w:color w:val="000000"/>
                <w:lang w:val="en-US"/>
              </w:rPr>
            </w:pPr>
            <w:r>
              <w:rPr>
                <w:color w:val="000000"/>
                <w:lang w:val="en-US"/>
              </w:rPr>
              <w:t xml:space="preserve">General descriptions of findings concerning activities are provided for which the mathematical content focus becomes visible. Descriptions of the analysis of research settings or findings related to teacher learning/professional change through activities could include, e.g., that teachers participating in a PD program had the opportunity to </w:t>
            </w:r>
            <w:r>
              <w:rPr>
                <w:color w:val="000000"/>
                <w:lang w:val="en-US"/>
              </w:rPr>
              <w:lastRenderedPageBreak/>
              <w:t>practice orienting students to the thinking of others while facilitating whole-class discussion in a lesson rehearsal about algebraic thinking, without the fine-grain description of what exactly occurred/how the teachers learned this practice in the rehearsal.</w:t>
            </w:r>
          </w:p>
        </w:tc>
      </w:tr>
      <w:tr w:rsidR="000D4591" w14:paraId="27CCAF3B" w14:textId="77777777">
        <w:tc>
          <w:tcPr>
            <w:tcW w:w="1701" w:type="dxa"/>
            <w:vMerge/>
            <w:tcBorders>
              <w:bottom w:val="single" w:sz="4" w:space="0" w:color="auto"/>
            </w:tcBorders>
          </w:tcPr>
          <w:p w14:paraId="3ACF57DD" w14:textId="77777777" w:rsidR="000D4591" w:rsidRDefault="000D4591">
            <w:pPr>
              <w:rPr>
                <w:color w:val="000000"/>
                <w:lang w:val="en-US"/>
              </w:rPr>
            </w:pPr>
          </w:p>
        </w:tc>
        <w:tc>
          <w:tcPr>
            <w:tcW w:w="1701" w:type="dxa"/>
            <w:tcBorders>
              <w:bottom w:val="single" w:sz="4" w:space="0" w:color="auto"/>
            </w:tcBorders>
          </w:tcPr>
          <w:p w14:paraId="3F6A9898" w14:textId="77777777" w:rsidR="000D4591" w:rsidRDefault="00D01DE8">
            <w:pPr>
              <w:rPr>
                <w:color w:val="000000"/>
                <w:lang w:val="en-US"/>
              </w:rPr>
            </w:pPr>
            <w:r>
              <w:rPr>
                <w:color w:val="000000"/>
                <w:lang w:val="en-US"/>
              </w:rPr>
              <w:t>Meta-level activity descriptions</w:t>
            </w:r>
          </w:p>
        </w:tc>
        <w:tc>
          <w:tcPr>
            <w:tcW w:w="5948" w:type="dxa"/>
            <w:tcBorders>
              <w:bottom w:val="single" w:sz="4" w:space="0" w:color="auto"/>
            </w:tcBorders>
          </w:tcPr>
          <w:p w14:paraId="776CE651" w14:textId="77777777" w:rsidR="000D4591" w:rsidRDefault="00D01DE8">
            <w:pPr>
              <w:rPr>
                <w:color w:val="000000"/>
                <w:lang w:val="en-US"/>
              </w:rPr>
            </w:pPr>
            <w:r>
              <w:rPr>
                <w:color w:val="000000"/>
                <w:lang w:val="en-US"/>
              </w:rPr>
              <w:t>Global descriptions of the findings concerning activities are provided. Descriptions of the analysis of research settings or findings related to teacher learning/professional change through activities could include, e.g., that teachers participating in the PD program participated in Lesson Study cycles in which they learned about sequencing learning trajectories from lesson planning sessions, thereby connecting to a particular task of teaching, but emphasizing neither the relevant practices nor the mathematical content in detail.</w:t>
            </w:r>
          </w:p>
        </w:tc>
      </w:tr>
    </w:tbl>
    <w:p w14:paraId="726B435F" w14:textId="77777777" w:rsidR="000D4591" w:rsidRDefault="000D4591"/>
    <w:p w14:paraId="580FF1A2" w14:textId="23B1A303" w:rsidR="000D4591" w:rsidRDefault="000D4591"/>
    <w:sectPr w:rsidR="000D45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767C3D"/>
    <w:multiLevelType w:val="hybridMultilevel"/>
    <w:tmpl w:val="A76EA332"/>
    <w:lvl w:ilvl="0" w:tplc="5104A15A">
      <w:start w:val="1"/>
      <w:numFmt w:val="bullet"/>
      <w:pStyle w:val="ListParagraph"/>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66975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591"/>
    <w:rsid w:val="00033029"/>
    <w:rsid w:val="00044800"/>
    <w:rsid w:val="000D4591"/>
    <w:rsid w:val="002245C7"/>
    <w:rsid w:val="0055211E"/>
    <w:rsid w:val="006C3A03"/>
    <w:rsid w:val="008A16D4"/>
    <w:rsid w:val="008D7712"/>
    <w:rsid w:val="00BD610A"/>
    <w:rsid w:val="00D01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F301"/>
  <w15:chartTrackingRefBased/>
  <w15:docId w15:val="{6801B1E6-B02F-B34E-846B-510E3C60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numPr>
        <w:numId w:val="1"/>
      </w:numPr>
      <w:spacing w:after="120"/>
      <w:ind w:left="315" w:hanging="283"/>
      <w:contextualSpacing/>
    </w:pPr>
    <w:rPr>
      <w:rFonts w:eastAsiaTheme="minorHAnsi" w:cstheme="minorBidi"/>
      <w:color w:val="000000"/>
      <w:kern w:val="2"/>
      <w:lang w:eastAsia="de-DE"/>
      <w14:ligatures w14:val="standardContextual"/>
    </w:r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Pr>
      <w:rFonts w:ascii="Times New Roman" w:eastAsia="Batang" w:hAnsi="Times New Roman" w:cs="Times New Roman"/>
      <w:kern w:val="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Pr>
      <w:color w:val="96607D"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50675">
      <w:bodyDiv w:val="1"/>
      <w:marLeft w:val="0"/>
      <w:marRight w:val="0"/>
      <w:marTop w:val="0"/>
      <w:marBottom w:val="0"/>
      <w:divBdr>
        <w:top w:val="none" w:sz="0" w:space="0" w:color="auto"/>
        <w:left w:val="none" w:sz="0" w:space="0" w:color="auto"/>
        <w:bottom w:val="none" w:sz="0" w:space="0" w:color="auto"/>
        <w:right w:val="none" w:sz="0" w:space="0" w:color="auto"/>
      </w:divBdr>
      <w:divsChild>
        <w:div w:id="1218861156">
          <w:marLeft w:val="0"/>
          <w:marRight w:val="0"/>
          <w:marTop w:val="0"/>
          <w:marBottom w:val="0"/>
          <w:divBdr>
            <w:top w:val="none" w:sz="0" w:space="0" w:color="auto"/>
            <w:left w:val="none" w:sz="0" w:space="0" w:color="auto"/>
            <w:bottom w:val="none" w:sz="0" w:space="0" w:color="auto"/>
            <w:right w:val="none" w:sz="0" w:space="0" w:color="auto"/>
          </w:divBdr>
          <w:divsChild>
            <w:div w:id="1784225622">
              <w:marLeft w:val="0"/>
              <w:marRight w:val="0"/>
              <w:marTop w:val="0"/>
              <w:marBottom w:val="0"/>
              <w:divBdr>
                <w:top w:val="none" w:sz="0" w:space="0" w:color="auto"/>
                <w:left w:val="none" w:sz="0" w:space="0" w:color="auto"/>
                <w:bottom w:val="none" w:sz="0" w:space="0" w:color="auto"/>
                <w:right w:val="none" w:sz="0" w:space="0" w:color="auto"/>
              </w:divBdr>
              <w:divsChild>
                <w:div w:id="8909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8076">
      <w:bodyDiv w:val="1"/>
      <w:marLeft w:val="0"/>
      <w:marRight w:val="0"/>
      <w:marTop w:val="0"/>
      <w:marBottom w:val="0"/>
      <w:divBdr>
        <w:top w:val="none" w:sz="0" w:space="0" w:color="auto"/>
        <w:left w:val="none" w:sz="0" w:space="0" w:color="auto"/>
        <w:bottom w:val="none" w:sz="0" w:space="0" w:color="auto"/>
        <w:right w:val="none" w:sz="0" w:space="0" w:color="auto"/>
      </w:divBdr>
      <w:divsChild>
        <w:div w:id="444008409">
          <w:marLeft w:val="0"/>
          <w:marRight w:val="0"/>
          <w:marTop w:val="0"/>
          <w:marBottom w:val="0"/>
          <w:divBdr>
            <w:top w:val="none" w:sz="0" w:space="0" w:color="auto"/>
            <w:left w:val="none" w:sz="0" w:space="0" w:color="auto"/>
            <w:bottom w:val="none" w:sz="0" w:space="0" w:color="auto"/>
            <w:right w:val="none" w:sz="0" w:space="0" w:color="auto"/>
          </w:divBdr>
          <w:divsChild>
            <w:div w:id="1100224347">
              <w:marLeft w:val="0"/>
              <w:marRight w:val="0"/>
              <w:marTop w:val="0"/>
              <w:marBottom w:val="0"/>
              <w:divBdr>
                <w:top w:val="none" w:sz="0" w:space="0" w:color="auto"/>
                <w:left w:val="none" w:sz="0" w:space="0" w:color="auto"/>
                <w:bottom w:val="none" w:sz="0" w:space="0" w:color="auto"/>
                <w:right w:val="none" w:sz="0" w:space="0" w:color="auto"/>
              </w:divBdr>
              <w:divsChild>
                <w:div w:id="3501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349215">
      <w:bodyDiv w:val="1"/>
      <w:marLeft w:val="0"/>
      <w:marRight w:val="0"/>
      <w:marTop w:val="0"/>
      <w:marBottom w:val="0"/>
      <w:divBdr>
        <w:top w:val="none" w:sz="0" w:space="0" w:color="auto"/>
        <w:left w:val="none" w:sz="0" w:space="0" w:color="auto"/>
        <w:bottom w:val="none" w:sz="0" w:space="0" w:color="auto"/>
        <w:right w:val="none" w:sz="0" w:space="0" w:color="auto"/>
      </w:divBdr>
      <w:divsChild>
        <w:div w:id="1222448967">
          <w:marLeft w:val="0"/>
          <w:marRight w:val="0"/>
          <w:marTop w:val="0"/>
          <w:marBottom w:val="0"/>
          <w:divBdr>
            <w:top w:val="none" w:sz="0" w:space="0" w:color="auto"/>
            <w:left w:val="none" w:sz="0" w:space="0" w:color="auto"/>
            <w:bottom w:val="none" w:sz="0" w:space="0" w:color="auto"/>
            <w:right w:val="none" w:sz="0" w:space="0" w:color="auto"/>
          </w:divBdr>
          <w:divsChild>
            <w:div w:id="1358701886">
              <w:marLeft w:val="0"/>
              <w:marRight w:val="0"/>
              <w:marTop w:val="0"/>
              <w:marBottom w:val="0"/>
              <w:divBdr>
                <w:top w:val="none" w:sz="0" w:space="0" w:color="auto"/>
                <w:left w:val="none" w:sz="0" w:space="0" w:color="auto"/>
                <w:bottom w:val="none" w:sz="0" w:space="0" w:color="auto"/>
                <w:right w:val="none" w:sz="0" w:space="0" w:color="auto"/>
              </w:divBdr>
              <w:divsChild>
                <w:div w:id="22664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2462">
      <w:bodyDiv w:val="1"/>
      <w:marLeft w:val="0"/>
      <w:marRight w:val="0"/>
      <w:marTop w:val="0"/>
      <w:marBottom w:val="0"/>
      <w:divBdr>
        <w:top w:val="none" w:sz="0" w:space="0" w:color="auto"/>
        <w:left w:val="none" w:sz="0" w:space="0" w:color="auto"/>
        <w:bottom w:val="none" w:sz="0" w:space="0" w:color="auto"/>
        <w:right w:val="none" w:sz="0" w:space="0" w:color="auto"/>
      </w:divBdr>
      <w:divsChild>
        <w:div w:id="264466350">
          <w:marLeft w:val="0"/>
          <w:marRight w:val="0"/>
          <w:marTop w:val="0"/>
          <w:marBottom w:val="0"/>
          <w:divBdr>
            <w:top w:val="none" w:sz="0" w:space="0" w:color="auto"/>
            <w:left w:val="none" w:sz="0" w:space="0" w:color="auto"/>
            <w:bottom w:val="none" w:sz="0" w:space="0" w:color="auto"/>
            <w:right w:val="none" w:sz="0" w:space="0" w:color="auto"/>
          </w:divBdr>
          <w:divsChild>
            <w:div w:id="1155296744">
              <w:marLeft w:val="0"/>
              <w:marRight w:val="0"/>
              <w:marTop w:val="0"/>
              <w:marBottom w:val="0"/>
              <w:divBdr>
                <w:top w:val="none" w:sz="0" w:space="0" w:color="auto"/>
                <w:left w:val="none" w:sz="0" w:space="0" w:color="auto"/>
                <w:bottom w:val="none" w:sz="0" w:space="0" w:color="auto"/>
                <w:right w:val="none" w:sz="0" w:space="0" w:color="auto"/>
              </w:divBdr>
              <w:divsChild>
                <w:div w:id="176995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98165">
      <w:bodyDiv w:val="1"/>
      <w:marLeft w:val="0"/>
      <w:marRight w:val="0"/>
      <w:marTop w:val="0"/>
      <w:marBottom w:val="0"/>
      <w:divBdr>
        <w:top w:val="none" w:sz="0" w:space="0" w:color="auto"/>
        <w:left w:val="none" w:sz="0" w:space="0" w:color="auto"/>
        <w:bottom w:val="none" w:sz="0" w:space="0" w:color="auto"/>
        <w:right w:val="none" w:sz="0" w:space="0" w:color="auto"/>
      </w:divBdr>
      <w:divsChild>
        <w:div w:id="728260328">
          <w:marLeft w:val="0"/>
          <w:marRight w:val="0"/>
          <w:marTop w:val="0"/>
          <w:marBottom w:val="0"/>
          <w:divBdr>
            <w:top w:val="none" w:sz="0" w:space="0" w:color="auto"/>
            <w:left w:val="none" w:sz="0" w:space="0" w:color="auto"/>
            <w:bottom w:val="none" w:sz="0" w:space="0" w:color="auto"/>
            <w:right w:val="none" w:sz="0" w:space="0" w:color="auto"/>
          </w:divBdr>
          <w:divsChild>
            <w:div w:id="1088885345">
              <w:marLeft w:val="0"/>
              <w:marRight w:val="0"/>
              <w:marTop w:val="0"/>
              <w:marBottom w:val="0"/>
              <w:divBdr>
                <w:top w:val="none" w:sz="0" w:space="0" w:color="auto"/>
                <w:left w:val="none" w:sz="0" w:space="0" w:color="auto"/>
                <w:bottom w:val="none" w:sz="0" w:space="0" w:color="auto"/>
                <w:right w:val="none" w:sz="0" w:space="0" w:color="auto"/>
              </w:divBdr>
              <w:divsChild>
                <w:div w:id="8931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25842">
      <w:bodyDiv w:val="1"/>
      <w:marLeft w:val="0"/>
      <w:marRight w:val="0"/>
      <w:marTop w:val="0"/>
      <w:marBottom w:val="0"/>
      <w:divBdr>
        <w:top w:val="none" w:sz="0" w:space="0" w:color="auto"/>
        <w:left w:val="none" w:sz="0" w:space="0" w:color="auto"/>
        <w:bottom w:val="none" w:sz="0" w:space="0" w:color="auto"/>
        <w:right w:val="none" w:sz="0" w:space="0" w:color="auto"/>
      </w:divBdr>
      <w:divsChild>
        <w:div w:id="1029336350">
          <w:marLeft w:val="0"/>
          <w:marRight w:val="0"/>
          <w:marTop w:val="0"/>
          <w:marBottom w:val="0"/>
          <w:divBdr>
            <w:top w:val="none" w:sz="0" w:space="0" w:color="auto"/>
            <w:left w:val="none" w:sz="0" w:space="0" w:color="auto"/>
            <w:bottom w:val="none" w:sz="0" w:space="0" w:color="auto"/>
            <w:right w:val="none" w:sz="0" w:space="0" w:color="auto"/>
          </w:divBdr>
          <w:divsChild>
            <w:div w:id="1413087380">
              <w:marLeft w:val="0"/>
              <w:marRight w:val="0"/>
              <w:marTop w:val="0"/>
              <w:marBottom w:val="0"/>
              <w:divBdr>
                <w:top w:val="none" w:sz="0" w:space="0" w:color="auto"/>
                <w:left w:val="none" w:sz="0" w:space="0" w:color="auto"/>
                <w:bottom w:val="none" w:sz="0" w:space="0" w:color="auto"/>
                <w:right w:val="none" w:sz="0" w:space="0" w:color="auto"/>
              </w:divBdr>
              <w:divsChild>
                <w:div w:id="81444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31867">
      <w:bodyDiv w:val="1"/>
      <w:marLeft w:val="0"/>
      <w:marRight w:val="0"/>
      <w:marTop w:val="0"/>
      <w:marBottom w:val="0"/>
      <w:divBdr>
        <w:top w:val="none" w:sz="0" w:space="0" w:color="auto"/>
        <w:left w:val="none" w:sz="0" w:space="0" w:color="auto"/>
        <w:bottom w:val="none" w:sz="0" w:space="0" w:color="auto"/>
        <w:right w:val="none" w:sz="0" w:space="0" w:color="auto"/>
      </w:divBdr>
      <w:divsChild>
        <w:div w:id="248195186">
          <w:marLeft w:val="0"/>
          <w:marRight w:val="0"/>
          <w:marTop w:val="0"/>
          <w:marBottom w:val="0"/>
          <w:divBdr>
            <w:top w:val="none" w:sz="0" w:space="0" w:color="auto"/>
            <w:left w:val="none" w:sz="0" w:space="0" w:color="auto"/>
            <w:bottom w:val="none" w:sz="0" w:space="0" w:color="auto"/>
            <w:right w:val="none" w:sz="0" w:space="0" w:color="auto"/>
          </w:divBdr>
          <w:divsChild>
            <w:div w:id="1101339216">
              <w:marLeft w:val="0"/>
              <w:marRight w:val="0"/>
              <w:marTop w:val="0"/>
              <w:marBottom w:val="0"/>
              <w:divBdr>
                <w:top w:val="none" w:sz="0" w:space="0" w:color="auto"/>
                <w:left w:val="none" w:sz="0" w:space="0" w:color="auto"/>
                <w:bottom w:val="none" w:sz="0" w:space="0" w:color="auto"/>
                <w:right w:val="none" w:sz="0" w:space="0" w:color="auto"/>
              </w:divBdr>
              <w:divsChild>
                <w:div w:id="37436639">
                  <w:marLeft w:val="0"/>
                  <w:marRight w:val="0"/>
                  <w:marTop w:val="0"/>
                  <w:marBottom w:val="0"/>
                  <w:divBdr>
                    <w:top w:val="none" w:sz="0" w:space="0" w:color="auto"/>
                    <w:left w:val="none" w:sz="0" w:space="0" w:color="auto"/>
                    <w:bottom w:val="none" w:sz="0" w:space="0" w:color="auto"/>
                    <w:right w:val="none" w:sz="0" w:space="0" w:color="auto"/>
                  </w:divBdr>
                  <w:divsChild>
                    <w:div w:id="17321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362634">
      <w:bodyDiv w:val="1"/>
      <w:marLeft w:val="0"/>
      <w:marRight w:val="0"/>
      <w:marTop w:val="0"/>
      <w:marBottom w:val="0"/>
      <w:divBdr>
        <w:top w:val="none" w:sz="0" w:space="0" w:color="auto"/>
        <w:left w:val="none" w:sz="0" w:space="0" w:color="auto"/>
        <w:bottom w:val="none" w:sz="0" w:space="0" w:color="auto"/>
        <w:right w:val="none" w:sz="0" w:space="0" w:color="auto"/>
      </w:divBdr>
      <w:divsChild>
        <w:div w:id="1901282160">
          <w:marLeft w:val="0"/>
          <w:marRight w:val="0"/>
          <w:marTop w:val="0"/>
          <w:marBottom w:val="0"/>
          <w:divBdr>
            <w:top w:val="none" w:sz="0" w:space="0" w:color="auto"/>
            <w:left w:val="none" w:sz="0" w:space="0" w:color="auto"/>
            <w:bottom w:val="none" w:sz="0" w:space="0" w:color="auto"/>
            <w:right w:val="none" w:sz="0" w:space="0" w:color="auto"/>
          </w:divBdr>
          <w:divsChild>
            <w:div w:id="555505443">
              <w:marLeft w:val="0"/>
              <w:marRight w:val="0"/>
              <w:marTop w:val="0"/>
              <w:marBottom w:val="0"/>
              <w:divBdr>
                <w:top w:val="none" w:sz="0" w:space="0" w:color="auto"/>
                <w:left w:val="none" w:sz="0" w:space="0" w:color="auto"/>
                <w:bottom w:val="none" w:sz="0" w:space="0" w:color="auto"/>
                <w:right w:val="none" w:sz="0" w:space="0" w:color="auto"/>
              </w:divBdr>
              <w:divsChild>
                <w:div w:id="143605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060124">
      <w:bodyDiv w:val="1"/>
      <w:marLeft w:val="0"/>
      <w:marRight w:val="0"/>
      <w:marTop w:val="0"/>
      <w:marBottom w:val="0"/>
      <w:divBdr>
        <w:top w:val="none" w:sz="0" w:space="0" w:color="auto"/>
        <w:left w:val="none" w:sz="0" w:space="0" w:color="auto"/>
        <w:bottom w:val="none" w:sz="0" w:space="0" w:color="auto"/>
        <w:right w:val="none" w:sz="0" w:space="0" w:color="auto"/>
      </w:divBdr>
      <w:divsChild>
        <w:div w:id="934552908">
          <w:marLeft w:val="0"/>
          <w:marRight w:val="0"/>
          <w:marTop w:val="0"/>
          <w:marBottom w:val="0"/>
          <w:divBdr>
            <w:top w:val="none" w:sz="0" w:space="0" w:color="auto"/>
            <w:left w:val="none" w:sz="0" w:space="0" w:color="auto"/>
            <w:bottom w:val="none" w:sz="0" w:space="0" w:color="auto"/>
            <w:right w:val="none" w:sz="0" w:space="0" w:color="auto"/>
          </w:divBdr>
          <w:divsChild>
            <w:div w:id="1179083861">
              <w:marLeft w:val="0"/>
              <w:marRight w:val="0"/>
              <w:marTop w:val="0"/>
              <w:marBottom w:val="0"/>
              <w:divBdr>
                <w:top w:val="none" w:sz="0" w:space="0" w:color="auto"/>
                <w:left w:val="none" w:sz="0" w:space="0" w:color="auto"/>
                <w:bottom w:val="none" w:sz="0" w:space="0" w:color="auto"/>
                <w:right w:val="none" w:sz="0" w:space="0" w:color="auto"/>
              </w:divBdr>
              <w:divsChild>
                <w:div w:id="10592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11989">
      <w:bodyDiv w:val="1"/>
      <w:marLeft w:val="0"/>
      <w:marRight w:val="0"/>
      <w:marTop w:val="0"/>
      <w:marBottom w:val="0"/>
      <w:divBdr>
        <w:top w:val="none" w:sz="0" w:space="0" w:color="auto"/>
        <w:left w:val="none" w:sz="0" w:space="0" w:color="auto"/>
        <w:bottom w:val="none" w:sz="0" w:space="0" w:color="auto"/>
        <w:right w:val="none" w:sz="0" w:space="0" w:color="auto"/>
      </w:divBdr>
      <w:divsChild>
        <w:div w:id="477111471">
          <w:marLeft w:val="0"/>
          <w:marRight w:val="0"/>
          <w:marTop w:val="0"/>
          <w:marBottom w:val="0"/>
          <w:divBdr>
            <w:top w:val="none" w:sz="0" w:space="0" w:color="auto"/>
            <w:left w:val="none" w:sz="0" w:space="0" w:color="auto"/>
            <w:bottom w:val="none" w:sz="0" w:space="0" w:color="auto"/>
            <w:right w:val="none" w:sz="0" w:space="0" w:color="auto"/>
          </w:divBdr>
          <w:divsChild>
            <w:div w:id="1762949229">
              <w:marLeft w:val="0"/>
              <w:marRight w:val="0"/>
              <w:marTop w:val="0"/>
              <w:marBottom w:val="0"/>
              <w:divBdr>
                <w:top w:val="none" w:sz="0" w:space="0" w:color="auto"/>
                <w:left w:val="none" w:sz="0" w:space="0" w:color="auto"/>
                <w:bottom w:val="none" w:sz="0" w:space="0" w:color="auto"/>
                <w:right w:val="none" w:sz="0" w:space="0" w:color="auto"/>
              </w:divBdr>
              <w:divsChild>
                <w:div w:id="18067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6446">
      <w:bodyDiv w:val="1"/>
      <w:marLeft w:val="0"/>
      <w:marRight w:val="0"/>
      <w:marTop w:val="0"/>
      <w:marBottom w:val="0"/>
      <w:divBdr>
        <w:top w:val="none" w:sz="0" w:space="0" w:color="auto"/>
        <w:left w:val="none" w:sz="0" w:space="0" w:color="auto"/>
        <w:bottom w:val="none" w:sz="0" w:space="0" w:color="auto"/>
        <w:right w:val="none" w:sz="0" w:space="0" w:color="auto"/>
      </w:divBdr>
      <w:divsChild>
        <w:div w:id="1949776172">
          <w:marLeft w:val="0"/>
          <w:marRight w:val="0"/>
          <w:marTop w:val="0"/>
          <w:marBottom w:val="0"/>
          <w:divBdr>
            <w:top w:val="none" w:sz="0" w:space="0" w:color="auto"/>
            <w:left w:val="none" w:sz="0" w:space="0" w:color="auto"/>
            <w:bottom w:val="none" w:sz="0" w:space="0" w:color="auto"/>
            <w:right w:val="none" w:sz="0" w:space="0" w:color="auto"/>
          </w:divBdr>
          <w:divsChild>
            <w:div w:id="301082456">
              <w:marLeft w:val="0"/>
              <w:marRight w:val="0"/>
              <w:marTop w:val="0"/>
              <w:marBottom w:val="0"/>
              <w:divBdr>
                <w:top w:val="none" w:sz="0" w:space="0" w:color="auto"/>
                <w:left w:val="none" w:sz="0" w:space="0" w:color="auto"/>
                <w:bottom w:val="none" w:sz="0" w:space="0" w:color="auto"/>
                <w:right w:val="none" w:sz="0" w:space="0" w:color="auto"/>
              </w:divBdr>
              <w:divsChild>
                <w:div w:id="2518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799646">
      <w:bodyDiv w:val="1"/>
      <w:marLeft w:val="0"/>
      <w:marRight w:val="0"/>
      <w:marTop w:val="0"/>
      <w:marBottom w:val="0"/>
      <w:divBdr>
        <w:top w:val="none" w:sz="0" w:space="0" w:color="auto"/>
        <w:left w:val="none" w:sz="0" w:space="0" w:color="auto"/>
        <w:bottom w:val="none" w:sz="0" w:space="0" w:color="auto"/>
        <w:right w:val="none" w:sz="0" w:space="0" w:color="auto"/>
      </w:divBdr>
      <w:divsChild>
        <w:div w:id="187378067">
          <w:marLeft w:val="0"/>
          <w:marRight w:val="0"/>
          <w:marTop w:val="0"/>
          <w:marBottom w:val="0"/>
          <w:divBdr>
            <w:top w:val="none" w:sz="0" w:space="0" w:color="auto"/>
            <w:left w:val="none" w:sz="0" w:space="0" w:color="auto"/>
            <w:bottom w:val="none" w:sz="0" w:space="0" w:color="auto"/>
            <w:right w:val="none" w:sz="0" w:space="0" w:color="auto"/>
          </w:divBdr>
          <w:divsChild>
            <w:div w:id="1160805975">
              <w:marLeft w:val="0"/>
              <w:marRight w:val="0"/>
              <w:marTop w:val="0"/>
              <w:marBottom w:val="0"/>
              <w:divBdr>
                <w:top w:val="none" w:sz="0" w:space="0" w:color="auto"/>
                <w:left w:val="none" w:sz="0" w:space="0" w:color="auto"/>
                <w:bottom w:val="none" w:sz="0" w:space="0" w:color="auto"/>
                <w:right w:val="none" w:sz="0" w:space="0" w:color="auto"/>
              </w:divBdr>
              <w:divsChild>
                <w:div w:id="150847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0268">
      <w:bodyDiv w:val="1"/>
      <w:marLeft w:val="0"/>
      <w:marRight w:val="0"/>
      <w:marTop w:val="0"/>
      <w:marBottom w:val="0"/>
      <w:divBdr>
        <w:top w:val="none" w:sz="0" w:space="0" w:color="auto"/>
        <w:left w:val="none" w:sz="0" w:space="0" w:color="auto"/>
        <w:bottom w:val="none" w:sz="0" w:space="0" w:color="auto"/>
        <w:right w:val="none" w:sz="0" w:space="0" w:color="auto"/>
      </w:divBdr>
      <w:divsChild>
        <w:div w:id="285551022">
          <w:marLeft w:val="0"/>
          <w:marRight w:val="0"/>
          <w:marTop w:val="0"/>
          <w:marBottom w:val="0"/>
          <w:divBdr>
            <w:top w:val="none" w:sz="0" w:space="0" w:color="auto"/>
            <w:left w:val="none" w:sz="0" w:space="0" w:color="auto"/>
            <w:bottom w:val="none" w:sz="0" w:space="0" w:color="auto"/>
            <w:right w:val="none" w:sz="0" w:space="0" w:color="auto"/>
          </w:divBdr>
          <w:divsChild>
            <w:div w:id="1688945062">
              <w:marLeft w:val="0"/>
              <w:marRight w:val="0"/>
              <w:marTop w:val="0"/>
              <w:marBottom w:val="0"/>
              <w:divBdr>
                <w:top w:val="none" w:sz="0" w:space="0" w:color="auto"/>
                <w:left w:val="none" w:sz="0" w:space="0" w:color="auto"/>
                <w:bottom w:val="none" w:sz="0" w:space="0" w:color="auto"/>
                <w:right w:val="none" w:sz="0" w:space="0" w:color="auto"/>
              </w:divBdr>
              <w:divsChild>
                <w:div w:id="9881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4715">
      <w:bodyDiv w:val="1"/>
      <w:marLeft w:val="0"/>
      <w:marRight w:val="0"/>
      <w:marTop w:val="0"/>
      <w:marBottom w:val="0"/>
      <w:divBdr>
        <w:top w:val="none" w:sz="0" w:space="0" w:color="auto"/>
        <w:left w:val="none" w:sz="0" w:space="0" w:color="auto"/>
        <w:bottom w:val="none" w:sz="0" w:space="0" w:color="auto"/>
        <w:right w:val="none" w:sz="0" w:space="0" w:color="auto"/>
      </w:divBdr>
      <w:divsChild>
        <w:div w:id="2015037734">
          <w:marLeft w:val="0"/>
          <w:marRight w:val="0"/>
          <w:marTop w:val="0"/>
          <w:marBottom w:val="0"/>
          <w:divBdr>
            <w:top w:val="none" w:sz="0" w:space="0" w:color="auto"/>
            <w:left w:val="none" w:sz="0" w:space="0" w:color="auto"/>
            <w:bottom w:val="none" w:sz="0" w:space="0" w:color="auto"/>
            <w:right w:val="none" w:sz="0" w:space="0" w:color="auto"/>
          </w:divBdr>
          <w:divsChild>
            <w:div w:id="1842355932">
              <w:marLeft w:val="0"/>
              <w:marRight w:val="0"/>
              <w:marTop w:val="0"/>
              <w:marBottom w:val="0"/>
              <w:divBdr>
                <w:top w:val="none" w:sz="0" w:space="0" w:color="auto"/>
                <w:left w:val="none" w:sz="0" w:space="0" w:color="auto"/>
                <w:bottom w:val="none" w:sz="0" w:space="0" w:color="auto"/>
                <w:right w:val="none" w:sz="0" w:space="0" w:color="auto"/>
              </w:divBdr>
              <w:divsChild>
                <w:div w:id="174609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737</Words>
  <Characters>4206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Torey Shure</dc:creator>
  <cp:keywords/>
  <dc:description/>
  <cp:lastModifiedBy>Torey Shure</cp:lastModifiedBy>
  <cp:revision>3</cp:revision>
  <dcterms:created xsi:type="dcterms:W3CDTF">2025-01-23T12:53:00Z</dcterms:created>
  <dcterms:modified xsi:type="dcterms:W3CDTF">2025-01-23T13:03:00Z</dcterms:modified>
</cp:coreProperties>
</file>