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7C" w:rsidRPr="00174F0A" w:rsidRDefault="00A4387C" w:rsidP="00A4387C">
      <w:pPr>
        <w:widowControl/>
        <w:spacing w:before="0" w:after="160" w:line="259" w:lineRule="auto"/>
        <w:jc w:val="center"/>
        <w:rPr>
          <w:b/>
          <w:bCs/>
          <w:noProof/>
          <w:lang w:val="en-AU"/>
        </w:rPr>
      </w:pPr>
      <w:r w:rsidRPr="00174F0A">
        <w:rPr>
          <w:b/>
          <w:bCs/>
          <w:noProof/>
          <w:lang w:val="en-AU"/>
        </w:rPr>
        <w:t>Suppleme</w:t>
      </w:r>
      <w:bookmarkStart w:id="0" w:name="_GoBack"/>
      <w:bookmarkEnd w:id="0"/>
      <w:r w:rsidRPr="00174F0A">
        <w:rPr>
          <w:b/>
          <w:bCs/>
          <w:noProof/>
          <w:lang w:val="en-AU"/>
        </w:rPr>
        <w:t>ntary Information</w:t>
      </w:r>
    </w:p>
    <w:p w:rsidR="00A4387C" w:rsidRPr="00174F0A" w:rsidRDefault="00A4387C" w:rsidP="00A4387C">
      <w:pPr>
        <w:widowControl/>
        <w:spacing w:before="0" w:after="160" w:line="259" w:lineRule="auto"/>
        <w:rPr>
          <w:noProof/>
          <w:sz w:val="20"/>
          <w:szCs w:val="20"/>
          <w:lang w:val="en-AU"/>
        </w:rPr>
      </w:pPr>
    </w:p>
    <w:p w:rsidR="00A4387C" w:rsidRPr="00174F0A" w:rsidRDefault="00A4387C" w:rsidP="00A4387C">
      <w:pPr>
        <w:widowControl/>
        <w:spacing w:before="0" w:after="160" w:line="259" w:lineRule="auto"/>
        <w:rPr>
          <w:noProof/>
          <w:sz w:val="20"/>
          <w:szCs w:val="20"/>
          <w:lang w:val="en-AU"/>
        </w:rPr>
      </w:pPr>
    </w:p>
    <w:p w:rsidR="00A4387C" w:rsidRPr="00174F0A" w:rsidRDefault="00A4387C" w:rsidP="00A4387C">
      <w:pPr>
        <w:spacing w:line="240" w:lineRule="auto"/>
        <w:jc w:val="center"/>
        <w:rPr>
          <w:sz w:val="20"/>
          <w:szCs w:val="20"/>
          <w:lang w:val="es-C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6"/>
      </w:tblGrid>
      <w:tr w:rsidR="00A4387C" w:rsidRPr="00174F0A" w:rsidTr="0028663E">
        <w:tc>
          <w:tcPr>
            <w:tcW w:w="8494" w:type="dxa"/>
          </w:tcPr>
          <w:p w:rsidR="00A4387C" w:rsidRPr="00174F0A" w:rsidRDefault="00A4387C" w:rsidP="0028663E">
            <w:pPr>
              <w:jc w:val="center"/>
              <w:rPr>
                <w:sz w:val="20"/>
                <w:szCs w:val="20"/>
                <w:lang w:val="es-CO"/>
              </w:rPr>
            </w:pPr>
            <w:r w:rsidRPr="00174F0A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396F275E" wp14:editId="7846052E">
                  <wp:extent cx="5404513" cy="3077845"/>
                  <wp:effectExtent l="0" t="0" r="5715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129" cy="307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87C" w:rsidRPr="00174F0A" w:rsidTr="0028663E">
        <w:trPr>
          <w:trHeight w:val="66"/>
        </w:trPr>
        <w:tc>
          <w:tcPr>
            <w:tcW w:w="8494" w:type="dxa"/>
          </w:tcPr>
          <w:p w:rsidR="00A4387C" w:rsidRPr="00174F0A" w:rsidRDefault="00A4387C" w:rsidP="0028663E">
            <w:pPr>
              <w:jc w:val="center"/>
              <w:rPr>
                <w:sz w:val="20"/>
                <w:szCs w:val="20"/>
                <w:lang w:val="en-US"/>
              </w:rPr>
            </w:pPr>
            <w:bookmarkStart w:id="1" w:name="_Hlk108538553"/>
            <w:r w:rsidRPr="00174F0A">
              <w:rPr>
                <w:sz w:val="20"/>
                <w:szCs w:val="20"/>
                <w:lang w:val="en-US"/>
              </w:rPr>
              <w:t>Figure S</w:t>
            </w:r>
            <w:bookmarkEnd w:id="1"/>
            <w:r w:rsidRPr="00174F0A">
              <w:rPr>
                <w:sz w:val="20"/>
                <w:szCs w:val="20"/>
                <w:lang w:val="en-US"/>
              </w:rPr>
              <w:t>1. Daily PM</w:t>
            </w:r>
            <w:r w:rsidRPr="00174F0A">
              <w:rPr>
                <w:sz w:val="20"/>
                <w:szCs w:val="20"/>
                <w:vertAlign w:val="subscript"/>
                <w:lang w:val="en-US"/>
              </w:rPr>
              <w:t>2.5</w:t>
            </w:r>
            <w:r w:rsidRPr="00174F0A">
              <w:rPr>
                <w:sz w:val="20"/>
                <w:szCs w:val="20"/>
                <w:lang w:val="en-US"/>
              </w:rPr>
              <w:t xml:space="preserve"> concentrations in the northern Caribbean region of Colombia from July 2018 to December 2019</w:t>
            </w:r>
          </w:p>
        </w:tc>
      </w:tr>
    </w:tbl>
    <w:p w:rsidR="00A4387C" w:rsidRPr="00174F0A" w:rsidRDefault="00A4387C" w:rsidP="00A4387C">
      <w:pPr>
        <w:rPr>
          <w:sz w:val="20"/>
          <w:szCs w:val="20"/>
          <w:lang w:val="en-US"/>
        </w:rPr>
      </w:pPr>
    </w:p>
    <w:p w:rsidR="00A4387C" w:rsidRPr="00174F0A" w:rsidRDefault="00A4387C" w:rsidP="00A4387C">
      <w:pPr>
        <w:rPr>
          <w:sz w:val="20"/>
          <w:szCs w:val="20"/>
          <w:lang w:val="en-US"/>
        </w:rPr>
      </w:pPr>
      <w:r w:rsidRPr="00174F0A">
        <w:rPr>
          <w:sz w:val="20"/>
          <w:szCs w:val="20"/>
          <w:lang w:val="en-US"/>
        </w:rPr>
        <w:br w:type="page"/>
      </w:r>
    </w:p>
    <w:p w:rsidR="00A4387C" w:rsidRPr="00174F0A" w:rsidRDefault="00A4387C" w:rsidP="00A4387C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A4387C" w:rsidRPr="00174F0A" w:rsidTr="0028663E">
        <w:trPr>
          <w:jc w:val="center"/>
        </w:trPr>
        <w:tc>
          <w:tcPr>
            <w:tcW w:w="8828" w:type="dxa"/>
          </w:tcPr>
          <w:p w:rsidR="00A4387C" w:rsidRPr="00174F0A" w:rsidRDefault="00A4387C" w:rsidP="0028663E">
            <w:pPr>
              <w:jc w:val="center"/>
              <w:rPr>
                <w:sz w:val="20"/>
                <w:szCs w:val="20"/>
                <w:lang w:val="en-US"/>
              </w:rPr>
            </w:pPr>
            <w:r w:rsidRPr="00174F0A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3141B338" wp14:editId="40852869">
                  <wp:extent cx="3797384" cy="2649318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672" cy="265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87C" w:rsidRPr="00174F0A" w:rsidTr="0028663E">
        <w:trPr>
          <w:jc w:val="center"/>
        </w:trPr>
        <w:tc>
          <w:tcPr>
            <w:tcW w:w="8828" w:type="dxa"/>
          </w:tcPr>
          <w:p w:rsidR="00A4387C" w:rsidRPr="00174F0A" w:rsidRDefault="00A4387C" w:rsidP="0028663E">
            <w:pPr>
              <w:jc w:val="both"/>
              <w:rPr>
                <w:sz w:val="20"/>
                <w:szCs w:val="20"/>
                <w:lang w:val="en-US"/>
              </w:rPr>
            </w:pPr>
            <w:r w:rsidRPr="00174F0A">
              <w:rPr>
                <w:sz w:val="20"/>
                <w:szCs w:val="20"/>
                <w:lang w:val="en-US"/>
              </w:rPr>
              <w:t>Figure S2. Representative zones (yellow areas) and zones with excess average PM</w:t>
            </w:r>
            <w:r w:rsidRPr="00174F0A">
              <w:rPr>
                <w:sz w:val="20"/>
                <w:szCs w:val="20"/>
                <w:vertAlign w:val="subscript"/>
                <w:lang w:val="en-US"/>
              </w:rPr>
              <w:t>10</w:t>
            </w:r>
            <w:r w:rsidRPr="00174F0A">
              <w:rPr>
                <w:sz w:val="20"/>
                <w:szCs w:val="20"/>
                <w:lang w:val="en-US"/>
              </w:rPr>
              <w:t xml:space="preserve"> concentration according to surface monitoring station records during the period 2011–2019. Surface station records vs. dispersion modeling estimates integrating the population density of each zone. The spatial distribution of PM</w:t>
            </w:r>
            <w:r w:rsidRPr="00174F0A">
              <w:rPr>
                <w:sz w:val="20"/>
                <w:szCs w:val="20"/>
                <w:vertAlign w:val="subscript"/>
                <w:lang w:val="en-US"/>
              </w:rPr>
              <w:t>10</w:t>
            </w:r>
            <w:r w:rsidRPr="00174F0A">
              <w:rPr>
                <w:sz w:val="20"/>
                <w:szCs w:val="20"/>
                <w:lang w:val="en-US"/>
              </w:rPr>
              <w:t xml:space="preserve"> was obtained through spatial interpolation performed using the deterministic inverse distance weighting (IDW) method for the surface stations located in the study domain. </w:t>
            </w:r>
          </w:p>
        </w:tc>
      </w:tr>
    </w:tbl>
    <w:p w:rsidR="00A4387C" w:rsidRPr="00174F0A" w:rsidRDefault="00A4387C" w:rsidP="00A4387C">
      <w:pPr>
        <w:rPr>
          <w:sz w:val="20"/>
          <w:szCs w:val="20"/>
          <w:lang w:val="en-US"/>
        </w:rPr>
      </w:pPr>
      <w:r w:rsidRPr="00174F0A">
        <w:rPr>
          <w:sz w:val="20"/>
          <w:szCs w:val="20"/>
          <w:lang w:val="en-US"/>
        </w:rPr>
        <w:br w:type="page"/>
      </w:r>
    </w:p>
    <w:p w:rsidR="00A4387C" w:rsidRPr="00174F0A" w:rsidRDefault="00A4387C" w:rsidP="00A4387C">
      <w:pPr>
        <w:jc w:val="both"/>
        <w:rPr>
          <w:sz w:val="20"/>
          <w:szCs w:val="20"/>
          <w:lang w:val="en-US"/>
        </w:rPr>
      </w:pPr>
      <w:r w:rsidRPr="00174F0A">
        <w:rPr>
          <w:sz w:val="20"/>
          <w:szCs w:val="20"/>
          <w:lang w:val="en-US"/>
        </w:rPr>
        <w:lastRenderedPageBreak/>
        <w:t>Table S1. Configuration of the WRF model for simulations in the northern Caribbean region of Colombia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1"/>
        <w:gridCol w:w="5729"/>
      </w:tblGrid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>Dynamics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>Non-hydrostatic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Observation period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January 2011 to December 2019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Resolution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n-US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Domain 1: 36 × 36 km, Domain 2: 12 × 12 km, Domain 3: 4 × 4 km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Area covered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7.43 to 15.54°N, -76.92 to -68.63°E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Projection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Mercator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Horizontal grid system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Arakawa-C grid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 xml:space="preserve">Vertical resolution 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38 vertical levels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 xml:space="preserve">spin-up time 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15 days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Microphysics scheme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Thompson scheme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n-US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Longwave and shortwave radiation Scheme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RRTMG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PBL schemes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MYNN</w:t>
            </w:r>
          </w:p>
        </w:tc>
      </w:tr>
      <w:tr w:rsidR="00A4387C" w:rsidRPr="00174F0A" w:rsidTr="0028663E">
        <w:trPr>
          <w:trHeight w:val="284"/>
        </w:trPr>
        <w:tc>
          <w:tcPr>
            <w:tcW w:w="198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Cumulus parameterization</w:t>
            </w:r>
          </w:p>
        </w:tc>
        <w:tc>
          <w:tcPr>
            <w:tcW w:w="3015" w:type="pc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 xml:space="preserve">New </w:t>
            </w:r>
            <w:proofErr w:type="spellStart"/>
            <w:r w:rsidRPr="00174F0A">
              <w:rPr>
                <w:sz w:val="20"/>
                <w:szCs w:val="20"/>
                <w:lang w:val="en-US" w:eastAsia="es-419"/>
              </w:rPr>
              <w:t>Tiedtke</w:t>
            </w:r>
            <w:proofErr w:type="spellEnd"/>
            <w:r w:rsidRPr="00174F0A">
              <w:rPr>
                <w:sz w:val="20"/>
                <w:szCs w:val="20"/>
                <w:lang w:val="en-US" w:eastAsia="es-419"/>
              </w:rPr>
              <w:t xml:space="preserve"> scheme</w:t>
            </w:r>
          </w:p>
        </w:tc>
      </w:tr>
    </w:tbl>
    <w:p w:rsidR="00A4387C" w:rsidRPr="00174F0A" w:rsidRDefault="00A4387C" w:rsidP="00A4387C">
      <w:pPr>
        <w:rPr>
          <w:sz w:val="20"/>
          <w:szCs w:val="20"/>
          <w:lang w:val="en-US"/>
        </w:rPr>
      </w:pPr>
      <w:r w:rsidRPr="00174F0A">
        <w:rPr>
          <w:sz w:val="20"/>
          <w:szCs w:val="20"/>
          <w:lang w:val="en-US"/>
        </w:rPr>
        <w:br w:type="page"/>
      </w:r>
    </w:p>
    <w:p w:rsidR="00A4387C" w:rsidRPr="00174F0A" w:rsidRDefault="00A4387C" w:rsidP="00A4387C">
      <w:pPr>
        <w:tabs>
          <w:tab w:val="left" w:pos="5337"/>
        </w:tabs>
        <w:jc w:val="both"/>
        <w:rPr>
          <w:sz w:val="20"/>
          <w:szCs w:val="20"/>
          <w:lang w:val="en-US"/>
        </w:rPr>
      </w:pPr>
      <w:r w:rsidRPr="00174F0A">
        <w:rPr>
          <w:sz w:val="20"/>
          <w:szCs w:val="20"/>
          <w:lang w:val="en-US"/>
        </w:rPr>
        <w:lastRenderedPageBreak/>
        <w:t>Table S2. Summary of the results of CALPUFF-CALMET-WRF evaluation for PM</w:t>
      </w:r>
      <w:r w:rsidRPr="00174F0A">
        <w:rPr>
          <w:sz w:val="20"/>
          <w:szCs w:val="20"/>
          <w:vertAlign w:val="subscript"/>
          <w:lang w:val="en-US"/>
        </w:rPr>
        <w:t>10</w:t>
      </w:r>
      <w:r w:rsidRPr="00174F0A">
        <w:rPr>
          <w:sz w:val="20"/>
          <w:szCs w:val="20"/>
          <w:lang w:val="en-US"/>
        </w:rPr>
        <w:t xml:space="preserve"> concentrations for 2011–2019 in the northern Caribbean region of Colombia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709"/>
        <w:gridCol w:w="850"/>
        <w:gridCol w:w="709"/>
        <w:gridCol w:w="992"/>
        <w:gridCol w:w="1134"/>
        <w:gridCol w:w="1276"/>
      </w:tblGrid>
      <w:tr w:rsidR="00A4387C" w:rsidRPr="00174F0A" w:rsidTr="0028663E">
        <w:trPr>
          <w:trHeight w:val="284"/>
        </w:trPr>
        <w:tc>
          <w:tcPr>
            <w:tcW w:w="3114" w:type="dxa"/>
            <w:vMerge w:val="restar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>Statistics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>Unit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>Range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>Best value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n-US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>Performance of the CALPUFF mode</w:t>
            </w:r>
          </w:p>
        </w:tc>
      </w:tr>
      <w:tr w:rsidR="00A4387C" w:rsidRPr="00174F0A" w:rsidTr="0028663E">
        <w:trPr>
          <w:trHeight w:val="284"/>
        </w:trPr>
        <w:tc>
          <w:tcPr>
            <w:tcW w:w="3114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b/>
                <w:bCs/>
                <w:sz w:val="20"/>
                <w:szCs w:val="20"/>
                <w:lang w:val="en-US" w:eastAsia="es-419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b/>
                <w:bCs/>
                <w:sz w:val="20"/>
                <w:szCs w:val="20"/>
                <w:lang w:val="en-US" w:eastAsia="es-419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b/>
                <w:bCs/>
                <w:sz w:val="20"/>
                <w:szCs w:val="20"/>
                <w:lang w:val="en-US" w:eastAsia="es-419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b/>
                <w:bCs/>
                <w:sz w:val="20"/>
                <w:szCs w:val="20"/>
                <w:lang w:val="en-US" w:eastAsia="es-419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 xml:space="preserve">Coastal Zone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 xml:space="preserve">Industrial Zone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 xml:space="preserve">Mountainous Zone </w:t>
            </w:r>
          </w:p>
        </w:tc>
      </w:tr>
      <w:tr w:rsidR="00A4387C" w:rsidRPr="00174F0A" w:rsidTr="0028663E">
        <w:trPr>
          <w:trHeight w:val="284"/>
        </w:trPr>
        <w:tc>
          <w:tcPr>
            <w:tcW w:w="311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18"/>
                <w:szCs w:val="18"/>
                <w:lang w:val="es-419" w:eastAsia="es-419"/>
              </w:rPr>
            </w:pPr>
            <w:r w:rsidRPr="00174F0A">
              <w:rPr>
                <w:sz w:val="18"/>
                <w:szCs w:val="18"/>
                <w:lang w:val="es-419" w:eastAsia="es-419"/>
              </w:rPr>
              <w:t> </w:t>
            </w:r>
            <w:r w:rsidRPr="00174F0A">
              <w:rPr>
                <w:rFonts w:ascii="Cambria Math" w:hAnsi="Cambria Math"/>
                <w:i/>
                <w:sz w:val="18"/>
                <w:szCs w:val="18"/>
                <w:lang w:val="en-US" w:eastAsia="es-419"/>
              </w:rPr>
              <w:br/>
            </w: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n-US" w:eastAsia="es-419"/>
                  </w:rPr>
                  <m:t>BIAS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 w:eastAsia="es-419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P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O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O</m:t>
                            </m:r>
                          </m:sub>
                        </m:sSub>
                      </m:den>
                    </m:f>
                  </m:e>
                </m:nary>
              </m:oMath>
            </m:oMathPara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µg m</w:t>
            </w:r>
            <w:r w:rsidRPr="00174F0A">
              <w:rPr>
                <w:sz w:val="20"/>
                <w:szCs w:val="20"/>
                <w:vertAlign w:val="superscript"/>
                <w:lang w:val="en-US" w:eastAsia="es-419"/>
              </w:rPr>
              <w:t>-3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-∞ to ∞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-5.83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-9.1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3.21</w:t>
            </w:r>
          </w:p>
        </w:tc>
      </w:tr>
      <w:tr w:rsidR="00A4387C" w:rsidRPr="00174F0A" w:rsidTr="0028663E">
        <w:trPr>
          <w:trHeight w:val="284"/>
        </w:trPr>
        <w:tc>
          <w:tcPr>
            <w:tcW w:w="311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18"/>
                <w:szCs w:val="18"/>
                <w:lang w:val="es-419" w:eastAsia="es-419"/>
              </w:rPr>
            </w:pPr>
            <w:r w:rsidRPr="00174F0A">
              <w:rPr>
                <w:sz w:val="18"/>
                <w:szCs w:val="18"/>
                <w:lang w:val="es-419" w:eastAsia="es-419"/>
              </w:rPr>
              <w:t> </w:t>
            </w:r>
            <w:r w:rsidRPr="00174F0A">
              <w:rPr>
                <w:rFonts w:ascii="Cambria Math" w:hAnsi="Cambria Math"/>
                <w:i/>
                <w:sz w:val="18"/>
                <w:szCs w:val="18"/>
                <w:lang w:val="en-US" w:eastAsia="es-419"/>
              </w:rPr>
              <w:br/>
            </w: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n-US" w:eastAsia="es-419"/>
                  </w:rPr>
                  <m:t>RMSE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 w:eastAsia="es-419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</m:ctrlPr>
                  </m:radPr>
                  <m:deg/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  <m:t>n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</m:ctrlPr>
                              </m:sSup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(∅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P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∅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O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n</m:t>
                            </m:r>
                          </m:den>
                        </m:f>
                      </m:e>
                    </m:nary>
                  </m:e>
                </m:rad>
              </m:oMath>
            </m:oMathPara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µg m</w:t>
            </w:r>
            <w:r w:rsidRPr="00174F0A">
              <w:rPr>
                <w:sz w:val="20"/>
                <w:szCs w:val="20"/>
                <w:vertAlign w:val="superscript"/>
                <w:lang w:val="en-US" w:eastAsia="es-419"/>
              </w:rPr>
              <w:t>-3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 to ∞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13.43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16.65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16.62</w:t>
            </w:r>
          </w:p>
        </w:tc>
      </w:tr>
      <w:tr w:rsidR="00A4387C" w:rsidRPr="00174F0A" w:rsidTr="0028663E">
        <w:trPr>
          <w:trHeight w:val="284"/>
        </w:trPr>
        <w:tc>
          <w:tcPr>
            <w:tcW w:w="311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18"/>
                <w:szCs w:val="18"/>
                <w:lang w:eastAsia="es-419"/>
              </w:rPr>
            </w:pPr>
            <w:r w:rsidRPr="00174F0A">
              <w:rPr>
                <w:sz w:val="18"/>
                <w:szCs w:val="18"/>
                <w:lang w:eastAsia="es-419"/>
              </w:rPr>
              <w:t> </w:t>
            </w:r>
            <w:r w:rsidRPr="00174F0A">
              <w:rPr>
                <w:rFonts w:ascii="Cambria Math" w:hAnsi="Cambria Math"/>
                <w:i/>
                <w:sz w:val="18"/>
                <w:szCs w:val="18"/>
                <w:lang w:val="en-US" w:eastAsia="es-419"/>
              </w:rPr>
              <w:br/>
            </w: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n-US" w:eastAsia="es-419"/>
                  </w:rPr>
                  <m:t>NRMSE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 w:eastAsia="es-419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</m:ctrlPr>
                      </m:radPr>
                      <m:deg/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n</m:t>
                            </m:r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</m:ctrlPr>
                                  </m:sSup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  <w:lang w:val="en-US" w:eastAsia="es-419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  <w:lang w:val="en-US" w:eastAsia="es-419"/>
                                          </w:rPr>
                                          <m:t>(∅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  <w:lang w:val="en-US" w:eastAsia="es-419"/>
                                          </w:rPr>
                                          <m:t>P</m:t>
                                        </m:r>
                                      </m:sub>
                                    </m:s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  <w:lang w:val="en-US" w:eastAsia="es-419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  <w:lang w:val="en-US" w:eastAsia="es-419"/>
                                          </w:rPr>
                                          <m:t>∅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  <w:lang w:val="en-US" w:eastAsia="es-419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)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n</m:t>
                                </m:r>
                              </m:den>
                            </m:f>
                          </m:e>
                        </m:nary>
                      </m:e>
                    </m:rad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O</m:t>
                            </m:r>
                          </m:sub>
                        </m:sSub>
                      </m:e>
                    </m:acc>
                  </m:den>
                </m:f>
              </m:oMath>
            </m:oMathPara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None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 to ∞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0.43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0.41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0.48</w:t>
            </w:r>
          </w:p>
        </w:tc>
      </w:tr>
      <w:tr w:rsidR="00A4387C" w:rsidRPr="00174F0A" w:rsidTr="0028663E">
        <w:trPr>
          <w:trHeight w:val="284"/>
        </w:trPr>
        <w:tc>
          <w:tcPr>
            <w:tcW w:w="311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18"/>
                <w:szCs w:val="18"/>
                <w:lang w:eastAsia="es-419"/>
              </w:rPr>
            </w:pPr>
            <w:r w:rsidRPr="00174F0A">
              <w:rPr>
                <w:sz w:val="18"/>
                <w:szCs w:val="18"/>
                <w:lang w:eastAsia="es-419"/>
              </w:rPr>
              <w:t> </w:t>
            </w:r>
            <w:r w:rsidRPr="00174F0A">
              <w:rPr>
                <w:rFonts w:ascii="Cambria Math" w:hAnsi="Cambria Math"/>
                <w:i/>
                <w:sz w:val="18"/>
                <w:szCs w:val="18"/>
                <w:lang w:val="en-US" w:eastAsia="es-419"/>
              </w:rPr>
              <w:br/>
            </w: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n-US" w:eastAsia="es-419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 w:eastAsia="es-419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(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-1)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n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P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∅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P</m:t>
                                    </m:r>
                                  </m:sub>
                                </m:sSub>
                              </m:e>
                            </m:acc>
                          </m:num>
                          <m:den>
                            <w:bookmarkStart w:id="2" w:name="_Hlk54175667"/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P</m:t>
                                </m:r>
                              </m:sub>
                            </m:sSub>
                            <w:bookmarkEnd w:id="2"/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O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∅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  <w:lang w:val="en-US" w:eastAsia="es-419"/>
                                      </w:rPr>
                                      <m:t>O</m:t>
                                    </m:r>
                                  </m:sub>
                                </m:sSub>
                              </m:e>
                            </m:acc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O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nary>
              </m:oMath>
            </m:oMathPara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None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-1 to 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0.63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0.51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0.68</w:t>
            </w:r>
          </w:p>
        </w:tc>
      </w:tr>
      <w:tr w:rsidR="00A4387C" w:rsidRPr="00174F0A" w:rsidTr="0028663E">
        <w:trPr>
          <w:trHeight w:val="284"/>
        </w:trPr>
        <w:tc>
          <w:tcPr>
            <w:tcW w:w="311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18"/>
                <w:szCs w:val="18"/>
                <w:lang w:eastAsia="es-419"/>
              </w:rPr>
            </w:pPr>
            <w:r w:rsidRPr="00174F0A">
              <w:rPr>
                <w:sz w:val="18"/>
                <w:szCs w:val="18"/>
                <w:lang w:eastAsia="es-419"/>
              </w:rPr>
              <w:t> </w:t>
            </w:r>
            <w:r w:rsidRPr="00174F0A">
              <w:rPr>
                <w:rFonts w:ascii="Cambria Math" w:hAnsi="Cambria Math"/>
                <w:i/>
                <w:sz w:val="18"/>
                <w:szCs w:val="18"/>
                <w:lang w:val="en-US" w:eastAsia="es-419"/>
              </w:rPr>
              <w:br/>
            </w: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n-US" w:eastAsia="es-419"/>
                  </w:rPr>
                  <m:t>MG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 w:eastAsia="es-419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(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</m:ctrlPr>
                      </m:funcPr>
                      <m:fNam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ln</m:t>
                            </m:r>
                          </m:e>
                        </m:acc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  <m:t>-</m:t>
                        </m:r>
                      </m:e>
                    </m:func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sz w:val="18"/>
                            <w:szCs w:val="18"/>
                            <w:lang w:val="en-US" w:eastAsia="es-419"/>
                          </w:rPr>
                        </m:ctrlPr>
                      </m:acc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 w:eastAsia="es-419"/>
                              </w:rPr>
                              <m:t>ln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 w:eastAsia="es-419"/>
                                  </w:rPr>
                                  <m:t>p</m:t>
                                </m:r>
                              </m:sub>
                            </m:sSub>
                          </m:e>
                        </m:func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lang w:val="en-US" w:eastAsia="es-419"/>
                      </w:rPr>
                      <m:t>)</m:t>
                    </m:r>
                  </m:sup>
                </m:sSup>
              </m:oMath>
            </m:oMathPara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None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 to ∞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1.23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1.29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val="en-US" w:eastAsia="es-419"/>
              </w:rPr>
              <w:t>0.92</w:t>
            </w:r>
          </w:p>
        </w:tc>
      </w:tr>
    </w:tbl>
    <w:p w:rsidR="00A4387C" w:rsidRPr="00174F0A" w:rsidRDefault="00A4387C" w:rsidP="00A4387C">
      <w:pPr>
        <w:rPr>
          <w:sz w:val="20"/>
          <w:szCs w:val="20"/>
          <w:lang w:val="en-US"/>
        </w:rPr>
      </w:pPr>
      <w:r w:rsidRPr="00174F0A"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4387C" w:rsidRPr="00174F0A" w:rsidTr="0028663E">
        <w:tc>
          <w:tcPr>
            <w:tcW w:w="8494" w:type="dxa"/>
          </w:tcPr>
          <w:p w:rsidR="00A4387C" w:rsidRPr="00174F0A" w:rsidRDefault="00A4387C" w:rsidP="0028663E">
            <w:pPr>
              <w:jc w:val="center"/>
              <w:rPr>
                <w:sz w:val="20"/>
                <w:szCs w:val="20"/>
                <w:lang w:val="es-CO"/>
              </w:rPr>
            </w:pPr>
            <w:r w:rsidRPr="00174F0A">
              <w:rPr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4F6C1F68" wp14:editId="01FDBBC4">
                  <wp:extent cx="4314408" cy="39600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408" cy="39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87C" w:rsidRPr="00174F0A" w:rsidTr="0028663E">
        <w:trPr>
          <w:trHeight w:val="66"/>
        </w:trPr>
        <w:tc>
          <w:tcPr>
            <w:tcW w:w="8494" w:type="dxa"/>
          </w:tcPr>
          <w:p w:rsidR="00A4387C" w:rsidRPr="00174F0A" w:rsidRDefault="00A4387C" w:rsidP="0028663E">
            <w:pPr>
              <w:rPr>
                <w:sz w:val="20"/>
                <w:szCs w:val="20"/>
                <w:lang w:val="en-US"/>
              </w:rPr>
            </w:pPr>
            <w:r w:rsidRPr="00174F0A">
              <w:rPr>
                <w:sz w:val="20"/>
                <w:szCs w:val="20"/>
                <w:lang w:val="en-US"/>
              </w:rPr>
              <w:t>Figure S3. Taylor plot of annual PM</w:t>
            </w:r>
            <w:r w:rsidRPr="00174F0A">
              <w:rPr>
                <w:sz w:val="20"/>
                <w:szCs w:val="20"/>
                <w:vertAlign w:val="subscript"/>
                <w:lang w:val="en-US"/>
              </w:rPr>
              <w:t>10</w:t>
            </w:r>
            <w:r w:rsidRPr="00174F0A">
              <w:rPr>
                <w:sz w:val="20"/>
                <w:szCs w:val="20"/>
                <w:lang w:val="en-US"/>
              </w:rPr>
              <w:t xml:space="preserve"> concentrations vs. PM</w:t>
            </w:r>
            <w:r w:rsidRPr="00174F0A">
              <w:rPr>
                <w:sz w:val="20"/>
                <w:szCs w:val="20"/>
                <w:vertAlign w:val="subscript"/>
                <w:lang w:val="en-US"/>
              </w:rPr>
              <w:t>10</w:t>
            </w:r>
            <w:r w:rsidRPr="00174F0A">
              <w:rPr>
                <w:sz w:val="20"/>
                <w:szCs w:val="20"/>
                <w:lang w:val="en-US"/>
              </w:rPr>
              <w:t xml:space="preserve"> concentrations estimated using the CALPUFF-CALMET-WRF modeling system.</w:t>
            </w:r>
          </w:p>
        </w:tc>
      </w:tr>
    </w:tbl>
    <w:p w:rsidR="00A4387C" w:rsidRPr="00174F0A" w:rsidRDefault="00A4387C" w:rsidP="00A4387C">
      <w:pPr>
        <w:jc w:val="both"/>
        <w:rPr>
          <w:sz w:val="20"/>
          <w:szCs w:val="20"/>
          <w:lang w:val="en-US"/>
        </w:rPr>
      </w:pPr>
    </w:p>
    <w:p w:rsidR="00A4387C" w:rsidRPr="00174F0A" w:rsidRDefault="00A4387C" w:rsidP="00A4387C">
      <w:pPr>
        <w:rPr>
          <w:sz w:val="20"/>
          <w:szCs w:val="20"/>
          <w:lang w:val="en-US"/>
        </w:rPr>
      </w:pPr>
      <w:r w:rsidRPr="00174F0A">
        <w:rPr>
          <w:sz w:val="20"/>
          <w:szCs w:val="20"/>
          <w:lang w:val="en-US"/>
        </w:rPr>
        <w:br w:type="page"/>
      </w:r>
    </w:p>
    <w:p w:rsidR="00A4387C" w:rsidRPr="00174F0A" w:rsidRDefault="00A4387C" w:rsidP="00A4387C">
      <w:pPr>
        <w:jc w:val="both"/>
        <w:rPr>
          <w:sz w:val="20"/>
          <w:szCs w:val="20"/>
          <w:lang w:val="en-US"/>
        </w:rPr>
      </w:pPr>
      <w:r w:rsidRPr="00174F0A">
        <w:rPr>
          <w:sz w:val="20"/>
          <w:szCs w:val="20"/>
          <w:lang w:val="en-US"/>
        </w:rPr>
        <w:lastRenderedPageBreak/>
        <w:t xml:space="preserve">Table S3. </w:t>
      </w:r>
      <w:proofErr w:type="gramStart"/>
      <w:r w:rsidRPr="00174F0A">
        <w:rPr>
          <w:sz w:val="20"/>
          <w:szCs w:val="20"/>
          <w:lang w:val="en-US"/>
        </w:rPr>
        <w:t>Monthly PM</w:t>
      </w:r>
      <w:r w:rsidRPr="00174F0A">
        <w:rPr>
          <w:sz w:val="20"/>
          <w:szCs w:val="20"/>
          <w:vertAlign w:val="subscript"/>
          <w:lang w:val="en-US"/>
        </w:rPr>
        <w:t>10</w:t>
      </w:r>
      <w:r w:rsidRPr="00174F0A">
        <w:rPr>
          <w:sz w:val="20"/>
          <w:szCs w:val="20"/>
          <w:lang w:val="en-US"/>
        </w:rPr>
        <w:t xml:space="preserve"> concentrations </w:t>
      </w:r>
      <w:r w:rsidRPr="00174F0A">
        <w:rPr>
          <w:sz w:val="20"/>
          <w:szCs w:val="20"/>
          <w:lang w:val="en-AU"/>
        </w:rPr>
        <w:t>(µg m</w:t>
      </w:r>
      <w:r w:rsidRPr="00174F0A">
        <w:rPr>
          <w:sz w:val="20"/>
          <w:szCs w:val="20"/>
          <w:vertAlign w:val="superscript"/>
          <w:lang w:val="en-AU"/>
        </w:rPr>
        <w:t>-3</w:t>
      </w:r>
      <w:r w:rsidRPr="00174F0A">
        <w:rPr>
          <w:sz w:val="20"/>
          <w:szCs w:val="20"/>
          <w:lang w:val="en-AU"/>
        </w:rPr>
        <w:t xml:space="preserve">) </w:t>
      </w:r>
      <w:r w:rsidRPr="00174F0A">
        <w:rPr>
          <w:sz w:val="20"/>
          <w:szCs w:val="20"/>
          <w:lang w:val="en-US"/>
        </w:rPr>
        <w:t>in the Caribbean region of Colombia over the period 2011-2019.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2375"/>
        <w:gridCol w:w="2375"/>
        <w:gridCol w:w="2375"/>
      </w:tblGrid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n-US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> 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eastAsia="es-419"/>
              </w:rPr>
            </w:pPr>
            <w:r w:rsidRPr="00174F0A">
              <w:rPr>
                <w:b/>
                <w:bCs/>
                <w:sz w:val="20"/>
                <w:szCs w:val="20"/>
                <w:lang w:eastAsia="es-419"/>
              </w:rPr>
              <w:t>Coastal Zone</w:t>
            </w:r>
          </w:p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AU"/>
              </w:rPr>
              <w:t>(µg m</w:t>
            </w:r>
            <w:r w:rsidRPr="00174F0A">
              <w:rPr>
                <w:b/>
                <w:bCs/>
                <w:sz w:val="20"/>
                <w:szCs w:val="20"/>
                <w:vertAlign w:val="superscript"/>
                <w:lang w:val="en-AU"/>
              </w:rPr>
              <w:t>-3</w:t>
            </w:r>
            <w:r w:rsidRPr="00174F0A">
              <w:rPr>
                <w:b/>
                <w:bCs/>
                <w:sz w:val="20"/>
                <w:szCs w:val="20"/>
                <w:lang w:val="en-AU"/>
              </w:rPr>
              <w:t>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eastAsia="es-419"/>
              </w:rPr>
            </w:pPr>
            <w:r w:rsidRPr="00174F0A">
              <w:rPr>
                <w:b/>
                <w:bCs/>
                <w:sz w:val="20"/>
                <w:szCs w:val="20"/>
                <w:lang w:eastAsia="es-419"/>
              </w:rPr>
              <w:t>Industrial Zone</w:t>
            </w:r>
          </w:p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AU"/>
              </w:rPr>
              <w:t>(µg m</w:t>
            </w:r>
            <w:r w:rsidRPr="00174F0A">
              <w:rPr>
                <w:b/>
                <w:bCs/>
                <w:sz w:val="20"/>
                <w:szCs w:val="20"/>
                <w:vertAlign w:val="superscript"/>
                <w:lang w:val="en-AU"/>
              </w:rPr>
              <w:t>-3</w:t>
            </w:r>
            <w:r w:rsidRPr="00174F0A">
              <w:rPr>
                <w:b/>
                <w:bCs/>
                <w:sz w:val="20"/>
                <w:szCs w:val="20"/>
                <w:lang w:val="en-AU"/>
              </w:rPr>
              <w:t>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eastAsia="es-419"/>
              </w:rPr>
            </w:pPr>
            <w:r w:rsidRPr="00174F0A">
              <w:rPr>
                <w:b/>
                <w:bCs/>
                <w:sz w:val="20"/>
                <w:szCs w:val="20"/>
                <w:lang w:eastAsia="es-419"/>
              </w:rPr>
              <w:t>Mountainous Zone</w:t>
            </w:r>
          </w:p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AU"/>
              </w:rPr>
              <w:t>(µg m</w:t>
            </w:r>
            <w:r w:rsidRPr="00174F0A">
              <w:rPr>
                <w:b/>
                <w:bCs/>
                <w:sz w:val="20"/>
                <w:szCs w:val="20"/>
                <w:vertAlign w:val="superscript"/>
                <w:lang w:val="en-AU"/>
              </w:rPr>
              <w:t>-3</w:t>
            </w:r>
            <w:r w:rsidRPr="00174F0A">
              <w:rPr>
                <w:b/>
                <w:bCs/>
                <w:sz w:val="20"/>
                <w:szCs w:val="20"/>
                <w:lang w:val="en-AU"/>
              </w:rPr>
              <w:t>)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JAN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22 ± 8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35 ± 8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32 ± 12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FEB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27 ± 11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42 ± 11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39 ± 14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MAR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26 ± 10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46 ± 13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44 ± 15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APR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31 ± 15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50 ± 29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42 ± 18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MAY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37 ± 17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40 ± 13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36 ± 13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JUN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43 ± 26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42 ± 17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39 ± 18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JUL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35 ± 15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42 ± 12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37 ± 15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AUG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29 ± 10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37 ± 10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31 ± 11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SEP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26 ± 13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32 ± 10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28 ± 12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OCT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18 ± 10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28 ± 7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22 ± 7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NOV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16 ± 6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27 ± 8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19 ± 7</w:t>
            </w:r>
          </w:p>
        </w:tc>
      </w:tr>
      <w:tr w:rsidR="00A4387C" w:rsidRPr="00174F0A" w:rsidTr="0028663E">
        <w:trPr>
          <w:trHeight w:val="28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DEC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21 ± 7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30 ± 7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26 ± 11</w:t>
            </w:r>
          </w:p>
        </w:tc>
      </w:tr>
    </w:tbl>
    <w:p w:rsidR="00A4387C" w:rsidRPr="00174F0A" w:rsidRDefault="00A4387C" w:rsidP="00A4387C">
      <w:pPr>
        <w:rPr>
          <w:sz w:val="20"/>
          <w:szCs w:val="20"/>
          <w:lang w:val="es-ES"/>
        </w:rPr>
      </w:pPr>
      <w:r w:rsidRPr="00174F0A">
        <w:rPr>
          <w:sz w:val="20"/>
          <w:szCs w:val="20"/>
          <w:lang w:val="es-ES"/>
        </w:rPr>
        <w:br w:type="page"/>
      </w:r>
    </w:p>
    <w:p w:rsidR="00A4387C" w:rsidRPr="00174F0A" w:rsidRDefault="00A4387C" w:rsidP="00A4387C">
      <w:pPr>
        <w:rPr>
          <w:sz w:val="20"/>
          <w:szCs w:val="20"/>
          <w:lang w:val="es-ES"/>
        </w:rPr>
      </w:pPr>
    </w:p>
    <w:p w:rsidR="00A4387C" w:rsidRPr="00174F0A" w:rsidRDefault="00A4387C" w:rsidP="00A4387C">
      <w:pPr>
        <w:rPr>
          <w:sz w:val="20"/>
          <w:szCs w:val="20"/>
          <w:lang w:val="en-US"/>
        </w:rPr>
      </w:pPr>
      <w:r w:rsidRPr="00174F0A">
        <w:rPr>
          <w:sz w:val="20"/>
          <w:szCs w:val="20"/>
          <w:lang w:val="en-US"/>
        </w:rPr>
        <w:t xml:space="preserve">Table S4. </w:t>
      </w:r>
      <w:proofErr w:type="gramStart"/>
      <w:r w:rsidRPr="00174F0A">
        <w:rPr>
          <w:sz w:val="20"/>
          <w:szCs w:val="20"/>
          <w:lang w:val="en-US"/>
        </w:rPr>
        <w:t>Estimated percentages of ALRI, COPD, IHD, LC, stroke, and post-neonatal infant mortality deaths attributable to PM</w:t>
      </w:r>
      <w:r w:rsidRPr="00174F0A">
        <w:rPr>
          <w:sz w:val="20"/>
          <w:szCs w:val="20"/>
          <w:vertAlign w:val="subscript"/>
          <w:lang w:val="en-US"/>
        </w:rPr>
        <w:t>10</w:t>
      </w:r>
      <w:r w:rsidRPr="00174F0A">
        <w:rPr>
          <w:sz w:val="20"/>
          <w:szCs w:val="20"/>
          <w:lang w:val="en-US"/>
        </w:rPr>
        <w:t xml:space="preserve"> exposure in the Northern Caribbean region of Colombia (2011-2019).</w:t>
      </w:r>
      <w:proofErr w:type="gramEnd"/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3260"/>
        <w:gridCol w:w="1701"/>
        <w:gridCol w:w="2268"/>
      </w:tblGrid>
      <w:tr w:rsidR="00A4387C" w:rsidRPr="00174F0A" w:rsidTr="0028663E">
        <w:trPr>
          <w:trHeight w:val="227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eastAsia="es-419"/>
              </w:rPr>
              <w:t>Year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eastAsia="es-419"/>
              </w:rPr>
              <w:t>Mortality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s-419" w:eastAsia="es-419"/>
              </w:rPr>
            </w:pPr>
            <w:r w:rsidRPr="00174F0A">
              <w:rPr>
                <w:b/>
                <w:bCs/>
                <w:sz w:val="20"/>
                <w:szCs w:val="20"/>
                <w:lang w:eastAsia="es-419"/>
              </w:rPr>
              <w:t>Northern Caribbean region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b/>
                <w:bCs/>
                <w:sz w:val="20"/>
                <w:szCs w:val="20"/>
                <w:lang w:val="en-US" w:eastAsia="es-419"/>
              </w:rPr>
            </w:pPr>
            <w:r w:rsidRPr="00174F0A">
              <w:rPr>
                <w:b/>
                <w:bCs/>
                <w:sz w:val="20"/>
                <w:szCs w:val="20"/>
                <w:lang w:val="en-US" w:eastAsia="es-419"/>
              </w:rPr>
              <w:t>Number of Attributable Cases per 100,000 Population at Risk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2011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ALRI (children 0-4)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8%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24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 COPD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12%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19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IHD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24%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38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LC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10%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Stroke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17%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17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proofErr w:type="spellStart"/>
            <w:r w:rsidRPr="00174F0A">
              <w:rPr>
                <w:sz w:val="20"/>
                <w:szCs w:val="20"/>
                <w:lang w:eastAsia="es-419"/>
              </w:rPr>
              <w:t>Postneonatal</w:t>
            </w:r>
            <w:proofErr w:type="spellEnd"/>
            <w:r w:rsidRPr="00174F0A">
              <w:rPr>
                <w:sz w:val="20"/>
                <w:szCs w:val="20"/>
                <w:lang w:eastAsia="es-419"/>
              </w:rPr>
              <w:t xml:space="preserve"> infant mortality, </w:t>
            </w:r>
            <w:proofErr w:type="spellStart"/>
            <w:r w:rsidRPr="00174F0A">
              <w:rPr>
                <w:sz w:val="20"/>
                <w:szCs w:val="20"/>
                <w:lang w:eastAsia="es-419"/>
              </w:rPr>
              <w:t>allcause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326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2012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ALRI (children 0-4)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11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 COPD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14%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9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IHD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26%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35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LC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6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Stroke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21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proofErr w:type="spellStart"/>
            <w:r w:rsidRPr="00174F0A">
              <w:rPr>
                <w:sz w:val="20"/>
                <w:szCs w:val="20"/>
                <w:lang w:eastAsia="es-419"/>
              </w:rPr>
              <w:t>Postneonatal</w:t>
            </w:r>
            <w:proofErr w:type="spellEnd"/>
            <w:r w:rsidRPr="00174F0A">
              <w:rPr>
                <w:sz w:val="20"/>
                <w:szCs w:val="20"/>
                <w:lang w:eastAsia="es-419"/>
              </w:rPr>
              <w:t xml:space="preserve"> infant mortality, </w:t>
            </w:r>
            <w:proofErr w:type="spellStart"/>
            <w:r w:rsidRPr="00174F0A">
              <w:rPr>
                <w:sz w:val="20"/>
                <w:szCs w:val="20"/>
                <w:lang w:eastAsia="es-419"/>
              </w:rPr>
              <w:t>allcause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321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2013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ALRI (children 0-4)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14%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37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 COPD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17%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8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IHD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26%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36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LC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6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Stroke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18%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22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proofErr w:type="spellStart"/>
            <w:r w:rsidRPr="00174F0A">
              <w:rPr>
                <w:sz w:val="20"/>
                <w:szCs w:val="20"/>
                <w:lang w:eastAsia="es-419"/>
              </w:rPr>
              <w:t>Postneonatal</w:t>
            </w:r>
            <w:proofErr w:type="spellEnd"/>
            <w:r w:rsidRPr="00174F0A">
              <w:rPr>
                <w:sz w:val="20"/>
                <w:szCs w:val="20"/>
                <w:lang w:eastAsia="es-419"/>
              </w:rPr>
              <w:t xml:space="preserve"> infant mortality, </w:t>
            </w:r>
            <w:proofErr w:type="spellStart"/>
            <w:r w:rsidRPr="00174F0A">
              <w:rPr>
                <w:sz w:val="20"/>
                <w:szCs w:val="20"/>
                <w:lang w:eastAsia="es-419"/>
              </w:rPr>
              <w:t>allcause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315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2014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ALRI (children 0-4)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22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 COPD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17%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17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IHD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28%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33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LC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6%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8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Stroke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22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proofErr w:type="spellStart"/>
            <w:r w:rsidRPr="00174F0A">
              <w:rPr>
                <w:sz w:val="20"/>
                <w:szCs w:val="20"/>
                <w:lang w:eastAsia="es-419"/>
              </w:rPr>
              <w:t>Postneonatal</w:t>
            </w:r>
            <w:proofErr w:type="spellEnd"/>
            <w:r w:rsidRPr="00174F0A">
              <w:rPr>
                <w:sz w:val="20"/>
                <w:szCs w:val="20"/>
                <w:lang w:eastAsia="es-419"/>
              </w:rPr>
              <w:t xml:space="preserve"> infant mortality, </w:t>
            </w:r>
            <w:proofErr w:type="spellStart"/>
            <w:r w:rsidRPr="00174F0A">
              <w:rPr>
                <w:sz w:val="20"/>
                <w:szCs w:val="20"/>
                <w:lang w:eastAsia="es-419"/>
              </w:rPr>
              <w:t>allcause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6%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343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2015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ALRI (children 0-4)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14%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22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 COPD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16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IHD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28%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49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LC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7%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7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Stroke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28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proofErr w:type="spellStart"/>
            <w:r w:rsidRPr="00174F0A">
              <w:rPr>
                <w:sz w:val="20"/>
                <w:szCs w:val="20"/>
                <w:lang w:eastAsia="es-419"/>
              </w:rPr>
              <w:t>Postneonatal</w:t>
            </w:r>
            <w:proofErr w:type="spellEnd"/>
            <w:r w:rsidRPr="00174F0A">
              <w:rPr>
                <w:sz w:val="20"/>
                <w:szCs w:val="20"/>
                <w:lang w:eastAsia="es-419"/>
              </w:rPr>
              <w:t xml:space="preserve"> infant mortality, </w:t>
            </w:r>
            <w:proofErr w:type="spellStart"/>
            <w:r w:rsidRPr="00174F0A">
              <w:rPr>
                <w:sz w:val="20"/>
                <w:szCs w:val="20"/>
                <w:lang w:eastAsia="es-419"/>
              </w:rPr>
              <w:t>allcause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7%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312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2016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ALRI (children 0-4)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14%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35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 COPD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18%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17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IHD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58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LC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14%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6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Stroke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25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proofErr w:type="spellStart"/>
            <w:r w:rsidRPr="00174F0A">
              <w:rPr>
                <w:sz w:val="20"/>
                <w:szCs w:val="20"/>
                <w:lang w:eastAsia="es-419"/>
              </w:rPr>
              <w:t>Postneonatal</w:t>
            </w:r>
            <w:proofErr w:type="spellEnd"/>
            <w:r w:rsidRPr="00174F0A">
              <w:rPr>
                <w:sz w:val="20"/>
                <w:szCs w:val="20"/>
                <w:lang w:eastAsia="es-419"/>
              </w:rPr>
              <w:t xml:space="preserve"> infant mortality, </w:t>
            </w:r>
            <w:proofErr w:type="spellStart"/>
            <w:r w:rsidRPr="00174F0A">
              <w:rPr>
                <w:sz w:val="20"/>
                <w:szCs w:val="20"/>
                <w:lang w:eastAsia="es-419"/>
              </w:rPr>
              <w:t>allcause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387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2017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ALRI (children 0-4)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12%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33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 COPD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16%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19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IHD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27%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57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LC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8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Stroke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33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proofErr w:type="spellStart"/>
            <w:r w:rsidRPr="00174F0A">
              <w:rPr>
                <w:sz w:val="20"/>
                <w:szCs w:val="20"/>
                <w:lang w:eastAsia="es-419"/>
              </w:rPr>
              <w:t>Postneonatal</w:t>
            </w:r>
            <w:proofErr w:type="spellEnd"/>
            <w:r w:rsidRPr="00174F0A">
              <w:rPr>
                <w:sz w:val="20"/>
                <w:szCs w:val="20"/>
                <w:lang w:eastAsia="es-419"/>
              </w:rPr>
              <w:t xml:space="preserve"> infant mortality, </w:t>
            </w:r>
            <w:proofErr w:type="spellStart"/>
            <w:r w:rsidRPr="00174F0A">
              <w:rPr>
                <w:sz w:val="20"/>
                <w:szCs w:val="20"/>
                <w:lang w:eastAsia="es-419"/>
              </w:rPr>
              <w:t>allcause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6%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372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2018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ALRI (children 0-4)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13%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56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 COPD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17%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IHD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27%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61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LC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10%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12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Stroke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19%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37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proofErr w:type="spellStart"/>
            <w:r w:rsidRPr="00174F0A">
              <w:rPr>
                <w:sz w:val="20"/>
                <w:szCs w:val="20"/>
                <w:lang w:eastAsia="es-419"/>
              </w:rPr>
              <w:t>Postneonatal</w:t>
            </w:r>
            <w:proofErr w:type="spellEnd"/>
            <w:r w:rsidRPr="00174F0A">
              <w:rPr>
                <w:sz w:val="20"/>
                <w:szCs w:val="20"/>
                <w:lang w:eastAsia="es-419"/>
              </w:rPr>
              <w:t xml:space="preserve"> infant mortality, </w:t>
            </w:r>
            <w:proofErr w:type="spellStart"/>
            <w:r w:rsidRPr="00174F0A">
              <w:rPr>
                <w:sz w:val="20"/>
                <w:szCs w:val="20"/>
                <w:lang w:eastAsia="es-419"/>
              </w:rPr>
              <w:t>allcause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7%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519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2019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ALRI (children 0-4)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12%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58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 COPD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16%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26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IHD (adults 18+)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26%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72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LC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8%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13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 xml:space="preserve">Stroke (adults 18+)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18%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40</w:t>
            </w:r>
          </w:p>
        </w:tc>
      </w:tr>
      <w:tr w:rsidR="00A4387C" w:rsidRPr="00174F0A" w:rsidTr="0028663E">
        <w:trPr>
          <w:trHeight w:val="227"/>
        </w:trPr>
        <w:tc>
          <w:tcPr>
            <w:tcW w:w="1555" w:type="dxa"/>
            <w:vMerge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rPr>
                <w:sz w:val="20"/>
                <w:szCs w:val="20"/>
                <w:lang w:val="es-419" w:eastAsia="es-419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proofErr w:type="spellStart"/>
            <w:r w:rsidRPr="00174F0A">
              <w:rPr>
                <w:sz w:val="20"/>
                <w:szCs w:val="20"/>
                <w:lang w:eastAsia="es-419"/>
              </w:rPr>
              <w:t>Postneonatal</w:t>
            </w:r>
            <w:proofErr w:type="spellEnd"/>
            <w:r w:rsidRPr="00174F0A">
              <w:rPr>
                <w:sz w:val="20"/>
                <w:szCs w:val="20"/>
                <w:lang w:eastAsia="es-419"/>
              </w:rPr>
              <w:t xml:space="preserve"> infant mortality, </w:t>
            </w:r>
            <w:proofErr w:type="spellStart"/>
            <w:r w:rsidRPr="00174F0A">
              <w:rPr>
                <w:sz w:val="20"/>
                <w:szCs w:val="20"/>
                <w:lang w:eastAsia="es-419"/>
              </w:rPr>
              <w:t>allcause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5%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A4387C" w:rsidRPr="00174F0A" w:rsidRDefault="00A4387C" w:rsidP="0028663E">
            <w:pPr>
              <w:widowControl/>
              <w:spacing w:before="0" w:line="240" w:lineRule="auto"/>
              <w:jc w:val="center"/>
              <w:rPr>
                <w:sz w:val="20"/>
                <w:szCs w:val="20"/>
                <w:lang w:val="es-419" w:eastAsia="es-419"/>
              </w:rPr>
            </w:pPr>
            <w:r w:rsidRPr="00174F0A">
              <w:rPr>
                <w:sz w:val="20"/>
                <w:szCs w:val="20"/>
                <w:lang w:eastAsia="es-419"/>
              </w:rPr>
              <w:t>666</w:t>
            </w:r>
          </w:p>
        </w:tc>
      </w:tr>
    </w:tbl>
    <w:p w:rsidR="00A4387C" w:rsidRPr="00174F0A" w:rsidRDefault="00A4387C" w:rsidP="00A4387C">
      <w:pPr>
        <w:rPr>
          <w:sz w:val="20"/>
          <w:szCs w:val="20"/>
          <w:lang w:val="en-US"/>
        </w:rPr>
      </w:pPr>
    </w:p>
    <w:sectPr w:rsidR="00A4387C" w:rsidRPr="00174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7C"/>
    <w:rsid w:val="00010952"/>
    <w:rsid w:val="00064C7B"/>
    <w:rsid w:val="00081446"/>
    <w:rsid w:val="0009682F"/>
    <w:rsid w:val="000A646D"/>
    <w:rsid w:val="000B6B31"/>
    <w:rsid w:val="000B6BD0"/>
    <w:rsid w:val="00102636"/>
    <w:rsid w:val="00105C2B"/>
    <w:rsid w:val="001112B3"/>
    <w:rsid w:val="001473FC"/>
    <w:rsid w:val="001515B3"/>
    <w:rsid w:val="00154506"/>
    <w:rsid w:val="00172908"/>
    <w:rsid w:val="001A4594"/>
    <w:rsid w:val="00204C24"/>
    <w:rsid w:val="0020772B"/>
    <w:rsid w:val="0022572F"/>
    <w:rsid w:val="002510DE"/>
    <w:rsid w:val="00254406"/>
    <w:rsid w:val="00270572"/>
    <w:rsid w:val="0027275E"/>
    <w:rsid w:val="002B63B9"/>
    <w:rsid w:val="002D1792"/>
    <w:rsid w:val="002F3EB2"/>
    <w:rsid w:val="002F41AB"/>
    <w:rsid w:val="003462FE"/>
    <w:rsid w:val="00397F8E"/>
    <w:rsid w:val="003A00A4"/>
    <w:rsid w:val="003C37C7"/>
    <w:rsid w:val="004405AF"/>
    <w:rsid w:val="00454979"/>
    <w:rsid w:val="004E1163"/>
    <w:rsid w:val="0050130B"/>
    <w:rsid w:val="00527DE2"/>
    <w:rsid w:val="00590F9A"/>
    <w:rsid w:val="00594B6C"/>
    <w:rsid w:val="005B1BF8"/>
    <w:rsid w:val="005B1EA6"/>
    <w:rsid w:val="005F15FC"/>
    <w:rsid w:val="00617090"/>
    <w:rsid w:val="006415E6"/>
    <w:rsid w:val="00657842"/>
    <w:rsid w:val="00660D3F"/>
    <w:rsid w:val="00693C5A"/>
    <w:rsid w:val="006B4DD1"/>
    <w:rsid w:val="006F74F8"/>
    <w:rsid w:val="007044C3"/>
    <w:rsid w:val="007046E8"/>
    <w:rsid w:val="00710D24"/>
    <w:rsid w:val="007403A6"/>
    <w:rsid w:val="00793771"/>
    <w:rsid w:val="0079526E"/>
    <w:rsid w:val="00797FCF"/>
    <w:rsid w:val="007A5457"/>
    <w:rsid w:val="007C27C1"/>
    <w:rsid w:val="007D5E11"/>
    <w:rsid w:val="007E57A9"/>
    <w:rsid w:val="00827EA0"/>
    <w:rsid w:val="00837BD3"/>
    <w:rsid w:val="008649D1"/>
    <w:rsid w:val="0087548E"/>
    <w:rsid w:val="00891AB7"/>
    <w:rsid w:val="008B5EA2"/>
    <w:rsid w:val="008D219E"/>
    <w:rsid w:val="008E49E1"/>
    <w:rsid w:val="008E6624"/>
    <w:rsid w:val="00924A1B"/>
    <w:rsid w:val="00934CD2"/>
    <w:rsid w:val="00940721"/>
    <w:rsid w:val="00981342"/>
    <w:rsid w:val="009B24CB"/>
    <w:rsid w:val="009E2FE2"/>
    <w:rsid w:val="009F7874"/>
    <w:rsid w:val="00A006D8"/>
    <w:rsid w:val="00A03C34"/>
    <w:rsid w:val="00A04A29"/>
    <w:rsid w:val="00A11664"/>
    <w:rsid w:val="00A4387C"/>
    <w:rsid w:val="00A73AFF"/>
    <w:rsid w:val="00A80D4A"/>
    <w:rsid w:val="00A8306B"/>
    <w:rsid w:val="00A91130"/>
    <w:rsid w:val="00AD3C0D"/>
    <w:rsid w:val="00B62850"/>
    <w:rsid w:val="00B8282E"/>
    <w:rsid w:val="00B96980"/>
    <w:rsid w:val="00BA58D3"/>
    <w:rsid w:val="00BB6AC6"/>
    <w:rsid w:val="00BE28BC"/>
    <w:rsid w:val="00BE6A9A"/>
    <w:rsid w:val="00BF1A00"/>
    <w:rsid w:val="00C42F6E"/>
    <w:rsid w:val="00C9175D"/>
    <w:rsid w:val="00C91AC8"/>
    <w:rsid w:val="00C929BC"/>
    <w:rsid w:val="00C93CC4"/>
    <w:rsid w:val="00CD09B2"/>
    <w:rsid w:val="00CE5D9E"/>
    <w:rsid w:val="00CE7E9B"/>
    <w:rsid w:val="00CF6AE2"/>
    <w:rsid w:val="00D00E4C"/>
    <w:rsid w:val="00D31417"/>
    <w:rsid w:val="00D33E70"/>
    <w:rsid w:val="00D67938"/>
    <w:rsid w:val="00D8732E"/>
    <w:rsid w:val="00DA74B9"/>
    <w:rsid w:val="00DA7A66"/>
    <w:rsid w:val="00DB5850"/>
    <w:rsid w:val="00DE4A5D"/>
    <w:rsid w:val="00DF7188"/>
    <w:rsid w:val="00E46449"/>
    <w:rsid w:val="00E92261"/>
    <w:rsid w:val="00E932B1"/>
    <w:rsid w:val="00EA1E77"/>
    <w:rsid w:val="00EA7E95"/>
    <w:rsid w:val="00EE3398"/>
    <w:rsid w:val="00EE7B80"/>
    <w:rsid w:val="00F1116E"/>
    <w:rsid w:val="00F25751"/>
    <w:rsid w:val="00F65D66"/>
    <w:rsid w:val="00FB4FB9"/>
    <w:rsid w:val="00FC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87C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62FE"/>
    <w:pPr>
      <w:widowControl/>
      <w:spacing w:before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2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4387C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87C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62FE"/>
    <w:pPr>
      <w:widowControl/>
      <w:spacing w:before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2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4387C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Cristopher Buling</dc:creator>
  <cp:lastModifiedBy>Cristopher Buling</cp:lastModifiedBy>
  <cp:revision>1</cp:revision>
  <dcterms:created xsi:type="dcterms:W3CDTF">2023-01-09T13:31:00Z</dcterms:created>
  <dcterms:modified xsi:type="dcterms:W3CDTF">2023-01-09T13:33:00Z</dcterms:modified>
</cp:coreProperties>
</file>