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ECA7A" w14:textId="77777777" w:rsidR="007151E6" w:rsidRDefault="007151E6" w:rsidP="007151E6">
      <w:pPr>
        <w:spacing w:line="480" w:lineRule="auto"/>
        <w:rPr>
          <w:b/>
          <w:u w:val="single"/>
        </w:rPr>
      </w:pPr>
      <w:r>
        <w:rPr>
          <w:b/>
          <w:u w:val="single"/>
        </w:rPr>
        <w:t>Supporting Information for:</w:t>
      </w:r>
    </w:p>
    <w:p w14:paraId="7A2AA01B" w14:textId="77777777" w:rsidR="007151E6" w:rsidRPr="0063619F" w:rsidRDefault="007151E6" w:rsidP="007151E6">
      <w:pPr>
        <w:pStyle w:val="BATitle"/>
      </w:pPr>
      <w:bookmarkStart w:id="0" w:name="_Hlk124425024"/>
      <w:r w:rsidRPr="0063619F">
        <w:t xml:space="preserve">Residual Impacts of </w:t>
      </w:r>
      <w:r>
        <w:t xml:space="preserve">a </w:t>
      </w:r>
      <w:r w:rsidRPr="0063619F">
        <w:t xml:space="preserve">Wildland Urban Interface Fire on Urban Particulate Matter and Dust: A Study </w:t>
      </w:r>
      <w:r>
        <w:t>f</w:t>
      </w:r>
      <w:r w:rsidRPr="0063619F">
        <w:t xml:space="preserve">rom the Marshall Fire </w:t>
      </w:r>
    </w:p>
    <w:bookmarkEnd w:id="0"/>
    <w:p w14:paraId="504D1A54" w14:textId="77777777" w:rsidR="007151E6" w:rsidRDefault="00000000" w:rsidP="007151E6">
      <w:pPr>
        <w:pStyle w:val="BBAuthorName"/>
        <w:rPr>
          <w:vertAlign w:val="superscript"/>
        </w:rPr>
      </w:pPr>
      <w:sdt>
        <w:sdtPr>
          <w:tag w:val="goog_rdk_0"/>
          <w:id w:val="-1495175480"/>
          <w:showingPlcHdr/>
        </w:sdtPr>
        <w:sdtContent>
          <w:r w:rsidR="007151E6">
            <w:t xml:space="preserve">     </w:t>
          </w:r>
        </w:sdtContent>
      </w:sdt>
      <w:r w:rsidR="007151E6">
        <w:t>Jonathan M. Silberstein*</w:t>
      </w:r>
      <w:r w:rsidR="007151E6">
        <w:rPr>
          <w:vertAlign w:val="superscript"/>
        </w:rPr>
        <w:t>,a</w:t>
      </w:r>
      <w:r w:rsidR="007151E6">
        <w:t xml:space="preserve">, </w:t>
      </w:r>
      <w:proofErr w:type="spellStart"/>
      <w:r w:rsidR="007151E6">
        <w:t>Liora</w:t>
      </w:r>
      <w:proofErr w:type="spellEnd"/>
      <w:r w:rsidR="007151E6">
        <w:t xml:space="preserve"> E. </w:t>
      </w:r>
      <w:proofErr w:type="spellStart"/>
      <w:r w:rsidR="007151E6">
        <w:t>Mael</w:t>
      </w:r>
      <w:r w:rsidR="007151E6">
        <w:rPr>
          <w:vertAlign w:val="superscript"/>
        </w:rPr>
        <w:t>a</w:t>
      </w:r>
      <w:proofErr w:type="spellEnd"/>
      <w:r w:rsidR="007151E6">
        <w:t xml:space="preserve">, Caroline R. </w:t>
      </w:r>
      <w:proofErr w:type="spellStart"/>
      <w:r w:rsidR="007151E6">
        <w:t>Frischmon</w:t>
      </w:r>
      <w:r w:rsidR="007151E6">
        <w:rPr>
          <w:vertAlign w:val="superscript"/>
        </w:rPr>
        <w:t>a</w:t>
      </w:r>
      <w:proofErr w:type="spellEnd"/>
      <w:r w:rsidR="007151E6">
        <w:t xml:space="preserve">, Emma S. </w:t>
      </w:r>
      <w:proofErr w:type="spellStart"/>
      <w:r w:rsidR="007151E6">
        <w:t>Rieves</w:t>
      </w:r>
      <w:r w:rsidR="007151E6">
        <w:rPr>
          <w:vertAlign w:val="superscript"/>
        </w:rPr>
        <w:t>b</w:t>
      </w:r>
      <w:proofErr w:type="spellEnd"/>
      <w:r w:rsidR="007151E6">
        <w:t xml:space="preserve">, Evan R. </w:t>
      </w:r>
      <w:proofErr w:type="spellStart"/>
      <w:r w:rsidR="007151E6">
        <w:t>Coffey</w:t>
      </w:r>
      <w:r w:rsidR="007151E6">
        <w:rPr>
          <w:vertAlign w:val="superscript"/>
        </w:rPr>
        <w:t>a</w:t>
      </w:r>
      <w:proofErr w:type="spellEnd"/>
      <w:r w:rsidR="007151E6">
        <w:t>,</w:t>
      </w:r>
      <w:r w:rsidR="007151E6" w:rsidRPr="00680C1E">
        <w:t xml:space="preserve"> </w:t>
      </w:r>
      <w:r w:rsidR="007151E6">
        <w:t xml:space="preserve">Trupti </w:t>
      </w:r>
      <w:proofErr w:type="spellStart"/>
      <w:r w:rsidR="007151E6">
        <w:t>Das</w:t>
      </w:r>
      <w:r w:rsidR="007151E6">
        <w:rPr>
          <w:vertAlign w:val="superscript"/>
        </w:rPr>
        <w:t>c</w:t>
      </w:r>
      <w:proofErr w:type="spellEnd"/>
      <w:r w:rsidR="007151E6">
        <w:t xml:space="preserve">, William </w:t>
      </w:r>
      <w:proofErr w:type="spellStart"/>
      <w:r w:rsidR="007151E6">
        <w:t>Dresser</w:t>
      </w:r>
      <w:r w:rsidR="007151E6">
        <w:rPr>
          <w:vertAlign w:val="superscript"/>
        </w:rPr>
        <w:t>d,e</w:t>
      </w:r>
      <w:proofErr w:type="spellEnd"/>
      <w:r w:rsidR="007151E6">
        <w:t>,</w:t>
      </w:r>
      <w:r w:rsidR="007151E6" w:rsidRPr="00680C1E">
        <w:t xml:space="preserve"> </w:t>
      </w:r>
      <w:r w:rsidR="007151E6">
        <w:t xml:space="preserve">Avery C. </w:t>
      </w:r>
      <w:proofErr w:type="spellStart"/>
      <w:r w:rsidR="007151E6">
        <w:t>Hatch</w:t>
      </w:r>
      <w:r w:rsidR="007151E6">
        <w:rPr>
          <w:vertAlign w:val="superscript"/>
        </w:rPr>
        <w:t>f</w:t>
      </w:r>
      <w:proofErr w:type="spellEnd"/>
      <w:r w:rsidR="007151E6">
        <w:t xml:space="preserve">,  </w:t>
      </w:r>
      <w:proofErr w:type="spellStart"/>
      <w:r w:rsidR="007151E6">
        <w:t>Jyotishree</w:t>
      </w:r>
      <w:proofErr w:type="spellEnd"/>
      <w:r w:rsidR="007151E6">
        <w:t xml:space="preserve"> </w:t>
      </w:r>
      <w:proofErr w:type="spellStart"/>
      <w:r w:rsidR="007151E6">
        <w:t>Nath</w:t>
      </w:r>
      <w:r w:rsidR="007151E6">
        <w:rPr>
          <w:vertAlign w:val="superscript"/>
        </w:rPr>
        <w:t>c</w:t>
      </w:r>
      <w:proofErr w:type="spellEnd"/>
      <w:r w:rsidR="007151E6">
        <w:t xml:space="preserve">, Helena O. </w:t>
      </w:r>
      <w:proofErr w:type="spellStart"/>
      <w:r w:rsidR="007151E6">
        <w:t>Pliszka</w:t>
      </w:r>
      <w:r w:rsidR="007151E6">
        <w:rPr>
          <w:vertAlign w:val="superscript"/>
        </w:rPr>
        <w:t>f</w:t>
      </w:r>
      <w:proofErr w:type="spellEnd"/>
      <w:r w:rsidR="007151E6">
        <w:t xml:space="preserve">, Colleen E. </w:t>
      </w:r>
      <w:proofErr w:type="spellStart"/>
      <w:r w:rsidR="007151E6">
        <w:t>Reid</w:t>
      </w:r>
      <w:r w:rsidR="007151E6">
        <w:rPr>
          <w:vertAlign w:val="superscript"/>
        </w:rPr>
        <w:t>b</w:t>
      </w:r>
      <w:proofErr w:type="spellEnd"/>
      <w:r w:rsidR="007151E6">
        <w:t xml:space="preserve">, Marina E. </w:t>
      </w:r>
      <w:proofErr w:type="spellStart"/>
      <w:r w:rsidR="007151E6">
        <w:t>Vance</w:t>
      </w:r>
      <w:r w:rsidR="007151E6">
        <w:rPr>
          <w:vertAlign w:val="superscript"/>
        </w:rPr>
        <w:t>a</w:t>
      </w:r>
      <w:proofErr w:type="spellEnd"/>
      <w:r w:rsidR="007151E6">
        <w:t xml:space="preserve">, Christine </w:t>
      </w:r>
      <w:proofErr w:type="spellStart"/>
      <w:r w:rsidR="007151E6">
        <w:t>Wiedinmyer</w:t>
      </w:r>
      <w:r w:rsidR="007151E6">
        <w:rPr>
          <w:vertAlign w:val="superscript"/>
        </w:rPr>
        <w:t>a,e</w:t>
      </w:r>
      <w:proofErr w:type="spellEnd"/>
      <w:r w:rsidR="007151E6">
        <w:t>,</w:t>
      </w:r>
      <w:r w:rsidR="007151E6" w:rsidRPr="0043730E">
        <w:t xml:space="preserve"> </w:t>
      </w:r>
      <w:r w:rsidR="007151E6">
        <w:t xml:space="preserve">Joost A. De </w:t>
      </w:r>
      <w:proofErr w:type="spellStart"/>
      <w:r w:rsidR="007151E6">
        <w:t>Gouw</w:t>
      </w:r>
      <w:r w:rsidR="007151E6">
        <w:rPr>
          <w:vertAlign w:val="superscript"/>
        </w:rPr>
        <w:t>d,e</w:t>
      </w:r>
      <w:proofErr w:type="spellEnd"/>
      <w:r w:rsidR="007151E6">
        <w:t xml:space="preserve">, Michael P. </w:t>
      </w:r>
      <w:proofErr w:type="spellStart"/>
      <w:r w:rsidR="007151E6">
        <w:t>Hannigan</w:t>
      </w:r>
      <w:r w:rsidR="007151E6">
        <w:rPr>
          <w:vertAlign w:val="superscript"/>
        </w:rPr>
        <w:t>a</w:t>
      </w:r>
      <w:proofErr w:type="spellEnd"/>
    </w:p>
    <w:p w14:paraId="38F7DF5C" w14:textId="77777777" w:rsidR="007151E6" w:rsidRPr="00996979" w:rsidRDefault="007151E6" w:rsidP="007151E6">
      <w:pPr>
        <w:pStyle w:val="BCAuthorAddress"/>
      </w:pPr>
      <w:r>
        <w:t>*Email: jonathan.silberstein@colorado.edu</w:t>
      </w:r>
    </w:p>
    <w:p w14:paraId="184093E8" w14:textId="77777777" w:rsidR="007151E6" w:rsidRDefault="007151E6" w:rsidP="007151E6">
      <w:pPr>
        <w:pStyle w:val="BCAuthorAddress"/>
      </w:pPr>
      <w:r>
        <w:t>a. University of Colorado Boulder Department of Mechanical Engineering, Boulder Colorado 80309, United States</w:t>
      </w:r>
    </w:p>
    <w:p w14:paraId="0076E9B3" w14:textId="77777777" w:rsidR="007151E6" w:rsidRDefault="007151E6" w:rsidP="007151E6">
      <w:pPr>
        <w:pStyle w:val="BCAuthorAddress"/>
      </w:pPr>
      <w:r>
        <w:t>b. University of Colorado Boulder Department of Geography, Boulder Colorado 80309, United States</w:t>
      </w:r>
    </w:p>
    <w:p w14:paraId="6CF03744" w14:textId="77777777" w:rsidR="007151E6" w:rsidRPr="00C56907" w:rsidRDefault="007151E6" w:rsidP="007151E6">
      <w:pPr>
        <w:pStyle w:val="BCAuthorAddress"/>
      </w:pPr>
      <w:r>
        <w:t>c. Institute of Minerals and Materials Technology Department of Environment and Sustainability, Bhubaneswar 751013, India</w:t>
      </w:r>
    </w:p>
    <w:p w14:paraId="5685113B" w14:textId="77777777" w:rsidR="007151E6" w:rsidRDefault="007151E6" w:rsidP="007151E6">
      <w:pPr>
        <w:pStyle w:val="BCAuthorAddress"/>
      </w:pPr>
      <w:r>
        <w:t>d. University of Colorado Boulder Department of Chemistry, Boulder Colorado 80309, United States</w:t>
      </w:r>
    </w:p>
    <w:p w14:paraId="49F2EE9B" w14:textId="77777777" w:rsidR="007151E6" w:rsidRDefault="007151E6" w:rsidP="007151E6">
      <w:pPr>
        <w:pStyle w:val="BCAuthorAddress"/>
      </w:pPr>
      <w:r>
        <w:lastRenderedPageBreak/>
        <w:t>e. Cooperative Institute for Research in Environmental Sciences, Boulder Colorado 80309, United States</w:t>
      </w:r>
    </w:p>
    <w:p w14:paraId="07B898EA" w14:textId="77777777" w:rsidR="007151E6" w:rsidRPr="001A64A1" w:rsidRDefault="007151E6" w:rsidP="007151E6">
      <w:pPr>
        <w:pStyle w:val="BCAuthorAddress"/>
      </w:pPr>
      <w:r>
        <w:t>f. University of Colorado Boulder Department of Environmental Engineering, Boulder Colorado 80303, United States</w:t>
      </w:r>
    </w:p>
    <w:p w14:paraId="4C0446B1" w14:textId="77777777" w:rsidR="007151E6" w:rsidRDefault="007151E6" w:rsidP="007151E6">
      <w:pPr>
        <w:spacing w:line="480" w:lineRule="auto"/>
        <w:rPr>
          <w:b/>
          <w:u w:val="single"/>
        </w:rPr>
      </w:pPr>
      <w:r>
        <w:rPr>
          <w:b/>
          <w:u w:val="single"/>
        </w:rPr>
        <w:t>Summary of Supporting Information</w:t>
      </w:r>
    </w:p>
    <w:p w14:paraId="5B18D51B" w14:textId="77777777" w:rsidR="007151E6" w:rsidRDefault="007151E6" w:rsidP="007151E6">
      <w:pPr>
        <w:spacing w:line="480" w:lineRule="auto"/>
        <w:rPr>
          <w:b/>
          <w:u w:val="single"/>
        </w:rPr>
      </w:pPr>
      <w:r>
        <w:rPr>
          <w:b/>
          <w:u w:val="single"/>
        </w:rPr>
        <w:t>Figures</w:t>
      </w:r>
    </w:p>
    <w:p w14:paraId="62B460B9" w14:textId="77777777" w:rsidR="007151E6" w:rsidRDefault="007151E6" w:rsidP="00FF5A70">
      <w:pPr>
        <w:pStyle w:val="TAMainText"/>
      </w:pPr>
      <w:r>
        <w:t>Figure S1: Typical post-Marshall Fire indoor dust infiltration</w:t>
      </w:r>
    </w:p>
    <w:p w14:paraId="3CEF72F9" w14:textId="77777777" w:rsidR="007151E6" w:rsidRDefault="007151E6" w:rsidP="00FF5A70">
      <w:pPr>
        <w:pStyle w:val="TAMainText"/>
      </w:pPr>
      <w:r>
        <w:t>Figure S2: Median sterol and methoxyphenol concentrations for smoke-affected and    background dust samples</w:t>
      </w:r>
    </w:p>
    <w:p w14:paraId="491A8529" w14:textId="77777777" w:rsidR="007151E6" w:rsidRDefault="007151E6" w:rsidP="00FF5A70">
      <w:pPr>
        <w:pStyle w:val="TAMainText"/>
      </w:pPr>
      <w:r>
        <w:t>Figure S3: Median metal enrichment factors for smoke-affected and background dust samples</w:t>
      </w:r>
    </w:p>
    <w:p w14:paraId="19735368" w14:textId="7E2AAA4F" w:rsidR="007151E6" w:rsidRDefault="007151E6" w:rsidP="00FF5A70">
      <w:pPr>
        <w:pStyle w:val="TAMainText"/>
      </w:pPr>
      <w:r>
        <w:t>Figure S4: Interpolated post-Marshall Fire PM</w:t>
      </w:r>
      <w:r>
        <w:rPr>
          <w:vertAlign w:val="subscript"/>
        </w:rPr>
        <w:t>2.5</w:t>
      </w:r>
      <w:r>
        <w:t xml:space="preserve"> Surface</w:t>
      </w:r>
    </w:p>
    <w:p w14:paraId="45D4A677" w14:textId="303F9BD2" w:rsidR="00865184" w:rsidRPr="00FF5A70" w:rsidRDefault="00865184" w:rsidP="00FF5A70">
      <w:pPr>
        <w:pStyle w:val="TAMainText"/>
      </w:pPr>
      <w:r w:rsidRPr="00FF5A70">
        <w:t xml:space="preserve">Figure S5: Estimated PM2.5 concentrations from Jan. 8th through Feb. 12th </w:t>
      </w:r>
    </w:p>
    <w:p w14:paraId="78538AA1" w14:textId="18949518" w:rsidR="007151E6" w:rsidRDefault="007151E6" w:rsidP="00FF5A70">
      <w:pPr>
        <w:pStyle w:val="TAMainText"/>
        <w:rPr>
          <w:i/>
        </w:rPr>
      </w:pPr>
      <w:r>
        <w:t>Figure S</w:t>
      </w:r>
      <w:r w:rsidR="00865184">
        <w:t>6</w:t>
      </w:r>
      <w:r>
        <w:t>: SMPS Aerosol Concentration, Mass, and Heat Maps of SMPS size distribution from two suggested HVAC cycles</w:t>
      </w:r>
    </w:p>
    <w:p w14:paraId="37FA3820" w14:textId="45A0EE85" w:rsidR="007151E6" w:rsidRDefault="007151E6" w:rsidP="00FF5A70">
      <w:pPr>
        <w:pStyle w:val="TAMainText"/>
      </w:pPr>
      <w:r>
        <w:t>Figure S</w:t>
      </w:r>
      <w:r w:rsidR="00452377">
        <w:t>7</w:t>
      </w:r>
      <w:r>
        <w:t xml:space="preserve">: Ratio diagnostic plots for </w:t>
      </w:r>
      <w:r w:rsidR="00A9003C">
        <w:t>Dust Samples</w:t>
      </w:r>
    </w:p>
    <w:p w14:paraId="1548045C" w14:textId="74E5B851" w:rsidR="007151E6" w:rsidRDefault="00A9003C" w:rsidP="00A9003C">
      <w:pPr>
        <w:pStyle w:val="TAMainText"/>
      </w:pPr>
      <w:r>
        <w:t>Figure S</w:t>
      </w:r>
      <w:r>
        <w:t>8</w:t>
      </w:r>
      <w:r>
        <w:t>: Ratio-ratio diagnostic plots for PM</w:t>
      </w:r>
      <w:r>
        <w:rPr>
          <w:vertAlign w:val="subscript"/>
        </w:rPr>
        <w:t>2.5</w:t>
      </w:r>
      <w:r>
        <w:t xml:space="preserve"> samples</w:t>
      </w:r>
    </w:p>
    <w:p w14:paraId="06DC0402" w14:textId="77777777" w:rsidR="007151E6" w:rsidRPr="00E422A8" w:rsidRDefault="007151E6" w:rsidP="007151E6">
      <w:pPr>
        <w:spacing w:line="480" w:lineRule="auto"/>
        <w:rPr>
          <w:bCs/>
        </w:rPr>
      </w:pPr>
      <w:r>
        <w:rPr>
          <w:b/>
          <w:u w:val="single"/>
        </w:rPr>
        <w:t>Tables</w:t>
      </w:r>
    </w:p>
    <w:p w14:paraId="41927840" w14:textId="77777777" w:rsidR="007151E6" w:rsidRDefault="007151E6" w:rsidP="007151E6">
      <w:pPr>
        <w:pStyle w:val="TAMainText"/>
      </w:pPr>
      <w:r>
        <w:t>Table S1: Quantitated species and reference internal standards (IS)</w:t>
      </w:r>
    </w:p>
    <w:p w14:paraId="2B1BF995" w14:textId="77777777" w:rsidR="007151E6" w:rsidRDefault="007151E6" w:rsidP="007151E6">
      <w:pPr>
        <w:pStyle w:val="TAMainText"/>
      </w:pPr>
      <w:r>
        <w:t>Table S2: Dust sample organic species concentrations</w:t>
      </w:r>
    </w:p>
    <w:p w14:paraId="6B4283CC" w14:textId="77777777" w:rsidR="007151E6" w:rsidRDefault="007151E6" w:rsidP="007151E6">
      <w:pPr>
        <w:pStyle w:val="TAMainText"/>
      </w:pPr>
      <w:r>
        <w:t>Table S3: Relative percentage of EPA priority PAHs for anthropogenic and natural emission     sources</w:t>
      </w:r>
      <w:r>
        <w:br/>
        <w:t xml:space="preserve">   Table S4:</w:t>
      </w:r>
      <w:r w:rsidRPr="008E4867">
        <w:t xml:space="preserve"> </w:t>
      </w:r>
      <w:r>
        <w:t>Dust sample metal concentrations</w:t>
      </w:r>
    </w:p>
    <w:p w14:paraId="71C70B90" w14:textId="77777777" w:rsidR="007151E6" w:rsidRPr="001F5B0E" w:rsidRDefault="007151E6" w:rsidP="007151E6">
      <w:pPr>
        <w:pStyle w:val="TAMainText"/>
      </w:pPr>
      <w:r>
        <w:lastRenderedPageBreak/>
        <w:t>Table S5: PM</w:t>
      </w:r>
      <w:r>
        <w:rPr>
          <w:vertAlign w:val="subscript"/>
        </w:rPr>
        <w:t>2.5</w:t>
      </w:r>
      <w:r>
        <w:t xml:space="preserve"> filter sampling parameters &amp; ECOC data </w:t>
      </w:r>
    </w:p>
    <w:p w14:paraId="7C138739" w14:textId="77777777" w:rsidR="007151E6" w:rsidRDefault="007151E6" w:rsidP="007151E6">
      <w:pPr>
        <w:pStyle w:val="TAMainText"/>
      </w:pPr>
      <w:r>
        <w:t>Table S6: PM</w:t>
      </w:r>
      <w:r>
        <w:rPr>
          <w:vertAlign w:val="subscript"/>
        </w:rPr>
        <w:t>2.5</w:t>
      </w:r>
      <w:r>
        <w:t xml:space="preserve"> filter sampling organic species concentrations </w:t>
      </w:r>
    </w:p>
    <w:p w14:paraId="143795EA" w14:textId="77777777" w:rsidR="007151E6" w:rsidRDefault="007151E6" w:rsidP="007151E6">
      <w:pPr>
        <w:pStyle w:val="TAMainText"/>
      </w:pPr>
      <w:r>
        <w:t>Table S7: Dust sample organic species concentration uncertainties</w:t>
      </w:r>
    </w:p>
    <w:p w14:paraId="337EDD64" w14:textId="77777777" w:rsidR="007151E6" w:rsidRDefault="007151E6" w:rsidP="007151E6">
      <w:pPr>
        <w:pStyle w:val="TAMainText"/>
      </w:pPr>
      <w:r>
        <w:t>Table S8: Dust sample metal concentration uncertainties</w:t>
      </w:r>
    </w:p>
    <w:p w14:paraId="250025B0" w14:textId="77777777" w:rsidR="007151E6" w:rsidRDefault="007151E6" w:rsidP="007151E6">
      <w:pPr>
        <w:pStyle w:val="TAMainText"/>
      </w:pPr>
      <w:r>
        <w:t>Table S9: PM</w:t>
      </w:r>
      <w:r>
        <w:rPr>
          <w:vertAlign w:val="subscript"/>
        </w:rPr>
        <w:t>2.5</w:t>
      </w:r>
      <w:r>
        <w:t xml:space="preserve"> filter sampling ECOC uncertainties  </w:t>
      </w:r>
    </w:p>
    <w:p w14:paraId="11B29B0B" w14:textId="77777777" w:rsidR="007151E6" w:rsidRDefault="007151E6" w:rsidP="007151E6">
      <w:pPr>
        <w:pStyle w:val="TAMainText"/>
      </w:pPr>
      <w:r>
        <w:t>Table S10: PM</w:t>
      </w:r>
      <w:r>
        <w:rPr>
          <w:vertAlign w:val="subscript"/>
        </w:rPr>
        <w:t>2.5</w:t>
      </w:r>
      <w:r>
        <w:t xml:space="preserve"> filter sampling organic species uncertainties  </w:t>
      </w:r>
    </w:p>
    <w:p w14:paraId="0BF2C120" w14:textId="77777777" w:rsidR="007151E6" w:rsidRDefault="007151E6" w:rsidP="007151E6">
      <w:pPr>
        <w:pStyle w:val="TAMainText"/>
      </w:pPr>
      <w:r>
        <w:t>Table S11: Median, 25</w:t>
      </w:r>
      <w:r w:rsidRPr="008E4867">
        <w:rPr>
          <w:vertAlign w:val="superscript"/>
        </w:rPr>
        <w:t>th</w:t>
      </w:r>
      <w:r>
        <w:t xml:space="preserve"> and 75</w:t>
      </w:r>
      <w:r w:rsidRPr="008E4867">
        <w:rPr>
          <w:vertAlign w:val="superscript"/>
        </w:rPr>
        <w:t>th</w:t>
      </w:r>
      <w:r>
        <w:t xml:space="preserve"> percentile enrichment factors</w:t>
      </w:r>
    </w:p>
    <w:p w14:paraId="7AE7B114" w14:textId="77777777" w:rsidR="007151E6" w:rsidRDefault="007151E6" w:rsidP="007151E6">
      <w:pPr>
        <w:pStyle w:val="TAMainText"/>
      </w:pPr>
      <w:r>
        <w:t>Table S12: Post Marshall Fire Purple Air Data</w:t>
      </w:r>
    </w:p>
    <w:p w14:paraId="25813EE8" w14:textId="77777777" w:rsidR="007151E6" w:rsidRDefault="007151E6" w:rsidP="007151E6">
      <w:pPr>
        <w:spacing w:line="480" w:lineRule="auto"/>
        <w:rPr>
          <w:b/>
          <w:u w:val="single"/>
        </w:rPr>
      </w:pPr>
      <w:r>
        <w:rPr>
          <w:b/>
          <w:u w:val="single"/>
        </w:rPr>
        <w:t>Figure S1</w:t>
      </w:r>
    </w:p>
    <w:p w14:paraId="6A5720D2" w14:textId="77777777" w:rsidR="007151E6" w:rsidRDefault="007151E6" w:rsidP="007151E6">
      <w:pPr>
        <w:pStyle w:val="VAFigureCaption"/>
      </w:pPr>
      <w:r>
        <w:rPr>
          <w:noProof/>
        </w:rPr>
        <w:drawing>
          <wp:inline distT="114300" distB="114300" distL="114300" distR="114300" wp14:anchorId="19F23795" wp14:editId="7C4B097F">
            <wp:extent cx="5614988" cy="1995036"/>
            <wp:effectExtent l="0" t="0" r="0" b="0"/>
            <wp:docPr id="51" name="image9.png" descr="A picture containing floor, indoor&#10;&#10;Description automatically generated"/>
            <wp:cNvGraphicFramePr/>
            <a:graphic xmlns:a="http://schemas.openxmlformats.org/drawingml/2006/main">
              <a:graphicData uri="http://schemas.openxmlformats.org/drawingml/2006/picture">
                <pic:pic xmlns:pic="http://schemas.openxmlformats.org/drawingml/2006/picture">
                  <pic:nvPicPr>
                    <pic:cNvPr id="51" name="image9.png" descr="A picture containing floor, indoor&#10;&#10;Description automatically generated"/>
                    <pic:cNvPicPr preferRelativeResize="0"/>
                  </pic:nvPicPr>
                  <pic:blipFill>
                    <a:blip r:embed="rId4"/>
                    <a:srcRect/>
                    <a:stretch>
                      <a:fillRect/>
                    </a:stretch>
                  </pic:blipFill>
                  <pic:spPr>
                    <a:xfrm>
                      <a:off x="0" y="0"/>
                      <a:ext cx="5614988" cy="1995036"/>
                    </a:xfrm>
                    <a:prstGeom prst="rect">
                      <a:avLst/>
                    </a:prstGeom>
                    <a:ln/>
                  </pic:spPr>
                </pic:pic>
              </a:graphicData>
            </a:graphic>
          </wp:inline>
        </w:drawing>
      </w:r>
      <w:r w:rsidRPr="00EB7E96">
        <w:rPr>
          <w:b/>
          <w:bCs/>
        </w:rPr>
        <w:t xml:space="preserve">Figure S1 </w:t>
      </w:r>
      <w:proofErr w:type="spellStart"/>
      <w:r w:rsidRPr="00EB7E96">
        <w:rPr>
          <w:b/>
          <w:bCs/>
        </w:rPr>
        <w:t>a&amp;b</w:t>
      </w:r>
      <w:proofErr w:type="spellEnd"/>
      <w:r w:rsidRPr="00EB7E96">
        <w:rPr>
          <w:b/>
          <w:bCs/>
        </w:rPr>
        <w:t>.</w:t>
      </w:r>
      <w:r>
        <w:t xml:space="preserve"> Typical post Marshall Fire dust infiltration of a home within the burn radius. Strong winds during and following the fire resulted in dust infiltration through surfaces such as doors and windows. </w:t>
      </w:r>
    </w:p>
    <w:p w14:paraId="2B9310A0" w14:textId="77777777" w:rsidR="007151E6" w:rsidRDefault="007151E6" w:rsidP="007151E6">
      <w:pPr>
        <w:spacing w:line="480" w:lineRule="auto"/>
        <w:rPr>
          <w:b/>
          <w:u w:val="single"/>
        </w:rPr>
      </w:pPr>
      <w:r>
        <w:rPr>
          <w:b/>
          <w:u w:val="single"/>
        </w:rPr>
        <w:t>Figure S2</w:t>
      </w:r>
    </w:p>
    <w:p w14:paraId="43F19906" w14:textId="77777777" w:rsidR="007151E6" w:rsidRDefault="007151E6" w:rsidP="007151E6">
      <w:pPr>
        <w:spacing w:line="480" w:lineRule="auto"/>
        <w:jc w:val="center"/>
        <w:rPr>
          <w:i/>
        </w:rPr>
      </w:pPr>
      <w:r>
        <w:rPr>
          <w:noProof/>
        </w:rPr>
        <w:lastRenderedPageBreak/>
        <w:drawing>
          <wp:anchor distT="114300" distB="114300" distL="114300" distR="114300" simplePos="0" relativeHeight="251662336" behindDoc="0" locked="0" layoutInCell="1" hidden="0" allowOverlap="1" wp14:anchorId="65B83A15" wp14:editId="679915A9">
            <wp:simplePos x="0" y="0"/>
            <wp:positionH relativeFrom="column">
              <wp:posOffset>19052</wp:posOffset>
            </wp:positionH>
            <wp:positionV relativeFrom="paragraph">
              <wp:posOffset>114300</wp:posOffset>
            </wp:positionV>
            <wp:extent cx="5943600" cy="2959100"/>
            <wp:effectExtent l="0" t="0" r="0" b="0"/>
            <wp:wrapTopAndBottom distT="114300" distB="114300"/>
            <wp:docPr id="45" name="image15.jpg" descr="Chart, bar chart&#10;&#10;Description automatically generated"/>
            <wp:cNvGraphicFramePr/>
            <a:graphic xmlns:a="http://schemas.openxmlformats.org/drawingml/2006/main">
              <a:graphicData uri="http://schemas.openxmlformats.org/drawingml/2006/picture">
                <pic:pic xmlns:pic="http://schemas.openxmlformats.org/drawingml/2006/picture">
                  <pic:nvPicPr>
                    <pic:cNvPr id="45" name="image15.jpg" descr="Chart, bar chart&#10;&#10;Description automatically generated"/>
                    <pic:cNvPicPr preferRelativeResize="0"/>
                  </pic:nvPicPr>
                  <pic:blipFill>
                    <a:blip r:embed="rId5"/>
                    <a:srcRect/>
                    <a:stretch>
                      <a:fillRect/>
                    </a:stretch>
                  </pic:blipFill>
                  <pic:spPr>
                    <a:xfrm>
                      <a:off x="0" y="0"/>
                      <a:ext cx="5943600" cy="2959100"/>
                    </a:xfrm>
                    <a:prstGeom prst="rect">
                      <a:avLst/>
                    </a:prstGeom>
                    <a:ln/>
                  </pic:spPr>
                </pic:pic>
              </a:graphicData>
            </a:graphic>
          </wp:anchor>
        </w:drawing>
      </w:r>
    </w:p>
    <w:p w14:paraId="58BC40C5" w14:textId="20946DE2" w:rsidR="007151E6" w:rsidRDefault="007151E6" w:rsidP="006750DE">
      <w:pPr>
        <w:pStyle w:val="VAFigureCaption"/>
      </w:pPr>
      <w:r w:rsidRPr="00EB7E96">
        <w:rPr>
          <w:b/>
          <w:bCs/>
        </w:rPr>
        <w:t>Figure S</w:t>
      </w:r>
      <w:r>
        <w:rPr>
          <w:b/>
          <w:bCs/>
        </w:rPr>
        <w:t>2</w:t>
      </w:r>
      <w:r w:rsidRPr="00EB7E96">
        <w:rPr>
          <w:b/>
          <w:bCs/>
        </w:rPr>
        <w:t>.</w:t>
      </w:r>
      <w:r w:rsidRPr="00EB7E96">
        <w:t xml:space="preserve"> Dust sample median quantitated sterol and methoxyphenol concentrations (ng</w:t>
      </w:r>
      <w:r>
        <w:t xml:space="preserve"> </w:t>
      </w:r>
      <w:r w:rsidRPr="00EB7E96">
        <w:t>g</w:t>
      </w:r>
      <w:r>
        <w:rPr>
          <w:vertAlign w:val="superscript"/>
        </w:rPr>
        <w:t>-1</w:t>
      </w:r>
      <w:r w:rsidRPr="00EB7E96">
        <w:t xml:space="preserve">). </w:t>
      </w:r>
    </w:p>
    <w:p w14:paraId="490DA9D2" w14:textId="77777777" w:rsidR="007151E6" w:rsidRDefault="007151E6" w:rsidP="007151E6">
      <w:pPr>
        <w:spacing w:line="480" w:lineRule="auto"/>
      </w:pPr>
      <w:r>
        <w:rPr>
          <w:b/>
          <w:u w:val="single"/>
        </w:rPr>
        <w:t>Figure S3</w:t>
      </w:r>
    </w:p>
    <w:p w14:paraId="1709FC56" w14:textId="790FA757" w:rsidR="007151E6" w:rsidRPr="00F0415B" w:rsidRDefault="007151E6" w:rsidP="006750DE">
      <w:pPr>
        <w:pStyle w:val="VAFigureCaption"/>
      </w:pPr>
      <w:r w:rsidRPr="00EB7E96">
        <w:rPr>
          <w:b/>
          <w:bCs/>
        </w:rPr>
        <w:t>Figure S</w:t>
      </w:r>
      <w:r>
        <w:rPr>
          <w:b/>
          <w:bCs/>
        </w:rPr>
        <w:t>3</w:t>
      </w:r>
      <w:r w:rsidRPr="00EB7E96">
        <w:rPr>
          <w:b/>
          <w:bCs/>
        </w:rPr>
        <w:t>.</w:t>
      </w:r>
      <w:r w:rsidRPr="00EB7E96">
        <w:t xml:space="preserve"> Median metal enrichment factors. </w:t>
      </w:r>
      <w:proofErr w:type="spellStart"/>
      <w:r w:rsidRPr="00EB7E96">
        <w:t>Errorbars</w:t>
      </w:r>
      <w:proofErr w:type="spellEnd"/>
      <w:r w:rsidRPr="00EB7E96">
        <w:t xml:space="preserve"> were calculated using first and third quartile metals concentrations from Smith [</w:t>
      </w:r>
      <w:r w:rsidR="002A06B2">
        <w:t>Smith 2006</w:t>
      </w:r>
      <w:r w:rsidRPr="00EB7E96">
        <w:t>].</w:t>
      </w:r>
      <w:r w:rsidRPr="00EB7E96">
        <w:rPr>
          <w:noProof/>
        </w:rPr>
        <w:drawing>
          <wp:anchor distT="0" distB="0" distL="0" distR="0" simplePos="0" relativeHeight="251661312" behindDoc="0" locked="0" layoutInCell="1" hidden="0" allowOverlap="1" wp14:anchorId="76E0F305" wp14:editId="2ED805F9">
            <wp:simplePos x="0" y="0"/>
            <wp:positionH relativeFrom="column">
              <wp:posOffset>19050</wp:posOffset>
            </wp:positionH>
            <wp:positionV relativeFrom="paragraph">
              <wp:posOffset>47625</wp:posOffset>
            </wp:positionV>
            <wp:extent cx="5943600" cy="2959100"/>
            <wp:effectExtent l="0" t="0" r="0" b="0"/>
            <wp:wrapTopAndBottom distT="0" distB="0"/>
            <wp:docPr id="44" name="image3.jpg" descr="Chart, bar chart&#10;&#10;Description automatically generated"/>
            <wp:cNvGraphicFramePr/>
            <a:graphic xmlns:a="http://schemas.openxmlformats.org/drawingml/2006/main">
              <a:graphicData uri="http://schemas.openxmlformats.org/drawingml/2006/picture">
                <pic:pic xmlns:pic="http://schemas.openxmlformats.org/drawingml/2006/picture">
                  <pic:nvPicPr>
                    <pic:cNvPr id="44" name="image3.jpg" descr="Chart, bar chart&#10;&#10;Description automatically generated"/>
                    <pic:cNvPicPr preferRelativeResize="0"/>
                  </pic:nvPicPr>
                  <pic:blipFill>
                    <a:blip r:embed="rId6"/>
                    <a:srcRect/>
                    <a:stretch>
                      <a:fillRect/>
                    </a:stretch>
                  </pic:blipFill>
                  <pic:spPr>
                    <a:xfrm>
                      <a:off x="0" y="0"/>
                      <a:ext cx="5943600" cy="2959100"/>
                    </a:xfrm>
                    <a:prstGeom prst="rect">
                      <a:avLst/>
                    </a:prstGeom>
                    <a:ln/>
                  </pic:spPr>
                </pic:pic>
              </a:graphicData>
            </a:graphic>
          </wp:anchor>
        </w:drawing>
      </w:r>
    </w:p>
    <w:p w14:paraId="752224D0" w14:textId="77777777" w:rsidR="007151E6" w:rsidRPr="00372043" w:rsidRDefault="007151E6" w:rsidP="007151E6">
      <w:pPr>
        <w:spacing w:line="480" w:lineRule="auto"/>
        <w:jc w:val="left"/>
        <w:rPr>
          <w:b/>
          <w:bCs/>
          <w:iCs/>
          <w:u w:val="single"/>
        </w:rPr>
      </w:pPr>
      <w:r w:rsidRPr="00372043">
        <w:rPr>
          <w:b/>
          <w:bCs/>
          <w:iCs/>
          <w:u w:val="single"/>
        </w:rPr>
        <w:lastRenderedPageBreak/>
        <w:t>Figure S</w:t>
      </w:r>
      <w:r>
        <w:rPr>
          <w:b/>
          <w:bCs/>
          <w:iCs/>
          <w:u w:val="single"/>
        </w:rPr>
        <w:t>4</w:t>
      </w:r>
    </w:p>
    <w:p w14:paraId="39EB3AE5" w14:textId="77777777" w:rsidR="007151E6" w:rsidRDefault="007151E6" w:rsidP="007151E6">
      <w:pPr>
        <w:spacing w:line="480" w:lineRule="auto"/>
        <w:jc w:val="center"/>
        <w:rPr>
          <w:i/>
          <w:noProof/>
        </w:rPr>
      </w:pPr>
    </w:p>
    <w:p w14:paraId="103F3C6F" w14:textId="77777777" w:rsidR="007151E6" w:rsidRDefault="007151E6" w:rsidP="007151E6">
      <w:pPr>
        <w:spacing w:line="480" w:lineRule="auto"/>
        <w:jc w:val="center"/>
        <w:rPr>
          <w:i/>
        </w:rPr>
      </w:pPr>
      <w:r>
        <w:rPr>
          <w:i/>
          <w:noProof/>
        </w:rPr>
        <w:drawing>
          <wp:inline distT="0" distB="0" distL="0" distR="0" wp14:anchorId="3069DE60" wp14:editId="6884D633">
            <wp:extent cx="4331368" cy="3016224"/>
            <wp:effectExtent l="0" t="0" r="0" b="0"/>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4336333" cy="3019682"/>
                    </a:xfrm>
                    <a:prstGeom prst="rect">
                      <a:avLst/>
                    </a:prstGeom>
                  </pic:spPr>
                </pic:pic>
              </a:graphicData>
            </a:graphic>
          </wp:inline>
        </w:drawing>
      </w:r>
    </w:p>
    <w:p w14:paraId="64FE2E9C" w14:textId="77777777" w:rsidR="007151E6" w:rsidRPr="00CB202E" w:rsidRDefault="007151E6" w:rsidP="007151E6">
      <w:pPr>
        <w:spacing w:line="480" w:lineRule="auto"/>
        <w:jc w:val="left"/>
        <w:rPr>
          <w:iCs/>
        </w:rPr>
      </w:pPr>
      <w:r>
        <w:rPr>
          <w:b/>
          <w:bCs/>
          <w:iCs/>
        </w:rPr>
        <w:t xml:space="preserve">Figure S4. </w:t>
      </w:r>
      <w:r>
        <w:rPr>
          <w:iCs/>
        </w:rPr>
        <w:t>Interpolated PM</w:t>
      </w:r>
      <w:r>
        <w:rPr>
          <w:iCs/>
          <w:vertAlign w:val="subscript"/>
        </w:rPr>
        <w:t>2.5</w:t>
      </w:r>
      <w:r>
        <w:rPr>
          <w:iCs/>
        </w:rPr>
        <w:t xml:space="preserve"> surface averaging daily sensor measurements from January 8</w:t>
      </w:r>
      <w:r w:rsidRPr="00E55F4C">
        <w:rPr>
          <w:iCs/>
          <w:vertAlign w:val="superscript"/>
        </w:rPr>
        <w:t>th</w:t>
      </w:r>
      <w:r>
        <w:rPr>
          <w:iCs/>
        </w:rPr>
        <w:t xml:space="preserve"> through February 4</w:t>
      </w:r>
      <w:r w:rsidRPr="00E55F4C">
        <w:rPr>
          <w:iCs/>
          <w:vertAlign w:val="superscript"/>
        </w:rPr>
        <w:t>th</w:t>
      </w:r>
      <w:r>
        <w:rPr>
          <w:iCs/>
        </w:rPr>
        <w:t xml:space="preserve">, 2022. </w:t>
      </w:r>
    </w:p>
    <w:p w14:paraId="064F1109" w14:textId="22E90084" w:rsidR="007151E6" w:rsidRDefault="00452377" w:rsidP="007151E6">
      <w:pPr>
        <w:spacing w:line="480" w:lineRule="auto"/>
        <w:jc w:val="left"/>
        <w:rPr>
          <w:b/>
          <w:bCs/>
          <w:iCs/>
          <w:u w:val="single"/>
        </w:rPr>
      </w:pPr>
      <w:r>
        <w:rPr>
          <w:noProof/>
        </w:rPr>
        <w:lastRenderedPageBreak/>
        <w:drawing>
          <wp:anchor distT="0" distB="0" distL="114300" distR="114300" simplePos="0" relativeHeight="251663360" behindDoc="0" locked="0" layoutInCell="1" allowOverlap="1" wp14:anchorId="5C483674" wp14:editId="2A2E4799">
            <wp:simplePos x="0" y="0"/>
            <wp:positionH relativeFrom="margin">
              <wp:align>center</wp:align>
            </wp:positionH>
            <wp:positionV relativeFrom="paragraph">
              <wp:posOffset>505460</wp:posOffset>
            </wp:positionV>
            <wp:extent cx="4109013" cy="3081760"/>
            <wp:effectExtent l="0" t="0" r="6350" b="4445"/>
            <wp:wrapTopAndBottom/>
            <wp:docPr id="1" name="Picture 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09013" cy="3081760"/>
                    </a:xfrm>
                    <a:prstGeom prst="rect">
                      <a:avLst/>
                    </a:prstGeom>
                  </pic:spPr>
                </pic:pic>
              </a:graphicData>
            </a:graphic>
          </wp:anchor>
        </w:drawing>
      </w:r>
      <w:r>
        <w:rPr>
          <w:b/>
          <w:bCs/>
          <w:iCs/>
          <w:u w:val="single"/>
        </w:rPr>
        <w:t>Figure S5</w:t>
      </w:r>
    </w:p>
    <w:p w14:paraId="76147C17" w14:textId="1FF95213" w:rsidR="00452377" w:rsidRDefault="00452377" w:rsidP="00452377">
      <w:r>
        <w:rPr>
          <w:b/>
          <w:bCs/>
          <w:iCs/>
        </w:rPr>
        <w:t>Figure S5</w:t>
      </w:r>
      <w:r>
        <w:t>. Estimated indoor supersite PM</w:t>
      </w:r>
      <w:r w:rsidRPr="008E0915">
        <w:rPr>
          <w:vertAlign w:val="subscript"/>
        </w:rPr>
        <w:t>2.5</w:t>
      </w:r>
      <w:r w:rsidRPr="008E0915">
        <w:t xml:space="preserve"> </w:t>
      </w:r>
      <w:r>
        <w:t>concentrations from Jan. 8</w:t>
      </w:r>
      <w:r w:rsidRPr="008E0915">
        <w:rPr>
          <w:vertAlign w:val="superscript"/>
        </w:rPr>
        <w:t>th</w:t>
      </w:r>
      <w:r>
        <w:t xml:space="preserve"> through Feb. 12</w:t>
      </w:r>
      <w:r w:rsidRPr="008E0915">
        <w:rPr>
          <w:vertAlign w:val="superscript"/>
        </w:rPr>
        <w:t>th.</w:t>
      </w:r>
      <w:r>
        <w:t xml:space="preserve"> </w:t>
      </w:r>
    </w:p>
    <w:p w14:paraId="3ACE5315" w14:textId="77777777" w:rsidR="00452377" w:rsidRPr="00452377" w:rsidRDefault="00452377" w:rsidP="00452377"/>
    <w:p w14:paraId="224D2B23" w14:textId="381825B1" w:rsidR="007151E6" w:rsidRDefault="007151E6" w:rsidP="007151E6">
      <w:pPr>
        <w:keepNext/>
        <w:spacing w:line="480" w:lineRule="auto"/>
        <w:rPr>
          <w:b/>
          <w:u w:val="single"/>
        </w:rPr>
      </w:pPr>
      <w:r>
        <w:rPr>
          <w:b/>
          <w:u w:val="single"/>
        </w:rPr>
        <w:t>Figure S</w:t>
      </w:r>
      <w:r w:rsidR="00452377">
        <w:rPr>
          <w:b/>
          <w:u w:val="single"/>
        </w:rPr>
        <w:t>6</w:t>
      </w:r>
    </w:p>
    <w:p w14:paraId="057C9F48" w14:textId="77777777" w:rsidR="007151E6" w:rsidRDefault="007151E6" w:rsidP="007151E6">
      <w:pPr>
        <w:keepNext/>
        <w:spacing w:line="480" w:lineRule="auto"/>
      </w:pPr>
      <w:r>
        <w:t>Two periods of HVAC activity during the monitoring campaign were identified – Feb. 4</w:t>
      </w:r>
      <w:r>
        <w:rPr>
          <w:vertAlign w:val="superscript"/>
        </w:rPr>
        <w:t>th</w:t>
      </w:r>
      <w:r>
        <w:t xml:space="preserve"> during house background and Feb. 8</w:t>
      </w:r>
      <w:r>
        <w:rPr>
          <w:vertAlign w:val="superscript"/>
        </w:rPr>
        <w:t>th</w:t>
      </w:r>
      <w:r>
        <w:t xml:space="preserve"> following the first day of house cleaning. Number and mass concentrations as well as size distribution heat maps for the duration of the HVAC activity are plotted in Figure SX. The six bursts of particles approximately 22 minutes apart seen on both dates suggest HVAC activity. While the pattern of particle emissions is similar, differences in number and size distributions between the two dates suggest differences in composition of combusted material. On Feb. 4</w:t>
      </w:r>
      <w:r>
        <w:rPr>
          <w:vertAlign w:val="superscript"/>
        </w:rPr>
        <w:t>th</w:t>
      </w:r>
      <w:r>
        <w:t xml:space="preserve">, during the house background period, the heat map shows six bursts of particles ranging between 12 and 50 nm. This activity is reflected as six distinct peaks in the number concentration, which show partial decay prior to the next cycle/combustion event. The bursts of particles are consistent in concentration, indicating no substantial loss of source </w:t>
      </w:r>
      <w:r>
        <w:lastRenderedPageBreak/>
        <w:t>material/reservoir.  On Feb. 8</w:t>
      </w:r>
      <w:r>
        <w:rPr>
          <w:vertAlign w:val="superscript"/>
        </w:rPr>
        <w:t>th</w:t>
      </w:r>
      <w:r>
        <w:t xml:space="preserve"> following the first day of cleaning, the heat map shows six combustion events, but rather than the clear emission and decay seen during the house background, the emission and subsequent growth of particles from approximately 12 to 70nm is indicative of new particle formation (NPF). The number and mass concentrations following cleaning are approximately half of those during the house background, indicating the composition of the house was altered by cleaning. Additionally, the decreasing concentrations of initial particle emissions and subsequent particle growth, suggests a depletion of the combustion reservoir. Additionally, NPF on the 8</w:t>
      </w:r>
      <w:r>
        <w:rPr>
          <w:vertAlign w:val="superscript"/>
        </w:rPr>
        <w:t>th</w:t>
      </w:r>
      <w:r>
        <w:t xml:space="preserve"> suggests a different source of combustion material than on the 4</w:t>
      </w:r>
      <w:r>
        <w:rPr>
          <w:vertAlign w:val="superscript"/>
        </w:rPr>
        <w:t>th</w:t>
      </w:r>
      <w:r>
        <w:t xml:space="preserve">, and due to house activity, it seems likely that (S)VOCs from cleaning events are being combusted leading to the NPF.  </w:t>
      </w:r>
    </w:p>
    <w:p w14:paraId="18F73E29" w14:textId="77777777" w:rsidR="007151E6" w:rsidRDefault="007151E6" w:rsidP="007151E6">
      <w:pPr>
        <w:spacing w:line="480" w:lineRule="auto"/>
        <w:rPr>
          <w:rFonts w:ascii="Helvetica Neue" w:eastAsia="Helvetica Neue" w:hAnsi="Helvetica Neue" w:cs="Helvetica Neue"/>
        </w:rPr>
      </w:pPr>
      <w:r>
        <w:rPr>
          <w:rFonts w:ascii="Helvetica Neue" w:eastAsia="Helvetica Neue" w:hAnsi="Helvetica Neue" w:cs="Helvetica Neue"/>
          <w:noProof/>
        </w:rPr>
        <w:drawing>
          <wp:inline distT="0" distB="0" distL="0" distR="0" wp14:anchorId="4B1A4DC0" wp14:editId="4B2595D1">
            <wp:extent cx="2833136" cy="3948113"/>
            <wp:effectExtent l="0" t="0" r="0" b="0"/>
            <wp:docPr id="56" name="image23.png" descr="Graphical user interface, 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3.png" descr="Graphical user interface, chart, histogram&#10;&#10;Description automatically generated"/>
                    <pic:cNvPicPr preferRelativeResize="0"/>
                  </pic:nvPicPr>
                  <pic:blipFill>
                    <a:blip r:embed="rId9"/>
                    <a:srcRect/>
                    <a:stretch>
                      <a:fillRect/>
                    </a:stretch>
                  </pic:blipFill>
                  <pic:spPr>
                    <a:xfrm>
                      <a:off x="0" y="0"/>
                      <a:ext cx="2833136" cy="3948113"/>
                    </a:xfrm>
                    <a:prstGeom prst="rect">
                      <a:avLst/>
                    </a:prstGeom>
                    <a:ln/>
                  </pic:spPr>
                </pic:pic>
              </a:graphicData>
            </a:graphic>
          </wp:inline>
        </w:drawing>
      </w:r>
      <w:r>
        <w:rPr>
          <w:rFonts w:ascii="Helvetica Neue" w:eastAsia="Helvetica Neue" w:hAnsi="Helvetica Neue" w:cs="Helvetica Neue"/>
          <w:noProof/>
        </w:rPr>
        <w:drawing>
          <wp:inline distT="0" distB="0" distL="0" distR="0" wp14:anchorId="7BF14F4F" wp14:editId="737C887A">
            <wp:extent cx="2834640" cy="3959047"/>
            <wp:effectExtent l="0" t="0" r="0" b="0"/>
            <wp:docPr id="53" name="image7.png" descr="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Graphical user interface&#10;&#10;Description automatically generated"/>
                    <pic:cNvPicPr preferRelativeResize="0"/>
                  </pic:nvPicPr>
                  <pic:blipFill>
                    <a:blip r:embed="rId10"/>
                    <a:srcRect/>
                    <a:stretch>
                      <a:fillRect/>
                    </a:stretch>
                  </pic:blipFill>
                  <pic:spPr>
                    <a:xfrm>
                      <a:off x="0" y="0"/>
                      <a:ext cx="2834640" cy="3959047"/>
                    </a:xfrm>
                    <a:prstGeom prst="rect">
                      <a:avLst/>
                    </a:prstGeom>
                    <a:ln/>
                  </pic:spPr>
                </pic:pic>
              </a:graphicData>
            </a:graphic>
          </wp:inline>
        </w:drawing>
      </w:r>
      <w:r>
        <w:rPr>
          <w:noProof/>
        </w:rPr>
        <mc:AlternateContent>
          <mc:Choice Requires="wps">
            <w:drawing>
              <wp:anchor distT="45720" distB="45720" distL="114300" distR="114300" simplePos="0" relativeHeight="251659264" behindDoc="0" locked="0" layoutInCell="1" hidden="0" allowOverlap="1" wp14:anchorId="0B8C970D" wp14:editId="2B8B8266">
                <wp:simplePos x="0" y="0"/>
                <wp:positionH relativeFrom="column">
                  <wp:posOffset>-139699</wp:posOffset>
                </wp:positionH>
                <wp:positionV relativeFrom="paragraph">
                  <wp:posOffset>45720</wp:posOffset>
                </wp:positionV>
                <wp:extent cx="338169" cy="313055"/>
                <wp:effectExtent l="0" t="0" r="0" b="0"/>
                <wp:wrapNone/>
                <wp:docPr id="33" name="Rectangle 33"/>
                <wp:cNvGraphicFramePr/>
                <a:graphic xmlns:a="http://schemas.openxmlformats.org/drawingml/2006/main">
                  <a:graphicData uri="http://schemas.microsoft.com/office/word/2010/wordprocessingShape">
                    <wps:wsp>
                      <wps:cNvSpPr/>
                      <wps:spPr>
                        <a:xfrm>
                          <a:off x="5186441" y="3632998"/>
                          <a:ext cx="319119" cy="294005"/>
                        </a:xfrm>
                        <a:prstGeom prst="rect">
                          <a:avLst/>
                        </a:prstGeom>
                        <a:solidFill>
                          <a:srgbClr val="FFFFFF"/>
                        </a:solidFill>
                        <a:ln>
                          <a:noFill/>
                        </a:ln>
                      </wps:spPr>
                      <wps:txbx>
                        <w:txbxContent>
                          <w:p w14:paraId="4376E7EF" w14:textId="77777777" w:rsidR="007151E6" w:rsidRDefault="007151E6" w:rsidP="007151E6">
                            <w:pPr>
                              <w:spacing w:line="258" w:lineRule="auto"/>
                              <w:textDirection w:val="btLr"/>
                            </w:pPr>
                            <w:r>
                              <w:rPr>
                                <w:color w:val="000000"/>
                              </w:rPr>
                              <w:t>A.</w:t>
                            </w:r>
                          </w:p>
                        </w:txbxContent>
                      </wps:txbx>
                      <wps:bodyPr spcFirstLastPara="1" wrap="square" lIns="91425" tIns="45700" rIns="91425" bIns="45700" anchor="t" anchorCtr="0">
                        <a:noAutofit/>
                      </wps:bodyPr>
                    </wps:wsp>
                  </a:graphicData>
                </a:graphic>
              </wp:anchor>
            </w:drawing>
          </mc:Choice>
          <mc:Fallback>
            <w:pict>
              <v:rect w14:anchorId="0B8C970D" id="Rectangle 33" o:spid="_x0000_s1026" style="position:absolute;left:0;text-align:left;margin-left:-11pt;margin-top:3.6pt;width:26.65pt;height:24.65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" stroked="f">
                <v:textbox inset="2.53958mm,1.2694mm,2.53958mm,1.2694mm">
                  <w:txbxContent>
                    <w:p w14:paraId="4376E7EF" w14:textId="77777777" w:rsidR="007151E6" w:rsidRDefault="007151E6" w:rsidP="007151E6">
                      <w:pPr>
                        <w:spacing w:line="258" w:lineRule="auto"/>
                        <w:textDirection w:val="btLr"/>
                      </w:pPr>
                      <w:r>
                        <w:rPr>
                          <w:color w:val="000000"/>
                        </w:rPr>
                        <w:t>A.</w:t>
                      </w:r>
                    </w:p>
                  </w:txbxContent>
                </v:textbox>
              </v:rect>
            </w:pict>
          </mc:Fallback>
        </mc:AlternateContent>
      </w:r>
      <w:r>
        <w:rPr>
          <w:noProof/>
        </w:rPr>
        <mc:AlternateContent>
          <mc:Choice Requires="wps">
            <w:drawing>
              <wp:anchor distT="45720" distB="45720" distL="114300" distR="114300" simplePos="0" relativeHeight="251660288" behindDoc="0" locked="0" layoutInCell="1" hidden="0" allowOverlap="1" wp14:anchorId="22165122" wp14:editId="4D33432B">
                <wp:simplePos x="0" y="0"/>
                <wp:positionH relativeFrom="column">
                  <wp:posOffset>2730500</wp:posOffset>
                </wp:positionH>
                <wp:positionV relativeFrom="paragraph">
                  <wp:posOffset>71120</wp:posOffset>
                </wp:positionV>
                <wp:extent cx="338169" cy="313055"/>
                <wp:effectExtent l="0" t="0" r="0" b="0"/>
                <wp:wrapNone/>
                <wp:docPr id="35" name="Rectangle 35"/>
                <wp:cNvGraphicFramePr/>
                <a:graphic xmlns:a="http://schemas.openxmlformats.org/drawingml/2006/main">
                  <a:graphicData uri="http://schemas.microsoft.com/office/word/2010/wordprocessingShape">
                    <wps:wsp>
                      <wps:cNvSpPr/>
                      <wps:spPr>
                        <a:xfrm>
                          <a:off x="5186441" y="3632998"/>
                          <a:ext cx="319119" cy="294005"/>
                        </a:xfrm>
                        <a:prstGeom prst="rect">
                          <a:avLst/>
                        </a:prstGeom>
                        <a:solidFill>
                          <a:srgbClr val="FFFFFF"/>
                        </a:solidFill>
                        <a:ln>
                          <a:noFill/>
                        </a:ln>
                      </wps:spPr>
                      <wps:txbx>
                        <w:txbxContent>
                          <w:p w14:paraId="50EA95ED" w14:textId="77777777" w:rsidR="007151E6" w:rsidRDefault="007151E6" w:rsidP="007151E6">
                            <w:pPr>
                              <w:spacing w:line="258" w:lineRule="auto"/>
                              <w:textDirection w:val="btLr"/>
                            </w:pPr>
                            <w:r>
                              <w:rPr>
                                <w:color w:val="000000"/>
                              </w:rPr>
                              <w:t>B.</w:t>
                            </w:r>
                          </w:p>
                        </w:txbxContent>
                      </wps:txbx>
                      <wps:bodyPr spcFirstLastPara="1" wrap="square" lIns="91425" tIns="45700" rIns="91425" bIns="45700" anchor="t" anchorCtr="0">
                        <a:noAutofit/>
                      </wps:bodyPr>
                    </wps:wsp>
                  </a:graphicData>
                </a:graphic>
              </wp:anchor>
            </w:drawing>
          </mc:Choice>
          <mc:Fallback>
            <w:pict>
              <v:rect w14:anchorId="22165122" id="Rectangle 35" o:spid="_x0000_s1027" style="position:absolute;left:0;text-align:left;margin-left:215pt;margin-top:5.6pt;width:26.65pt;height:24.6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" stroked="f">
                <v:textbox inset="2.53958mm,1.2694mm,2.53958mm,1.2694mm">
                  <w:txbxContent>
                    <w:p w14:paraId="50EA95ED" w14:textId="77777777" w:rsidR="007151E6" w:rsidRDefault="007151E6" w:rsidP="007151E6">
                      <w:pPr>
                        <w:spacing w:line="258" w:lineRule="auto"/>
                        <w:textDirection w:val="btLr"/>
                      </w:pPr>
                      <w:r>
                        <w:rPr>
                          <w:color w:val="000000"/>
                        </w:rPr>
                        <w:t>B.</w:t>
                      </w:r>
                    </w:p>
                  </w:txbxContent>
                </v:textbox>
              </v:rect>
            </w:pict>
          </mc:Fallback>
        </mc:AlternateContent>
      </w:r>
    </w:p>
    <w:p w14:paraId="6C518F7A" w14:textId="5DDBECDD" w:rsidR="00865184" w:rsidRDefault="00865184" w:rsidP="007151E6">
      <w:pPr>
        <w:spacing w:line="480" w:lineRule="auto"/>
        <w:rPr>
          <w:bCs/>
        </w:rPr>
      </w:pPr>
      <w:r>
        <w:rPr>
          <w:b/>
        </w:rPr>
        <w:lastRenderedPageBreak/>
        <w:t xml:space="preserve">Figure S6. </w:t>
      </w:r>
      <w:r>
        <w:rPr>
          <w:bCs/>
        </w:rPr>
        <w:t>SMPS Aerosol Concentration, Mass, and Heat Maps of SMPS size distribution from two suggested HVAC cycles from the night of A) Feb. 4</w:t>
      </w:r>
      <w:r w:rsidRPr="00865184">
        <w:rPr>
          <w:bCs/>
          <w:vertAlign w:val="superscript"/>
        </w:rPr>
        <w:t>th</w:t>
      </w:r>
      <w:r>
        <w:rPr>
          <w:bCs/>
        </w:rPr>
        <w:t xml:space="preserve"> during house background and B) Feb. 8</w:t>
      </w:r>
      <w:r w:rsidRPr="00865184">
        <w:rPr>
          <w:bCs/>
          <w:vertAlign w:val="superscript"/>
        </w:rPr>
        <w:t>th</w:t>
      </w:r>
      <w:r>
        <w:rPr>
          <w:bCs/>
        </w:rPr>
        <w:t xml:space="preserve"> following the first day of cleaning.</w:t>
      </w:r>
    </w:p>
    <w:p w14:paraId="2F67D952" w14:textId="738D4EBF" w:rsidR="00A9003C" w:rsidRDefault="00A9003C" w:rsidP="00A9003C">
      <w:pPr>
        <w:spacing w:line="480" w:lineRule="auto"/>
        <w:rPr>
          <w:b/>
          <w:bCs/>
          <w:u w:val="single"/>
        </w:rPr>
      </w:pPr>
      <w:r w:rsidRPr="003149C7">
        <w:rPr>
          <w:b/>
          <w:bCs/>
          <w:u w:val="single"/>
        </w:rPr>
        <w:t>Figure S</w:t>
      </w:r>
      <w:r>
        <w:rPr>
          <w:b/>
          <w:bCs/>
          <w:u w:val="single"/>
        </w:rPr>
        <w:t>7</w:t>
      </w:r>
    </w:p>
    <w:p w14:paraId="3E08FD33" w14:textId="77777777" w:rsidR="00A9003C" w:rsidRDefault="00A9003C" w:rsidP="00A9003C">
      <w:pPr>
        <w:spacing w:line="480" w:lineRule="auto"/>
      </w:pPr>
      <w:r>
        <w:t xml:space="preserve">PAH diagnostic ratios are a commonly used tool in source apportionment analysis. As the PAH emission profile for a given source is often consistent, the ratio of different PAHs in a receptor sample can be used to identify characteristics of the source emission process. Additional details relating to the motivation, methodology, and limitations of this technique can be found in </w:t>
      </w:r>
      <w:proofErr w:type="spellStart"/>
      <w:r>
        <w:t>Tobiszewski</w:t>
      </w:r>
      <w:proofErr w:type="spellEnd"/>
      <w:r>
        <w:t xml:space="preserve"> and </w:t>
      </w:r>
      <w:proofErr w:type="spellStart"/>
      <w:r>
        <w:t>Namiesnik</w:t>
      </w:r>
      <w:proofErr w:type="spellEnd"/>
      <w:r>
        <w:t xml:space="preserve"> [</w:t>
      </w:r>
      <w:proofErr w:type="spellStart"/>
      <w:r>
        <w:t>Tobiszewski</w:t>
      </w:r>
      <w:proofErr w:type="spellEnd"/>
      <w:r>
        <w:t xml:space="preserve"> and </w:t>
      </w:r>
      <w:proofErr w:type="spellStart"/>
      <w:r>
        <w:t>Namiesnik</w:t>
      </w:r>
      <w:proofErr w:type="spellEnd"/>
      <w:r>
        <w:t>, 2012]. Two commonly used isometric PAH diagnostic ratios are Ant/(</w:t>
      </w:r>
      <w:proofErr w:type="spellStart"/>
      <w:r>
        <w:t>Ant+Phe</w:t>
      </w:r>
      <w:proofErr w:type="spellEnd"/>
      <w:r>
        <w:t>) and Flt/(</w:t>
      </w:r>
      <w:proofErr w:type="spellStart"/>
      <w:r>
        <w:t>Flt+Pyr</w:t>
      </w:r>
      <w:proofErr w:type="spellEnd"/>
      <w:r>
        <w:t>). Ratios of Ant/(</w:t>
      </w:r>
      <w:proofErr w:type="spellStart"/>
      <w:r>
        <w:t>Ant+Phe</w:t>
      </w:r>
      <w:proofErr w:type="spellEnd"/>
      <w:r>
        <w:t>)&gt;.1 are indicative of pyrogenic sources, and ratios Ant/(</w:t>
      </w:r>
      <w:proofErr w:type="spellStart"/>
      <w:r>
        <w:t>Ant+Phe</w:t>
      </w:r>
      <w:proofErr w:type="spellEnd"/>
      <w:r>
        <w:t>)&lt;.1 indicate petrogenic sources [</w:t>
      </w:r>
      <w:proofErr w:type="spellStart"/>
      <w:r>
        <w:t>Tobiszewski</w:t>
      </w:r>
      <w:proofErr w:type="spellEnd"/>
      <w:r>
        <w:t xml:space="preserve"> and </w:t>
      </w:r>
      <w:proofErr w:type="spellStart"/>
      <w:r>
        <w:t>Namiesnik</w:t>
      </w:r>
      <w:proofErr w:type="spellEnd"/>
      <w:r>
        <w:t>, 2012]. Similarly, ratios of Flt/(</w:t>
      </w:r>
      <w:proofErr w:type="spellStart"/>
      <w:r>
        <w:t>Flt+Pyr</w:t>
      </w:r>
      <w:proofErr w:type="spellEnd"/>
      <w:r>
        <w:t>) &lt;.4 indicate petrogenic combustion, ratios of .4&lt;Flt/(</w:t>
      </w:r>
      <w:proofErr w:type="spellStart"/>
      <w:r>
        <w:t>Flt+Pyr</w:t>
      </w:r>
      <w:proofErr w:type="spellEnd"/>
      <w:r>
        <w:t>)&lt;.5 indicate fossil fuel combustion, and ratios of Flt/(</w:t>
      </w:r>
      <w:proofErr w:type="spellStart"/>
      <w:r>
        <w:t>Flt+Pyr</w:t>
      </w:r>
      <w:proofErr w:type="spellEnd"/>
      <w:r>
        <w:t>)&gt;.5 indicate grass, wood, or coal combustion [</w:t>
      </w:r>
      <w:proofErr w:type="spellStart"/>
      <w:r>
        <w:t>Tobiszewski</w:t>
      </w:r>
      <w:proofErr w:type="spellEnd"/>
      <w:r>
        <w:t xml:space="preserve"> and </w:t>
      </w:r>
      <w:proofErr w:type="spellStart"/>
      <w:r>
        <w:t>Namiesnik</w:t>
      </w:r>
      <w:proofErr w:type="spellEnd"/>
      <w:r>
        <w:t xml:space="preserve">, 2012].  </w:t>
      </w:r>
    </w:p>
    <w:p w14:paraId="79E66245" w14:textId="3D18D8FD" w:rsidR="00A9003C" w:rsidRDefault="00A9003C" w:rsidP="00A9003C">
      <w:pPr>
        <w:spacing w:line="480" w:lineRule="auto"/>
      </w:pPr>
      <w:r>
        <w:t>As shown in Figure S</w:t>
      </w:r>
      <w:r>
        <w:t>7</w:t>
      </w:r>
      <w:r>
        <w:t>, the Ant/(</w:t>
      </w:r>
      <w:proofErr w:type="spellStart"/>
      <w:r>
        <w:t>Ant+Phe</w:t>
      </w:r>
      <w:proofErr w:type="spellEnd"/>
      <w:r>
        <w:t>) ratio for all dust samples indicate pyrogenic combustion. Background samples B2 and B3 display the greatest Ant/(</w:t>
      </w:r>
      <w:proofErr w:type="spellStart"/>
      <w:r>
        <w:t>Ant+Phe</w:t>
      </w:r>
      <w:proofErr w:type="spellEnd"/>
      <w:r>
        <w:t>) ratios, whereas B1 displays the lowest Ant/(</w:t>
      </w:r>
      <w:proofErr w:type="spellStart"/>
      <w:r>
        <w:t>Ant+Phe</w:t>
      </w:r>
      <w:proofErr w:type="spellEnd"/>
      <w:r>
        <w:t>) ratio. As the B1 sampling site is located next to a local highway, its lower Ant/(</w:t>
      </w:r>
      <w:proofErr w:type="spellStart"/>
      <w:r>
        <w:t>Ant+Phe</w:t>
      </w:r>
      <w:proofErr w:type="spellEnd"/>
      <w:r>
        <w:t xml:space="preserve">) ratio is consistent with additional petrogenic pollution stemming from nearby motor oil combustion. </w:t>
      </w:r>
    </w:p>
    <w:p w14:paraId="1654DB9E" w14:textId="58C01883" w:rsidR="00A9003C" w:rsidRDefault="00A9003C" w:rsidP="00A9003C">
      <w:pPr>
        <w:spacing w:line="480" w:lineRule="auto"/>
        <w:jc w:val="left"/>
        <w:rPr>
          <w:noProof/>
        </w:rPr>
      </w:pPr>
      <w:r>
        <w:t>Furthermore, Flt/(</w:t>
      </w:r>
      <w:proofErr w:type="spellStart"/>
      <w:r>
        <w:t>Flt+Pyr</w:t>
      </w:r>
      <w:proofErr w:type="spellEnd"/>
      <w:r>
        <w:t>) ratios indicate a combination of wood, grass, and coal combustion for all sample sites except for B2-which indicates petrogenic combustion. Specifically, supersite and A3 samples contain the greatest Flt/(</w:t>
      </w:r>
      <w:proofErr w:type="spellStart"/>
      <w:r>
        <w:t>Flt+Pyr</w:t>
      </w:r>
      <w:proofErr w:type="spellEnd"/>
      <w:r>
        <w:t xml:space="preserve">) ratios. As these sites were heavily singed by the </w:t>
      </w:r>
      <w:r>
        <w:lastRenderedPageBreak/>
        <w:t>Marshall Fire and were downwind of open space and parks burned during the blaze, greater Flt/(</w:t>
      </w:r>
      <w:proofErr w:type="spellStart"/>
      <w:r>
        <w:t>Flt+Pyr</w:t>
      </w:r>
      <w:proofErr w:type="spellEnd"/>
      <w:r>
        <w:t xml:space="preserve">) ratios are likely due to a greater proportion of burned wood and grass contributing to PAHs in these dust samples. </w:t>
      </w:r>
    </w:p>
    <w:p w14:paraId="5079FB43" w14:textId="2838F87B" w:rsidR="00A9003C" w:rsidRDefault="00A9003C" w:rsidP="00A9003C">
      <w:pPr>
        <w:spacing w:line="480" w:lineRule="auto"/>
        <w:jc w:val="left"/>
        <w:rPr>
          <w:b/>
          <w:bCs/>
          <w:noProof/>
        </w:rPr>
      </w:pPr>
    </w:p>
    <w:p w14:paraId="75A54706" w14:textId="26BC8861" w:rsidR="00A9003C" w:rsidRPr="00A9003C" w:rsidRDefault="00A9003C" w:rsidP="00A9003C">
      <w:pPr>
        <w:spacing w:line="480" w:lineRule="auto"/>
        <w:jc w:val="left"/>
      </w:pPr>
      <w:r>
        <w:rPr>
          <w:noProof/>
        </w:rPr>
        <w:drawing>
          <wp:anchor distT="0" distB="0" distL="114300" distR="114300" simplePos="0" relativeHeight="251665408" behindDoc="0" locked="0" layoutInCell="1" allowOverlap="1" wp14:anchorId="5D992321" wp14:editId="2A5DB9B1">
            <wp:simplePos x="0" y="0"/>
            <wp:positionH relativeFrom="margin">
              <wp:align>center</wp:align>
            </wp:positionH>
            <wp:positionV relativeFrom="paragraph">
              <wp:posOffset>47625</wp:posOffset>
            </wp:positionV>
            <wp:extent cx="5572125" cy="2875915"/>
            <wp:effectExtent l="0" t="0" r="9525" b="635"/>
            <wp:wrapTopAndBottom/>
            <wp:docPr id="17538685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868575" name="Picture 1" descr="A screenshot of a computer&#10;&#10;Description automatically generated"/>
                    <pic:cNvPicPr/>
                  </pic:nvPicPr>
                  <pic:blipFill rotWithShape="1">
                    <a:blip r:embed="rId11">
                      <a:extLst>
                        <a:ext uri="{28A0092B-C50C-407E-A947-70E740481C1C}">
                          <a14:useLocalDpi xmlns:a14="http://schemas.microsoft.com/office/drawing/2010/main" val="0"/>
                        </a:ext>
                      </a:extLst>
                    </a:blip>
                    <a:srcRect l="29166" t="21652" r="11539" b="23931"/>
                    <a:stretch/>
                  </pic:blipFill>
                  <pic:spPr bwMode="auto">
                    <a:xfrm>
                      <a:off x="0" y="0"/>
                      <a:ext cx="5572125" cy="2875915"/>
                    </a:xfrm>
                    <a:prstGeom prst="rect">
                      <a:avLst/>
                    </a:prstGeom>
                    <a:ln>
                      <a:noFill/>
                    </a:ln>
                    <a:extLst>
                      <a:ext uri="{53640926-AAD7-44D8-BBD7-CCE9431645EC}">
                        <a14:shadowObscured xmlns:a14="http://schemas.microsoft.com/office/drawing/2010/main"/>
                      </a:ext>
                    </a:extLst>
                  </pic:spPr>
                </pic:pic>
              </a:graphicData>
            </a:graphic>
          </wp:anchor>
        </w:drawing>
      </w:r>
      <w:r w:rsidRPr="0071295C">
        <w:rPr>
          <w:b/>
          <w:bCs/>
        </w:rPr>
        <w:t>Figure S</w:t>
      </w:r>
      <w:r>
        <w:rPr>
          <w:b/>
          <w:bCs/>
        </w:rPr>
        <w:t>7</w:t>
      </w:r>
      <w:r w:rsidRPr="0071295C">
        <w:rPr>
          <w:b/>
          <w:bCs/>
        </w:rPr>
        <w:t>.</w:t>
      </w:r>
      <w:r>
        <w:t xml:space="preserve"> Ratio diagnostic plots of Anthracene/(</w:t>
      </w:r>
      <w:proofErr w:type="spellStart"/>
      <w:r>
        <w:t>Anthracene+Phenanthrene</w:t>
      </w:r>
      <w:proofErr w:type="spellEnd"/>
      <w:r>
        <w:t>) vs Fluoranthene/(</w:t>
      </w:r>
      <w:proofErr w:type="spellStart"/>
      <w:r>
        <w:t>Fluoranthene+Pyrene</w:t>
      </w:r>
      <w:proofErr w:type="spellEnd"/>
      <w:r>
        <w:t>) concentrations for each dust sample. Vertical lines represent the PAH diagnostic ratio cutoffs for pyrogenic sources (Flt/(</w:t>
      </w:r>
      <w:proofErr w:type="spellStart"/>
      <w:r>
        <w:t>Flt+Pyr</w:t>
      </w:r>
      <w:proofErr w:type="spellEnd"/>
      <w:r>
        <w:t>)&lt;.4), fossil fuel combustion (.4&lt;Flt/(</w:t>
      </w:r>
      <w:proofErr w:type="spellStart"/>
      <w:r>
        <w:t>Flt+Pyr</w:t>
      </w:r>
      <w:proofErr w:type="spellEnd"/>
      <w:r>
        <w:t>)&lt;.5) and wood, grass and coal combustion (Flt/(</w:t>
      </w:r>
      <w:proofErr w:type="spellStart"/>
      <w:r>
        <w:t>Flt+Pyr</w:t>
      </w:r>
      <w:proofErr w:type="spellEnd"/>
      <w:r>
        <w:t>)&gt;.5). The horizontal line represents the PAH diagnostic ratio cutoff for petrogenic (Ant/(</w:t>
      </w:r>
      <w:proofErr w:type="spellStart"/>
      <w:r>
        <w:t>Ant+Phe</w:t>
      </w:r>
      <w:proofErr w:type="spellEnd"/>
      <w:r>
        <w:t>)&lt;.1) vs pyrogenic (Ant/(</w:t>
      </w:r>
      <w:proofErr w:type="spellStart"/>
      <w:r>
        <w:t>Ant+Phe</w:t>
      </w:r>
      <w:proofErr w:type="spellEnd"/>
      <w:r>
        <w:t xml:space="preserve">)&gt;.1) sources. </w:t>
      </w:r>
    </w:p>
    <w:p w14:paraId="26783FAE" w14:textId="553C676D" w:rsidR="007151E6" w:rsidRDefault="007151E6" w:rsidP="007151E6">
      <w:pPr>
        <w:spacing w:line="480" w:lineRule="auto"/>
        <w:rPr>
          <w:b/>
          <w:u w:val="single"/>
        </w:rPr>
      </w:pPr>
      <w:r>
        <w:rPr>
          <w:b/>
          <w:u w:val="single"/>
        </w:rPr>
        <w:t>Figure S</w:t>
      </w:r>
      <w:r w:rsidR="00A9003C">
        <w:rPr>
          <w:b/>
          <w:u w:val="single"/>
        </w:rPr>
        <w:t>8</w:t>
      </w:r>
    </w:p>
    <w:p w14:paraId="6E2FB812" w14:textId="180735A6" w:rsidR="007151E6" w:rsidRDefault="007151E6" w:rsidP="007151E6">
      <w:pPr>
        <w:spacing w:line="480" w:lineRule="auto"/>
      </w:pPr>
      <w:r>
        <w:t>A commonly employed method for probing the impact of related sources on target compound concentrations is the use of ratio</w:t>
      </w:r>
      <w:r w:rsidR="00452377">
        <w:t>-</w:t>
      </w:r>
      <w:r>
        <w:t xml:space="preserve">ratio diagnostic plots, which compare the concentration of two species, normalized by the concentration of a third species. A more detailed explanation of the </w:t>
      </w:r>
      <w:r>
        <w:lastRenderedPageBreak/>
        <w:t>motivation and methodology for ratio</w:t>
      </w:r>
      <w:r w:rsidR="00452377">
        <w:t>-</w:t>
      </w:r>
      <w:r>
        <w:t>ratio diagnostic plots are available in Dutton et al and Robinson et al [</w:t>
      </w:r>
      <w:r w:rsidR="00A9003C">
        <w:t xml:space="preserve">Dutton et al. 2009, Robinson et al. </w:t>
      </w:r>
      <w:r w:rsidR="000A362F">
        <w:t>2006</w:t>
      </w:r>
      <w:r>
        <w:t xml:space="preserve">]. </w:t>
      </w:r>
    </w:p>
    <w:p w14:paraId="37B57DC8" w14:textId="72666907" w:rsidR="007151E6" w:rsidRDefault="007151E6" w:rsidP="007151E6">
      <w:pPr>
        <w:spacing w:line="480" w:lineRule="auto"/>
      </w:pPr>
      <w:r>
        <w:t>Ambient concentrations of petroleum combustion markers after the Marshall Fire are greatly reduced when compared to previously reported chemical species profiles across the D</w:t>
      </w:r>
      <w:r w:rsidR="000A362F">
        <w:t>U</w:t>
      </w:r>
      <w:r>
        <w:t>A [</w:t>
      </w:r>
      <w:r w:rsidR="000A362F">
        <w:t>Dutton et al. 2009</w:t>
      </w:r>
      <w:r>
        <w:t>]. However, when normalized by the amount of EC present in each sample, (a byproduct of petroleum combustion), the three affected homes lie on a line between diesel and gasoline emissions for ratio-ratio plots comparing the concentrations of ab-</w:t>
      </w:r>
      <w:proofErr w:type="spellStart"/>
      <w:r>
        <w:t>hopane</w:t>
      </w:r>
      <w:proofErr w:type="spellEnd"/>
      <w:r>
        <w:t xml:space="preserve"> and ba-30-norhopane as well as benzo[</w:t>
      </w:r>
      <w:proofErr w:type="spellStart"/>
      <w:r>
        <w:t>g,h,i</w:t>
      </w:r>
      <w:proofErr w:type="spellEnd"/>
      <w:r>
        <w:t xml:space="preserve">] perylene to </w:t>
      </w:r>
      <w:proofErr w:type="spellStart"/>
      <w:r>
        <w:t>indeno</w:t>
      </w:r>
      <w:proofErr w:type="spellEnd"/>
      <w:r>
        <w:t>[1,2,3-cd]pyrene . This suggests that the source profile contributing to petroleum combustion markers is likely a continuous array of sources along the data in each ratio-ratio plot, as diesel emission profiles from the Northern Front Range Air Quality Study (NFRAQS) diverge from the line constructed by the majority of the data.</w:t>
      </w:r>
      <w:r>
        <w:rPr>
          <w:noProof/>
        </w:rPr>
        <w:drawing>
          <wp:inline distT="114300" distB="114300" distL="114300" distR="114300" wp14:anchorId="42A49CD7" wp14:editId="4021C43D">
            <wp:extent cx="5943600" cy="2959100"/>
            <wp:effectExtent l="0" t="0" r="0" b="0"/>
            <wp:docPr id="55" name="image17.jp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55" name="image17.jpg" descr="Chart, scatter chart&#10;&#10;Description automatically generated"/>
                    <pic:cNvPicPr preferRelativeResize="0"/>
                  </pic:nvPicPr>
                  <pic:blipFill>
                    <a:blip r:embed="rId12"/>
                    <a:srcRect/>
                    <a:stretch>
                      <a:fillRect/>
                    </a:stretch>
                  </pic:blipFill>
                  <pic:spPr>
                    <a:xfrm>
                      <a:off x="0" y="0"/>
                      <a:ext cx="5943600" cy="2959100"/>
                    </a:xfrm>
                    <a:prstGeom prst="rect">
                      <a:avLst/>
                    </a:prstGeom>
                    <a:ln/>
                  </pic:spPr>
                </pic:pic>
              </a:graphicData>
            </a:graphic>
          </wp:inline>
        </w:drawing>
      </w:r>
    </w:p>
    <w:p w14:paraId="48A72338" w14:textId="4805649D" w:rsidR="007151E6" w:rsidRPr="00EB7E96" w:rsidRDefault="007151E6" w:rsidP="007151E6">
      <w:pPr>
        <w:pStyle w:val="VAFigureCaption"/>
      </w:pPr>
      <w:r w:rsidRPr="00EB7E96">
        <w:rPr>
          <w:b/>
          <w:bCs/>
        </w:rPr>
        <w:t>Figures S</w:t>
      </w:r>
      <w:r w:rsidR="00A9003C">
        <w:rPr>
          <w:b/>
          <w:bCs/>
        </w:rPr>
        <w:t>8</w:t>
      </w:r>
      <w:r w:rsidRPr="00EB7E96">
        <w:rPr>
          <w:b/>
          <w:bCs/>
        </w:rPr>
        <w:t xml:space="preserve"> </w:t>
      </w:r>
      <w:proofErr w:type="spellStart"/>
      <w:r w:rsidRPr="00EB7E96">
        <w:rPr>
          <w:b/>
          <w:bCs/>
        </w:rPr>
        <w:t>a&amp;b</w:t>
      </w:r>
      <w:proofErr w:type="spellEnd"/>
      <w:r w:rsidRPr="00EB7E96">
        <w:rPr>
          <w:b/>
          <w:bCs/>
        </w:rPr>
        <w:t>.</w:t>
      </w:r>
      <w:r w:rsidRPr="00EB7E96">
        <w:t xml:space="preserve"> Ratio-ratio diagnostic plots of AB &amp; BA </w:t>
      </w:r>
      <w:proofErr w:type="spellStart"/>
      <w:r w:rsidRPr="00EB7E96">
        <w:t>hopane</w:t>
      </w:r>
      <w:proofErr w:type="spellEnd"/>
      <w:r w:rsidRPr="00EB7E96">
        <w:t>, and Benzo[</w:t>
      </w:r>
      <w:proofErr w:type="spellStart"/>
      <w:r w:rsidRPr="00EB7E96">
        <w:t>g,h,i</w:t>
      </w:r>
      <w:proofErr w:type="spellEnd"/>
      <w:r w:rsidRPr="00EB7E96">
        <w:t xml:space="preserve">]perylene &amp;  </w:t>
      </w:r>
      <w:proofErr w:type="spellStart"/>
      <w:r w:rsidRPr="00EB7E96">
        <w:t>Indeno</w:t>
      </w:r>
      <w:proofErr w:type="spellEnd"/>
      <w:r w:rsidRPr="00EB7E96">
        <w:t>[1,2,3-cd]pyrene normalized by EC. Dash data from Dutton et al. Typical gasoline and diesel profiles are from Robinson et al</w:t>
      </w:r>
      <w:r w:rsidR="002A06B2">
        <w:t>.</w:t>
      </w:r>
      <w:r w:rsidRPr="00EB7E96">
        <w:t xml:space="preserve"> [</w:t>
      </w:r>
      <w:r w:rsidR="002A06B2">
        <w:t>Robinson et al. 2006</w:t>
      </w:r>
      <w:r w:rsidRPr="00EB7E96">
        <w:t>].</w:t>
      </w:r>
    </w:p>
    <w:p w14:paraId="0C5005C6" w14:textId="284881E9" w:rsidR="007151E6" w:rsidRPr="00BF3906" w:rsidRDefault="007151E6" w:rsidP="001769A5">
      <w:pPr>
        <w:spacing w:line="480" w:lineRule="auto"/>
      </w:pPr>
      <w:r>
        <w:lastRenderedPageBreak/>
        <w:t>Contrastingly, PAH data associated with the ratio-ratio plot of indeno123-cdpyrene and benzo[</w:t>
      </w:r>
      <w:proofErr w:type="spellStart"/>
      <w:r>
        <w:t>ghi</w:t>
      </w:r>
      <w:proofErr w:type="spellEnd"/>
      <w:r>
        <w:t xml:space="preserve">] perylene lie between the emissions profiles of gasoline and diesel. Ratios associated with the field monitoring site </w:t>
      </w:r>
      <w:sdt>
        <w:sdtPr>
          <w:tag w:val="goog_rdk_28"/>
          <w:id w:val="392931243"/>
        </w:sdtPr>
        <w:sdtContent>
          <w:r>
            <w:t>A</w:t>
          </w:r>
        </w:sdtContent>
      </w:sdt>
      <w:r>
        <w:t>2 lie off of the trendline, though this disparity may be due to the low concentration and high percentage error of EC, indeno123-cdpyrene and benzo[</w:t>
      </w:r>
      <w:proofErr w:type="spellStart"/>
      <w:r>
        <w:t>ghi</w:t>
      </w:r>
      <w:proofErr w:type="spellEnd"/>
      <w:r>
        <w:t xml:space="preserve">] perylene associated with the monitoring site. </w:t>
      </w:r>
    </w:p>
    <w:p w14:paraId="74FA478E" w14:textId="77777777" w:rsidR="007151E6" w:rsidRDefault="007151E6" w:rsidP="007151E6">
      <w:pPr>
        <w:spacing w:line="480" w:lineRule="auto"/>
        <w:jc w:val="center"/>
        <w:rPr>
          <w:b/>
          <w:bCs/>
          <w:u w:val="single"/>
        </w:rPr>
      </w:pPr>
      <w:r>
        <w:rPr>
          <w:b/>
          <w:bCs/>
          <w:u w:val="single"/>
        </w:rPr>
        <w:t>References</w:t>
      </w:r>
    </w:p>
    <w:p w14:paraId="40980F7E" w14:textId="32E457D3" w:rsidR="007151E6" w:rsidRDefault="00BF3906" w:rsidP="00BF3906">
      <w:pPr>
        <w:pStyle w:val="TFReferencesSection"/>
      </w:pPr>
      <w:r>
        <w:t xml:space="preserve">Dutton, S. J.; Williams, D. E.; Garcia, J. K.; </w:t>
      </w:r>
      <w:proofErr w:type="spellStart"/>
      <w:r>
        <w:t>Vedal</w:t>
      </w:r>
      <w:proofErr w:type="spellEnd"/>
      <w:r>
        <w:t xml:space="preserve">, S.; Hannigan, M. P. PM2.5 Characterization for Time Series Studies: Organic Molecular Marker Speciation Methods and Observations from Daily Measurements in Denver. </w:t>
      </w:r>
      <w:r>
        <w:rPr>
          <w:i/>
        </w:rPr>
        <w:t>Atmospheric Environment</w:t>
      </w:r>
      <w:r>
        <w:t xml:space="preserve"> 2009, </w:t>
      </w:r>
      <w:r>
        <w:rPr>
          <w:i/>
        </w:rPr>
        <w:t>43</w:t>
      </w:r>
      <w:r>
        <w:t xml:space="preserve"> (12), 2018–2030.</w:t>
      </w:r>
      <w:hyperlink r:id="rId13">
        <w:r>
          <w:t xml:space="preserve"> </w:t>
        </w:r>
      </w:hyperlink>
      <w:hyperlink r:id="rId14">
        <w:r>
          <w:rPr>
            <w:color w:val="1155CC"/>
          </w:rPr>
          <w:t>https://doi.org/10.1016/j.atmosenv.2009.01.003</w:t>
        </w:r>
      </w:hyperlink>
      <w:r>
        <w:t>.</w:t>
      </w:r>
    </w:p>
    <w:p w14:paraId="55B91C28" w14:textId="419227E6" w:rsidR="007151E6" w:rsidRDefault="007151E6" w:rsidP="002A06B2">
      <w:pPr>
        <w:pStyle w:val="TFReferencesSection"/>
      </w:pPr>
      <w:r>
        <w:t xml:space="preserve">Smith, D. Geochemical Data for Colorado Soils: Results from the 2006 State-Scale Geochemical Survey. </w:t>
      </w:r>
      <w:hyperlink r:id="rId15">
        <w:r>
          <w:rPr>
            <w:color w:val="1155CC"/>
          </w:rPr>
          <w:t>https://doi.org/10.3133/ds520</w:t>
        </w:r>
      </w:hyperlink>
      <w:r>
        <w:rPr>
          <w:color w:val="1155CC"/>
        </w:rPr>
        <w:t>.</w:t>
      </w:r>
    </w:p>
    <w:p w14:paraId="13917225" w14:textId="37E24A95" w:rsidR="00BF3906" w:rsidRPr="00BF3906" w:rsidRDefault="007151E6" w:rsidP="00BF3906">
      <w:pPr>
        <w:pStyle w:val="TFReferencesSection"/>
      </w:pPr>
      <w:r>
        <w:t>Robinson, A. L.; Subramanian, R.; Donahue, N. M.; Anna Bernardo-</w:t>
      </w:r>
      <w:proofErr w:type="spellStart"/>
      <w:r>
        <w:t>Bricke</w:t>
      </w:r>
      <w:proofErr w:type="spellEnd"/>
      <w:r>
        <w:t xml:space="preserve"> and; Rogge, W. F. Source Apportionment of Molecular Markers and Organic Aerosol1. Polycyclic Aromatic Hydrocarbons and Methodology for Data Visualization. </w:t>
      </w:r>
      <w:r>
        <w:rPr>
          <w:i/>
        </w:rPr>
        <w:t>Environ. Sci. Technol.</w:t>
      </w:r>
      <w:r>
        <w:t xml:space="preserve"> 2006, </w:t>
      </w:r>
      <w:r>
        <w:rPr>
          <w:i/>
        </w:rPr>
        <w:t>40</w:t>
      </w:r>
      <w:r>
        <w:t xml:space="preserve"> (24), 7803–7810.</w:t>
      </w:r>
      <w:hyperlink r:id="rId16">
        <w:r>
          <w:t xml:space="preserve"> </w:t>
        </w:r>
      </w:hyperlink>
      <w:hyperlink r:id="rId17">
        <w:r>
          <w:rPr>
            <w:color w:val="1155CC"/>
          </w:rPr>
          <w:t>https://doi.org/10.1021/es0510414</w:t>
        </w:r>
      </w:hyperlink>
      <w:r>
        <w:t>.</w:t>
      </w:r>
    </w:p>
    <w:p w14:paraId="78DB2098" w14:textId="63E9F42F" w:rsidR="00E04CEF" w:rsidRPr="00BF3906" w:rsidRDefault="00BF3906" w:rsidP="00BF3906">
      <w:pPr>
        <w:spacing w:after="0" w:line="480" w:lineRule="auto"/>
        <w:jc w:val="left"/>
        <w:rPr>
          <w:rFonts w:cs="Times"/>
          <w:szCs w:val="24"/>
        </w:rPr>
      </w:pPr>
      <w:proofErr w:type="spellStart"/>
      <w:r w:rsidRPr="00BF3906">
        <w:rPr>
          <w:rFonts w:cs="Times"/>
          <w:szCs w:val="24"/>
        </w:rPr>
        <w:t>Tobiszewski</w:t>
      </w:r>
      <w:proofErr w:type="spellEnd"/>
      <w:r w:rsidRPr="00BF3906">
        <w:rPr>
          <w:rFonts w:cs="Times"/>
          <w:szCs w:val="24"/>
        </w:rPr>
        <w:t xml:space="preserve">, M.; </w:t>
      </w:r>
      <w:proofErr w:type="spellStart"/>
      <w:r w:rsidRPr="00BF3906">
        <w:rPr>
          <w:rFonts w:cs="Times"/>
          <w:szCs w:val="24"/>
        </w:rPr>
        <w:t>Namieśnik</w:t>
      </w:r>
      <w:proofErr w:type="spellEnd"/>
      <w:r w:rsidRPr="00BF3906">
        <w:rPr>
          <w:rFonts w:cs="Times"/>
          <w:szCs w:val="24"/>
        </w:rPr>
        <w:t xml:space="preserve">, J. PAH Diagnostic Ratios for the Identification of Pollution Emission Sources. </w:t>
      </w:r>
      <w:r w:rsidRPr="00BF3906">
        <w:rPr>
          <w:rFonts w:cs="Times"/>
          <w:i/>
          <w:iCs/>
          <w:szCs w:val="24"/>
        </w:rPr>
        <w:t>Environmental Pollution</w:t>
      </w:r>
      <w:r w:rsidRPr="00BF3906">
        <w:rPr>
          <w:rFonts w:cs="Times"/>
          <w:szCs w:val="24"/>
        </w:rPr>
        <w:t xml:space="preserve"> </w:t>
      </w:r>
      <w:r w:rsidRPr="00BF3906">
        <w:rPr>
          <w:rFonts w:cs="Times"/>
          <w:b/>
          <w:bCs/>
          <w:szCs w:val="24"/>
        </w:rPr>
        <w:t>2012</w:t>
      </w:r>
      <w:r w:rsidRPr="00BF3906">
        <w:rPr>
          <w:rFonts w:cs="Times"/>
          <w:szCs w:val="24"/>
        </w:rPr>
        <w:t xml:space="preserve">, </w:t>
      </w:r>
      <w:r w:rsidRPr="00BF3906">
        <w:rPr>
          <w:rFonts w:cs="Times"/>
          <w:i/>
          <w:iCs/>
          <w:szCs w:val="24"/>
        </w:rPr>
        <w:t>162</w:t>
      </w:r>
      <w:r w:rsidRPr="00BF3906">
        <w:rPr>
          <w:rFonts w:cs="Times"/>
          <w:szCs w:val="24"/>
        </w:rPr>
        <w:t xml:space="preserve">, 110–119. </w:t>
      </w:r>
      <w:hyperlink r:id="rId18" w:history="1">
        <w:r w:rsidRPr="00BF3906">
          <w:rPr>
            <w:rFonts w:cs="Times"/>
            <w:color w:val="0000FF"/>
            <w:szCs w:val="24"/>
            <w:u w:val="single"/>
          </w:rPr>
          <w:t>https://doi.org/10.1016/j.envpol.2011.10.025</w:t>
        </w:r>
      </w:hyperlink>
      <w:r w:rsidRPr="00BF3906">
        <w:rPr>
          <w:rFonts w:cs="Times"/>
          <w:szCs w:val="24"/>
        </w:rPr>
        <w:t>.</w:t>
      </w:r>
    </w:p>
    <w:sectPr w:rsidR="00E04CEF" w:rsidRPr="00BF3906" w:rsidSect="007151E6">
      <w:pgSz w:w="12240" w:h="15840"/>
      <w:pgMar w:top="1440" w:right="1440" w:bottom="1440" w:left="1440" w:header="720" w:footer="720" w:gutter="0"/>
      <w:lnNumType w:countBy="1" w:restart="continuou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51E6"/>
    <w:rsid w:val="0005446B"/>
    <w:rsid w:val="000A0B72"/>
    <w:rsid w:val="000A362F"/>
    <w:rsid w:val="000C02A3"/>
    <w:rsid w:val="001769A5"/>
    <w:rsid w:val="001F27CF"/>
    <w:rsid w:val="002A06B2"/>
    <w:rsid w:val="002D6C08"/>
    <w:rsid w:val="003149C7"/>
    <w:rsid w:val="0036081F"/>
    <w:rsid w:val="003C64B6"/>
    <w:rsid w:val="00452377"/>
    <w:rsid w:val="00501267"/>
    <w:rsid w:val="00532023"/>
    <w:rsid w:val="00536D53"/>
    <w:rsid w:val="00567179"/>
    <w:rsid w:val="006750DE"/>
    <w:rsid w:val="006B165C"/>
    <w:rsid w:val="00706AF6"/>
    <w:rsid w:val="0071295C"/>
    <w:rsid w:val="00715140"/>
    <w:rsid w:val="007151E6"/>
    <w:rsid w:val="00865184"/>
    <w:rsid w:val="008861DF"/>
    <w:rsid w:val="008D6714"/>
    <w:rsid w:val="009C18AB"/>
    <w:rsid w:val="00A13623"/>
    <w:rsid w:val="00A9003C"/>
    <w:rsid w:val="00B06BE0"/>
    <w:rsid w:val="00B12647"/>
    <w:rsid w:val="00BF3906"/>
    <w:rsid w:val="00C12BFB"/>
    <w:rsid w:val="00C27A2E"/>
    <w:rsid w:val="00C35986"/>
    <w:rsid w:val="00E04CEF"/>
    <w:rsid w:val="00E138CF"/>
    <w:rsid w:val="00E90155"/>
    <w:rsid w:val="00F16A8A"/>
    <w:rsid w:val="00FF5A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DF4592"/>
  <w15:chartTrackingRefBased/>
  <w15:docId w15:val="{5747DDA0-4220-475E-9F52-11C6AE005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51E6"/>
    <w:pPr>
      <w:spacing w:after="200" w:line="240" w:lineRule="auto"/>
      <w:jc w:val="both"/>
    </w:pPr>
    <w:rPr>
      <w:rFonts w:ascii="Times" w:eastAsia="Times New Roman" w:hAnsi="Times"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FReferencesSection">
    <w:name w:val="TF_References_Section"/>
    <w:basedOn w:val="Normal"/>
    <w:rsid w:val="007151E6"/>
    <w:pPr>
      <w:spacing w:line="480" w:lineRule="auto"/>
      <w:ind w:firstLine="187"/>
    </w:pPr>
  </w:style>
  <w:style w:type="paragraph" w:customStyle="1" w:styleId="TAMainText">
    <w:name w:val="TA_Main_Text"/>
    <w:basedOn w:val="Normal"/>
    <w:rsid w:val="007151E6"/>
    <w:pPr>
      <w:spacing w:after="0" w:line="480" w:lineRule="auto"/>
      <w:ind w:firstLine="202"/>
    </w:pPr>
  </w:style>
  <w:style w:type="paragraph" w:customStyle="1" w:styleId="VDTableTitle">
    <w:name w:val="VD_Table_Title"/>
    <w:basedOn w:val="Normal"/>
    <w:next w:val="Normal"/>
    <w:rsid w:val="007151E6"/>
    <w:pPr>
      <w:spacing w:line="480" w:lineRule="auto"/>
    </w:pPr>
  </w:style>
  <w:style w:type="paragraph" w:customStyle="1" w:styleId="VAFigureCaption">
    <w:name w:val="VA_Figure_Caption"/>
    <w:basedOn w:val="Normal"/>
    <w:next w:val="Normal"/>
    <w:rsid w:val="007151E6"/>
    <w:pPr>
      <w:spacing w:line="480" w:lineRule="auto"/>
    </w:pPr>
  </w:style>
  <w:style w:type="character" w:styleId="LineNumber">
    <w:name w:val="line number"/>
    <w:basedOn w:val="DefaultParagraphFont"/>
    <w:uiPriority w:val="99"/>
    <w:semiHidden/>
    <w:unhideWhenUsed/>
    <w:rsid w:val="007151E6"/>
  </w:style>
  <w:style w:type="paragraph" w:customStyle="1" w:styleId="BATitle">
    <w:name w:val="BA_Title"/>
    <w:basedOn w:val="Normal"/>
    <w:next w:val="BBAuthorName"/>
    <w:rsid w:val="007151E6"/>
    <w:pPr>
      <w:spacing w:before="720" w:after="360" w:line="480" w:lineRule="auto"/>
      <w:jc w:val="center"/>
    </w:pPr>
    <w:rPr>
      <w:rFonts w:ascii="Times New Roman" w:hAnsi="Times New Roman"/>
      <w:sz w:val="44"/>
    </w:rPr>
  </w:style>
  <w:style w:type="paragraph" w:customStyle="1" w:styleId="BBAuthorName">
    <w:name w:val="BB_Author_Name"/>
    <w:basedOn w:val="Normal"/>
    <w:next w:val="BCAuthorAddress"/>
    <w:rsid w:val="007151E6"/>
    <w:pPr>
      <w:spacing w:after="240" w:line="480" w:lineRule="auto"/>
      <w:jc w:val="center"/>
    </w:pPr>
    <w:rPr>
      <w:i/>
    </w:rPr>
  </w:style>
  <w:style w:type="paragraph" w:customStyle="1" w:styleId="BCAuthorAddress">
    <w:name w:val="BC_Author_Address"/>
    <w:basedOn w:val="Normal"/>
    <w:next w:val="Normal"/>
    <w:rsid w:val="007151E6"/>
    <w:pPr>
      <w:spacing w:after="240" w:line="480" w:lineRule="auto"/>
      <w:jc w:val="center"/>
    </w:pPr>
  </w:style>
  <w:style w:type="character" w:styleId="Hyperlink">
    <w:name w:val="Hyperlink"/>
    <w:basedOn w:val="DefaultParagraphFont"/>
    <w:uiPriority w:val="99"/>
    <w:semiHidden/>
    <w:unhideWhenUsed/>
    <w:rsid w:val="00BF3906"/>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477123">
      <w:bodyDiv w:val="1"/>
      <w:marLeft w:val="0"/>
      <w:marRight w:val="0"/>
      <w:marTop w:val="0"/>
      <w:marBottom w:val="0"/>
      <w:divBdr>
        <w:top w:val="none" w:sz="0" w:space="0" w:color="auto"/>
        <w:left w:val="none" w:sz="0" w:space="0" w:color="auto"/>
        <w:bottom w:val="none" w:sz="0" w:space="0" w:color="auto"/>
        <w:right w:val="none" w:sz="0" w:space="0" w:color="auto"/>
      </w:divBdr>
      <w:divsChild>
        <w:div w:id="826824547">
          <w:marLeft w:val="0"/>
          <w:marRight w:val="0"/>
          <w:marTop w:val="0"/>
          <w:marBottom w:val="0"/>
          <w:divBdr>
            <w:top w:val="none" w:sz="0" w:space="0" w:color="auto"/>
            <w:left w:val="none" w:sz="0" w:space="0" w:color="auto"/>
            <w:bottom w:val="none" w:sz="0" w:space="0" w:color="auto"/>
            <w:right w:val="none" w:sz="0" w:space="0" w:color="auto"/>
          </w:divBdr>
          <w:divsChild>
            <w:div w:id="1303584628">
              <w:marLeft w:val="0"/>
              <w:marRight w:val="0"/>
              <w:marTop w:val="0"/>
              <w:marBottom w:val="0"/>
              <w:divBdr>
                <w:top w:val="none" w:sz="0" w:space="0" w:color="auto"/>
                <w:left w:val="none" w:sz="0" w:space="0" w:color="auto"/>
                <w:bottom w:val="none" w:sz="0" w:space="0" w:color="auto"/>
                <w:right w:val="none" w:sz="0" w:space="0" w:color="auto"/>
              </w:divBdr>
              <w:divsChild>
                <w:div w:id="1563054451">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676416247">
      <w:bodyDiv w:val="1"/>
      <w:marLeft w:val="0"/>
      <w:marRight w:val="0"/>
      <w:marTop w:val="0"/>
      <w:marBottom w:val="0"/>
      <w:divBdr>
        <w:top w:val="none" w:sz="0" w:space="0" w:color="auto"/>
        <w:left w:val="none" w:sz="0" w:space="0" w:color="auto"/>
        <w:bottom w:val="none" w:sz="0" w:space="0" w:color="auto"/>
        <w:right w:val="none" w:sz="0" w:space="0" w:color="auto"/>
      </w:divBdr>
      <w:divsChild>
        <w:div w:id="976494316">
          <w:marLeft w:val="0"/>
          <w:marRight w:val="0"/>
          <w:marTop w:val="0"/>
          <w:marBottom w:val="0"/>
          <w:divBdr>
            <w:top w:val="none" w:sz="0" w:space="0" w:color="auto"/>
            <w:left w:val="none" w:sz="0" w:space="0" w:color="auto"/>
            <w:bottom w:val="none" w:sz="0" w:space="0" w:color="auto"/>
            <w:right w:val="none" w:sz="0" w:space="0" w:color="auto"/>
          </w:divBdr>
          <w:divsChild>
            <w:div w:id="573510003">
              <w:marLeft w:val="0"/>
              <w:marRight w:val="0"/>
              <w:marTop w:val="0"/>
              <w:marBottom w:val="0"/>
              <w:divBdr>
                <w:top w:val="none" w:sz="0" w:space="0" w:color="auto"/>
                <w:left w:val="none" w:sz="0" w:space="0" w:color="auto"/>
                <w:bottom w:val="none" w:sz="0" w:space="0" w:color="auto"/>
                <w:right w:val="none" w:sz="0" w:space="0" w:color="auto"/>
              </w:divBdr>
            </w:div>
            <w:div w:id="2003661778">
              <w:marLeft w:val="0"/>
              <w:marRight w:val="0"/>
              <w:marTop w:val="0"/>
              <w:marBottom w:val="0"/>
              <w:divBdr>
                <w:top w:val="none" w:sz="0" w:space="0" w:color="auto"/>
                <w:left w:val="none" w:sz="0" w:space="0" w:color="auto"/>
                <w:bottom w:val="none" w:sz="0" w:space="0" w:color="auto"/>
                <w:right w:val="none" w:sz="0" w:space="0" w:color="auto"/>
              </w:divBdr>
            </w:div>
            <w:div w:id="1854030981">
              <w:marLeft w:val="0"/>
              <w:marRight w:val="0"/>
              <w:marTop w:val="0"/>
              <w:marBottom w:val="0"/>
              <w:divBdr>
                <w:top w:val="none" w:sz="0" w:space="0" w:color="auto"/>
                <w:left w:val="none" w:sz="0" w:space="0" w:color="auto"/>
                <w:bottom w:val="none" w:sz="0" w:space="0" w:color="auto"/>
                <w:right w:val="none" w:sz="0" w:space="0" w:color="auto"/>
              </w:divBdr>
            </w:div>
            <w:div w:id="1363478738">
              <w:marLeft w:val="0"/>
              <w:marRight w:val="0"/>
              <w:marTop w:val="0"/>
              <w:marBottom w:val="0"/>
              <w:divBdr>
                <w:top w:val="none" w:sz="0" w:space="0" w:color="auto"/>
                <w:left w:val="none" w:sz="0" w:space="0" w:color="auto"/>
                <w:bottom w:val="none" w:sz="0" w:space="0" w:color="auto"/>
                <w:right w:val="none" w:sz="0" w:space="0" w:color="auto"/>
              </w:divBdr>
            </w:div>
            <w:div w:id="1773547171">
              <w:marLeft w:val="0"/>
              <w:marRight w:val="0"/>
              <w:marTop w:val="0"/>
              <w:marBottom w:val="0"/>
              <w:divBdr>
                <w:top w:val="none" w:sz="0" w:space="0" w:color="auto"/>
                <w:left w:val="none" w:sz="0" w:space="0" w:color="auto"/>
                <w:bottom w:val="none" w:sz="0" w:space="0" w:color="auto"/>
                <w:right w:val="none" w:sz="0" w:space="0" w:color="auto"/>
              </w:divBdr>
            </w:div>
            <w:div w:id="857352990">
              <w:marLeft w:val="0"/>
              <w:marRight w:val="0"/>
              <w:marTop w:val="0"/>
              <w:marBottom w:val="0"/>
              <w:divBdr>
                <w:top w:val="none" w:sz="0" w:space="0" w:color="auto"/>
                <w:left w:val="none" w:sz="0" w:space="0" w:color="auto"/>
                <w:bottom w:val="none" w:sz="0" w:space="0" w:color="auto"/>
                <w:right w:val="none" w:sz="0" w:space="0" w:color="auto"/>
              </w:divBdr>
            </w:div>
            <w:div w:id="1055082206">
              <w:marLeft w:val="0"/>
              <w:marRight w:val="0"/>
              <w:marTop w:val="0"/>
              <w:marBottom w:val="0"/>
              <w:divBdr>
                <w:top w:val="none" w:sz="0" w:space="0" w:color="auto"/>
                <w:left w:val="none" w:sz="0" w:space="0" w:color="auto"/>
                <w:bottom w:val="none" w:sz="0" w:space="0" w:color="auto"/>
                <w:right w:val="none" w:sz="0" w:space="0" w:color="auto"/>
              </w:divBdr>
            </w:div>
            <w:div w:id="1045762793">
              <w:marLeft w:val="0"/>
              <w:marRight w:val="0"/>
              <w:marTop w:val="0"/>
              <w:marBottom w:val="0"/>
              <w:divBdr>
                <w:top w:val="none" w:sz="0" w:space="0" w:color="auto"/>
                <w:left w:val="none" w:sz="0" w:space="0" w:color="auto"/>
                <w:bottom w:val="none" w:sz="0" w:space="0" w:color="auto"/>
                <w:right w:val="none" w:sz="0" w:space="0" w:color="auto"/>
              </w:divBdr>
            </w:div>
            <w:div w:id="292172701">
              <w:marLeft w:val="0"/>
              <w:marRight w:val="0"/>
              <w:marTop w:val="0"/>
              <w:marBottom w:val="0"/>
              <w:divBdr>
                <w:top w:val="none" w:sz="0" w:space="0" w:color="auto"/>
                <w:left w:val="none" w:sz="0" w:space="0" w:color="auto"/>
                <w:bottom w:val="none" w:sz="0" w:space="0" w:color="auto"/>
                <w:right w:val="none" w:sz="0" w:space="0" w:color="auto"/>
              </w:divBdr>
            </w:div>
            <w:div w:id="861472885">
              <w:marLeft w:val="0"/>
              <w:marRight w:val="0"/>
              <w:marTop w:val="0"/>
              <w:marBottom w:val="0"/>
              <w:divBdr>
                <w:top w:val="none" w:sz="0" w:space="0" w:color="auto"/>
                <w:left w:val="none" w:sz="0" w:space="0" w:color="auto"/>
                <w:bottom w:val="none" w:sz="0" w:space="0" w:color="auto"/>
                <w:right w:val="none" w:sz="0" w:space="0" w:color="auto"/>
              </w:divBdr>
            </w:div>
            <w:div w:id="161698108">
              <w:marLeft w:val="0"/>
              <w:marRight w:val="0"/>
              <w:marTop w:val="0"/>
              <w:marBottom w:val="0"/>
              <w:divBdr>
                <w:top w:val="none" w:sz="0" w:space="0" w:color="auto"/>
                <w:left w:val="none" w:sz="0" w:space="0" w:color="auto"/>
                <w:bottom w:val="none" w:sz="0" w:space="0" w:color="auto"/>
                <w:right w:val="none" w:sz="0" w:space="0" w:color="auto"/>
              </w:divBdr>
            </w:div>
            <w:div w:id="32466858">
              <w:marLeft w:val="0"/>
              <w:marRight w:val="0"/>
              <w:marTop w:val="0"/>
              <w:marBottom w:val="0"/>
              <w:divBdr>
                <w:top w:val="none" w:sz="0" w:space="0" w:color="auto"/>
                <w:left w:val="none" w:sz="0" w:space="0" w:color="auto"/>
                <w:bottom w:val="none" w:sz="0" w:space="0" w:color="auto"/>
                <w:right w:val="none" w:sz="0" w:space="0" w:color="auto"/>
              </w:divBdr>
            </w:div>
            <w:div w:id="270212011">
              <w:marLeft w:val="0"/>
              <w:marRight w:val="0"/>
              <w:marTop w:val="0"/>
              <w:marBottom w:val="0"/>
              <w:divBdr>
                <w:top w:val="none" w:sz="0" w:space="0" w:color="auto"/>
                <w:left w:val="none" w:sz="0" w:space="0" w:color="auto"/>
                <w:bottom w:val="none" w:sz="0" w:space="0" w:color="auto"/>
                <w:right w:val="none" w:sz="0" w:space="0" w:color="auto"/>
              </w:divBdr>
            </w:div>
            <w:div w:id="2121297970">
              <w:marLeft w:val="0"/>
              <w:marRight w:val="0"/>
              <w:marTop w:val="0"/>
              <w:marBottom w:val="0"/>
              <w:divBdr>
                <w:top w:val="none" w:sz="0" w:space="0" w:color="auto"/>
                <w:left w:val="none" w:sz="0" w:space="0" w:color="auto"/>
                <w:bottom w:val="none" w:sz="0" w:space="0" w:color="auto"/>
                <w:right w:val="none" w:sz="0" w:space="0" w:color="auto"/>
              </w:divBdr>
            </w:div>
            <w:div w:id="1683818899">
              <w:marLeft w:val="0"/>
              <w:marRight w:val="0"/>
              <w:marTop w:val="0"/>
              <w:marBottom w:val="0"/>
              <w:divBdr>
                <w:top w:val="none" w:sz="0" w:space="0" w:color="auto"/>
                <w:left w:val="none" w:sz="0" w:space="0" w:color="auto"/>
                <w:bottom w:val="none" w:sz="0" w:space="0" w:color="auto"/>
                <w:right w:val="none" w:sz="0" w:space="0" w:color="auto"/>
              </w:divBdr>
            </w:div>
            <w:div w:id="1750343256">
              <w:marLeft w:val="0"/>
              <w:marRight w:val="0"/>
              <w:marTop w:val="0"/>
              <w:marBottom w:val="0"/>
              <w:divBdr>
                <w:top w:val="none" w:sz="0" w:space="0" w:color="auto"/>
                <w:left w:val="none" w:sz="0" w:space="0" w:color="auto"/>
                <w:bottom w:val="none" w:sz="0" w:space="0" w:color="auto"/>
                <w:right w:val="none" w:sz="0" w:space="0" w:color="auto"/>
              </w:divBdr>
            </w:div>
            <w:div w:id="475103107">
              <w:marLeft w:val="0"/>
              <w:marRight w:val="0"/>
              <w:marTop w:val="0"/>
              <w:marBottom w:val="0"/>
              <w:divBdr>
                <w:top w:val="none" w:sz="0" w:space="0" w:color="auto"/>
                <w:left w:val="none" w:sz="0" w:space="0" w:color="auto"/>
                <w:bottom w:val="none" w:sz="0" w:space="0" w:color="auto"/>
                <w:right w:val="none" w:sz="0" w:space="0" w:color="auto"/>
              </w:divBdr>
            </w:div>
            <w:div w:id="1808281442">
              <w:marLeft w:val="0"/>
              <w:marRight w:val="0"/>
              <w:marTop w:val="0"/>
              <w:marBottom w:val="0"/>
              <w:divBdr>
                <w:top w:val="none" w:sz="0" w:space="0" w:color="auto"/>
                <w:left w:val="none" w:sz="0" w:space="0" w:color="auto"/>
                <w:bottom w:val="none" w:sz="0" w:space="0" w:color="auto"/>
                <w:right w:val="none" w:sz="0" w:space="0" w:color="auto"/>
              </w:divBdr>
            </w:div>
            <w:div w:id="1645308085">
              <w:marLeft w:val="0"/>
              <w:marRight w:val="0"/>
              <w:marTop w:val="0"/>
              <w:marBottom w:val="0"/>
              <w:divBdr>
                <w:top w:val="none" w:sz="0" w:space="0" w:color="auto"/>
                <w:left w:val="none" w:sz="0" w:space="0" w:color="auto"/>
                <w:bottom w:val="none" w:sz="0" w:space="0" w:color="auto"/>
                <w:right w:val="none" w:sz="0" w:space="0" w:color="auto"/>
              </w:divBdr>
            </w:div>
            <w:div w:id="344288330">
              <w:marLeft w:val="0"/>
              <w:marRight w:val="0"/>
              <w:marTop w:val="0"/>
              <w:marBottom w:val="0"/>
              <w:divBdr>
                <w:top w:val="none" w:sz="0" w:space="0" w:color="auto"/>
                <w:left w:val="none" w:sz="0" w:space="0" w:color="auto"/>
                <w:bottom w:val="none" w:sz="0" w:space="0" w:color="auto"/>
                <w:right w:val="none" w:sz="0" w:space="0" w:color="auto"/>
              </w:divBdr>
            </w:div>
            <w:div w:id="71978089">
              <w:marLeft w:val="0"/>
              <w:marRight w:val="0"/>
              <w:marTop w:val="0"/>
              <w:marBottom w:val="0"/>
              <w:divBdr>
                <w:top w:val="none" w:sz="0" w:space="0" w:color="auto"/>
                <w:left w:val="none" w:sz="0" w:space="0" w:color="auto"/>
                <w:bottom w:val="none" w:sz="0" w:space="0" w:color="auto"/>
                <w:right w:val="none" w:sz="0" w:space="0" w:color="auto"/>
              </w:divBdr>
            </w:div>
            <w:div w:id="113911916">
              <w:marLeft w:val="0"/>
              <w:marRight w:val="0"/>
              <w:marTop w:val="0"/>
              <w:marBottom w:val="0"/>
              <w:divBdr>
                <w:top w:val="none" w:sz="0" w:space="0" w:color="auto"/>
                <w:left w:val="none" w:sz="0" w:space="0" w:color="auto"/>
                <w:bottom w:val="none" w:sz="0" w:space="0" w:color="auto"/>
                <w:right w:val="none" w:sz="0" w:space="0" w:color="auto"/>
              </w:divBdr>
            </w:div>
            <w:div w:id="1043333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doi.org/10.1016/j.atmosenv.2009.01.003" TargetMode="External"/><Relationship Id="rId18" Type="http://schemas.openxmlformats.org/officeDocument/2006/relationships/hyperlink" Target="https://doi.org/10.1016/j.envpol.2011.10.025" TargetMode="Externa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g"/><Relationship Id="rId17" Type="http://schemas.openxmlformats.org/officeDocument/2006/relationships/hyperlink" Target="https://doi.org/10.1021/es0510414" TargetMode="External"/><Relationship Id="rId2" Type="http://schemas.openxmlformats.org/officeDocument/2006/relationships/settings" Target="settings.xml"/><Relationship Id="rId16" Type="http://schemas.openxmlformats.org/officeDocument/2006/relationships/hyperlink" Target="https://doi.org/10.1021/es0510414" TargetMode="Externa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image" Target="media/image8.png"/><Relationship Id="rId5" Type="http://schemas.openxmlformats.org/officeDocument/2006/relationships/image" Target="media/image2.jpg"/><Relationship Id="rId15" Type="http://schemas.openxmlformats.org/officeDocument/2006/relationships/hyperlink" Target="https://doi.org/10.3133/ds520" TargetMode="External"/><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hyperlink" Target="https://doi.org/10.1016/j.atmosenv.2009.01.00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204</TotalTime>
  <Pages>11</Pages>
  <Words>1630</Words>
  <Characters>9292</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Jonathan Silberstein</dc:creator>
  <cp:keywords/>
  <dc:description/>
  <cp:lastModifiedBy>Jonathan Silberstein</cp:lastModifiedBy>
  <cp:revision>25</cp:revision>
  <dcterms:created xsi:type="dcterms:W3CDTF">2023-02-08T16:00:00Z</dcterms:created>
  <dcterms:modified xsi:type="dcterms:W3CDTF">2023-04-28T18:51:00Z</dcterms:modified>
</cp:coreProperties>
</file>