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8EDE2" w14:textId="77777777" w:rsidR="006308A4" w:rsidRPr="00F953DD" w:rsidRDefault="00A47BD4" w:rsidP="00A47BD4">
      <w:pPr>
        <w:jc w:val="center"/>
        <w:rPr>
          <w:b/>
        </w:rPr>
      </w:pPr>
      <w:r w:rsidRPr="00F953DD">
        <w:rPr>
          <w:b/>
        </w:rPr>
        <w:t>Answers to the Reviewer</w:t>
      </w:r>
    </w:p>
    <w:p w14:paraId="54EAACAD" w14:textId="77777777" w:rsidR="00A47BD4" w:rsidRDefault="00A47BD4" w:rsidP="00A47BD4"/>
    <w:p w14:paraId="49EF3DD1" w14:textId="77777777" w:rsidR="00A47BD4" w:rsidRDefault="00A47BD4" w:rsidP="00602E93">
      <w:pPr>
        <w:jc w:val="both"/>
      </w:pPr>
      <w:r>
        <w:t>[Reviewer] The submitted paper deals with the influence of different sources on the oxidative potential of PM2.5 samples collected near Lisbon. The topic of the article is of interest nowadays. In my opinion, a much deeper interpretation of the results is required.</w:t>
      </w:r>
    </w:p>
    <w:p w14:paraId="7A235403" w14:textId="77777777" w:rsidR="00A47BD4" w:rsidRPr="00F953DD" w:rsidRDefault="00F953DD" w:rsidP="00602E93">
      <w:pPr>
        <w:jc w:val="both"/>
        <w:rPr>
          <w:color w:val="00B050"/>
        </w:rPr>
      </w:pPr>
      <w:r w:rsidRPr="00F953DD">
        <w:rPr>
          <w:color w:val="00B050"/>
        </w:rPr>
        <w:t xml:space="preserve">[Authors] </w:t>
      </w:r>
      <w:r>
        <w:rPr>
          <w:color w:val="00B050"/>
        </w:rPr>
        <w:t>First of all, the authors would like to thank the reviewer for all the valuable comments and suggestions that allowed to improve the manuscript.</w:t>
      </w:r>
    </w:p>
    <w:p w14:paraId="385AF62B" w14:textId="77777777" w:rsidR="00A47BD4" w:rsidRDefault="00F953DD" w:rsidP="00602E93">
      <w:pPr>
        <w:jc w:val="both"/>
      </w:pPr>
      <w:r>
        <w:t xml:space="preserve">[Reviewer] </w:t>
      </w:r>
      <w:r w:rsidR="00A47BD4">
        <w:t>- Lines 103-105. It is weird that biomass burning is not included in the identified sources since it is a major source of aerosols at other urban areas in Portugal during winter. See for instance Pio et al. (2022). On the other hand, previous studies (some of them referenced in the submitted paper) have reported an important contribution from this source to the oxidative potential (</w:t>
      </w:r>
      <w:proofErr w:type="spellStart"/>
      <w:r w:rsidR="00A47BD4">
        <w:t>Borlaza</w:t>
      </w:r>
      <w:proofErr w:type="spellEnd"/>
      <w:r w:rsidR="00A47BD4">
        <w:t xml:space="preserve"> et al. 2021; Weber et al. 2018; Wu et al. 2022)</w:t>
      </w:r>
    </w:p>
    <w:p w14:paraId="14A2ABDC" w14:textId="77777777" w:rsidR="00A47BD4" w:rsidRDefault="00A47BD4" w:rsidP="00602E93">
      <w:pPr>
        <w:jc w:val="both"/>
      </w:pPr>
      <w:proofErr w:type="spellStart"/>
      <w:r>
        <w:t>Borlaza</w:t>
      </w:r>
      <w:proofErr w:type="spellEnd"/>
      <w:r>
        <w:t xml:space="preserve">, L.J.S., Weber, S., </w:t>
      </w:r>
      <w:proofErr w:type="spellStart"/>
      <w:r>
        <w:t>Jaffrezo</w:t>
      </w:r>
      <w:proofErr w:type="spellEnd"/>
      <w:r>
        <w:t xml:space="preserve">, J.L., </w:t>
      </w:r>
      <w:proofErr w:type="spellStart"/>
      <w:r>
        <w:t>Houdier</w:t>
      </w:r>
      <w:proofErr w:type="spellEnd"/>
      <w:r>
        <w:t xml:space="preserve">, S., </w:t>
      </w:r>
      <w:proofErr w:type="spellStart"/>
      <w:r>
        <w:t>Slama</w:t>
      </w:r>
      <w:proofErr w:type="spellEnd"/>
      <w:r>
        <w:t xml:space="preserve">, R., </w:t>
      </w:r>
      <w:proofErr w:type="spellStart"/>
      <w:r>
        <w:t>Rieux</w:t>
      </w:r>
      <w:proofErr w:type="spellEnd"/>
      <w:r>
        <w:t xml:space="preserve">, C., </w:t>
      </w:r>
      <w:proofErr w:type="spellStart"/>
      <w:r>
        <w:t>Albinet</w:t>
      </w:r>
      <w:proofErr w:type="spellEnd"/>
      <w:r>
        <w:t xml:space="preserve">, A., Micallef, S., </w:t>
      </w:r>
      <w:proofErr w:type="spellStart"/>
      <w:r>
        <w:t>Tr´ebluchon</w:t>
      </w:r>
      <w:proofErr w:type="spellEnd"/>
      <w:r>
        <w:t xml:space="preserve">, C., </w:t>
      </w:r>
      <w:proofErr w:type="spellStart"/>
      <w:r>
        <w:t>Uzu</w:t>
      </w:r>
      <w:proofErr w:type="spellEnd"/>
      <w:r>
        <w:t>, G., 2021. Disparities in particulate matter (PM10) origins and oxidative potential at a city scale (Grenoble, France) - Part 2: sources of PM10 oxidative potential using multiple linear regression analysis and the predictive applicability of multilayer perceptron neural network analysis. Atmos. Chem. Phys. 21, 9719-9739.</w:t>
      </w:r>
    </w:p>
    <w:p w14:paraId="3FA7E167" w14:textId="77777777" w:rsidR="00A47BD4" w:rsidRDefault="00A47BD4" w:rsidP="00602E93">
      <w:pPr>
        <w:jc w:val="both"/>
      </w:pPr>
      <w:r>
        <w:t>Pio et al. (2022). Impact of biomass burning and non-exhaust vehicle emissions on PM10 levels in a mid-size non-industrial western Iberian city. Atmos Environ 289, 119293.</w:t>
      </w:r>
    </w:p>
    <w:p w14:paraId="267EF506" w14:textId="77777777" w:rsidR="004E009C" w:rsidRDefault="00F953DD" w:rsidP="00602E93">
      <w:pPr>
        <w:jc w:val="both"/>
        <w:rPr>
          <w:color w:val="00B050"/>
        </w:rPr>
      </w:pPr>
      <w:r w:rsidRPr="00F953DD">
        <w:rPr>
          <w:color w:val="00B050"/>
        </w:rPr>
        <w:t xml:space="preserve">[Authors] </w:t>
      </w:r>
      <w:r w:rsidR="0048749E">
        <w:rPr>
          <w:color w:val="00B050"/>
        </w:rPr>
        <w:t xml:space="preserve">Cities in the center (as Coimbra, which is studied in Pio et al. 2022) and north (as Porto) of Portugal have wood burning as a common PM source in winter periods due to the common use of fireplace places by the inhabitants for home heating. </w:t>
      </w:r>
      <w:r w:rsidR="00820F19">
        <w:rPr>
          <w:color w:val="00B050"/>
        </w:rPr>
        <w:t>Similar trends have been found for inland/rural villages of Portugal</w:t>
      </w:r>
      <w:r w:rsidR="007B0A09">
        <w:rPr>
          <w:color w:val="00B050"/>
        </w:rPr>
        <w:t xml:space="preserve"> (Canha et al.,</w:t>
      </w:r>
      <w:r w:rsidR="00790EDC">
        <w:rPr>
          <w:color w:val="00B050"/>
        </w:rPr>
        <w:t>2014)</w:t>
      </w:r>
      <w:r w:rsidR="00820F19">
        <w:rPr>
          <w:color w:val="00B050"/>
        </w:rPr>
        <w:t xml:space="preserve">. </w:t>
      </w:r>
      <w:r w:rsidR="0048749E">
        <w:rPr>
          <w:color w:val="00B050"/>
        </w:rPr>
        <w:t>However, in Lisbon, wood burning for home heating is not a common practice and that is why in several studies conducted in Lisbon, wood burning was not found as a PM source</w:t>
      </w:r>
      <w:r w:rsidR="004E009C">
        <w:rPr>
          <w:color w:val="00B050"/>
        </w:rPr>
        <w:t xml:space="preserve"> (Almeida et al., 2006; Farinha et al., 2009; Almeida et al., 2022)</w:t>
      </w:r>
      <w:r w:rsidR="0048749E">
        <w:rPr>
          <w:color w:val="00B050"/>
        </w:rPr>
        <w:t>.</w:t>
      </w:r>
      <w:r w:rsidR="004E009C">
        <w:rPr>
          <w:color w:val="00B050"/>
        </w:rPr>
        <w:t xml:space="preserve"> The results obtained by Gamelas et al. (2023) agree with these previous studies.</w:t>
      </w:r>
      <w:r w:rsidR="00820F19">
        <w:rPr>
          <w:color w:val="00B050"/>
        </w:rPr>
        <w:t xml:space="preserve"> </w:t>
      </w:r>
      <w:r w:rsidR="00A96AEA">
        <w:rPr>
          <w:color w:val="00B050"/>
        </w:rPr>
        <w:t xml:space="preserve">Moreover, </w:t>
      </w:r>
      <w:r w:rsidR="001612A9">
        <w:rPr>
          <w:color w:val="00B050"/>
        </w:rPr>
        <w:t xml:space="preserve">a study (that was not published yet) </w:t>
      </w:r>
      <w:proofErr w:type="spellStart"/>
      <w:r w:rsidR="001612A9">
        <w:rPr>
          <w:color w:val="00B050"/>
        </w:rPr>
        <w:t>analysed</w:t>
      </w:r>
      <w:proofErr w:type="spellEnd"/>
      <w:r w:rsidR="001612A9">
        <w:rPr>
          <w:color w:val="00B050"/>
        </w:rPr>
        <w:t xml:space="preserve"> the black carbon results of these samples and assessed the contribution of fossil fuel </w:t>
      </w:r>
      <w:proofErr w:type="gramStart"/>
      <w:r w:rsidR="001612A9">
        <w:rPr>
          <w:color w:val="00B050"/>
        </w:rPr>
        <w:t>combustion  and</w:t>
      </w:r>
      <w:proofErr w:type="gramEnd"/>
      <w:r w:rsidR="001612A9">
        <w:rPr>
          <w:color w:val="00B050"/>
        </w:rPr>
        <w:t xml:space="preserve"> biomass burning for the BC levels, identified that  in order to identify BC from biomass burning was only identified for 5 sampling days (which can be considered as negligible considering the total sampling period of 128 days). </w:t>
      </w:r>
    </w:p>
    <w:p w14:paraId="6F8AC164" w14:textId="77777777" w:rsidR="0048749E" w:rsidRDefault="00790EDC" w:rsidP="00602E93">
      <w:pPr>
        <w:jc w:val="both"/>
        <w:rPr>
          <w:color w:val="00B050"/>
        </w:rPr>
      </w:pPr>
      <w:r>
        <w:rPr>
          <w:color w:val="00B050"/>
        </w:rPr>
        <w:t>Either way, w</w:t>
      </w:r>
      <w:r w:rsidR="004E009C">
        <w:rPr>
          <w:color w:val="00B050"/>
        </w:rPr>
        <w:t xml:space="preserve">e are aware of the significant impact of this </w:t>
      </w:r>
      <w:r>
        <w:rPr>
          <w:color w:val="00B050"/>
        </w:rPr>
        <w:t xml:space="preserve">specific </w:t>
      </w:r>
      <w:r w:rsidR="004E009C">
        <w:rPr>
          <w:color w:val="00B050"/>
        </w:rPr>
        <w:t xml:space="preserve">source on OP from the previous published papers. However, </w:t>
      </w:r>
      <w:r>
        <w:rPr>
          <w:color w:val="00B050"/>
        </w:rPr>
        <w:t xml:space="preserve">the goal of </w:t>
      </w:r>
      <w:r w:rsidR="004E009C">
        <w:rPr>
          <w:color w:val="00B050"/>
        </w:rPr>
        <w:t xml:space="preserve">the present work </w:t>
      </w:r>
      <w:r>
        <w:rPr>
          <w:color w:val="00B050"/>
        </w:rPr>
        <w:t>was</w:t>
      </w:r>
      <w:r w:rsidR="004E009C">
        <w:rPr>
          <w:color w:val="00B050"/>
        </w:rPr>
        <w:t xml:space="preserve"> to evaluate the potential association between the identified PM sources </w:t>
      </w:r>
      <w:r>
        <w:rPr>
          <w:color w:val="00B050"/>
        </w:rPr>
        <w:t xml:space="preserve">(which did not include wood burning) in </w:t>
      </w:r>
      <w:proofErr w:type="spellStart"/>
      <w:r>
        <w:rPr>
          <w:color w:val="00B050"/>
        </w:rPr>
        <w:t>Seixal</w:t>
      </w:r>
      <w:proofErr w:type="spellEnd"/>
      <w:r>
        <w:rPr>
          <w:color w:val="00B050"/>
        </w:rPr>
        <w:t xml:space="preserve"> area </w:t>
      </w:r>
      <w:r w:rsidR="004E009C">
        <w:rPr>
          <w:color w:val="00B050"/>
        </w:rPr>
        <w:t>(</w:t>
      </w:r>
      <w:r>
        <w:rPr>
          <w:color w:val="00B050"/>
        </w:rPr>
        <w:t xml:space="preserve">this data was </w:t>
      </w:r>
      <w:r w:rsidR="004E009C">
        <w:rPr>
          <w:color w:val="00B050"/>
        </w:rPr>
        <w:t>already published in Gamelas et al., 2023)</w:t>
      </w:r>
      <w:r w:rsidR="00820F19">
        <w:rPr>
          <w:color w:val="00B050"/>
        </w:rPr>
        <w:t xml:space="preserve"> and their oxidative potential</w:t>
      </w:r>
      <w:r>
        <w:rPr>
          <w:color w:val="00B050"/>
        </w:rPr>
        <w:t>. Either way, we included the following sentence</w:t>
      </w:r>
      <w:r w:rsidR="00D36946">
        <w:rPr>
          <w:color w:val="00B050"/>
        </w:rPr>
        <w:t>s</w:t>
      </w:r>
      <w:r>
        <w:rPr>
          <w:color w:val="00B050"/>
        </w:rPr>
        <w:t xml:space="preserve"> highlighting the contribution of wood burning source for the OP levels in general to provide the reader with this relevant info:</w:t>
      </w:r>
    </w:p>
    <w:p w14:paraId="392A0DD8" w14:textId="07CF2585" w:rsidR="00790EDC" w:rsidRDefault="00D36946" w:rsidP="00602E93">
      <w:pPr>
        <w:jc w:val="both"/>
        <w:rPr>
          <w:color w:val="00B050"/>
        </w:rPr>
      </w:pPr>
      <w:r>
        <w:rPr>
          <w:color w:val="00B050"/>
        </w:rPr>
        <w:t>“</w:t>
      </w:r>
      <w:r w:rsidRPr="00D36946">
        <w:rPr>
          <w:color w:val="00B050"/>
        </w:rPr>
        <w:t>It is important to highlight the relevant role of wood burning as one of the main sources contributing to the oxidative potential of aerosols, as shown by the various studies cited above and others (</w:t>
      </w:r>
      <w:proofErr w:type="spellStart"/>
      <w:r w:rsidRPr="00D36946">
        <w:rPr>
          <w:color w:val="00B050"/>
        </w:rPr>
        <w:t>Borlaza</w:t>
      </w:r>
      <w:proofErr w:type="spellEnd"/>
      <w:r w:rsidRPr="00D36946">
        <w:rPr>
          <w:color w:val="00B050"/>
        </w:rPr>
        <w:t xml:space="preserve"> et al. 2021). Naturally, the nature of the sources affecting a particular region may have different origins, from </w:t>
      </w:r>
      <w:r w:rsidRPr="00D36946">
        <w:rPr>
          <w:color w:val="00B050"/>
        </w:rPr>
        <w:lastRenderedPageBreak/>
        <w:t xml:space="preserve">local to regional sources. The previous source apportionment study (Gamelas et al. 2023) carried out on the PM2.5 samples </w:t>
      </w:r>
      <w:proofErr w:type="spellStart"/>
      <w:r w:rsidRPr="00D36946">
        <w:rPr>
          <w:color w:val="00B050"/>
        </w:rPr>
        <w:t>analysed</w:t>
      </w:r>
      <w:proofErr w:type="spellEnd"/>
      <w:r w:rsidRPr="00D36946">
        <w:rPr>
          <w:color w:val="00B050"/>
        </w:rPr>
        <w:t xml:space="preserve"> in this study did not identify wood burning as a source in the study area. However, specific tracers of this source were not evaluated during the PM </w:t>
      </w:r>
      <w:proofErr w:type="spellStart"/>
      <w:r w:rsidRPr="00D36946">
        <w:rPr>
          <w:color w:val="00B050"/>
        </w:rPr>
        <w:t>characterisation</w:t>
      </w:r>
      <w:proofErr w:type="spellEnd"/>
      <w:r w:rsidRPr="00D36946">
        <w:rPr>
          <w:color w:val="00B050"/>
        </w:rPr>
        <w:t xml:space="preserve"> (as </w:t>
      </w:r>
      <w:proofErr w:type="spellStart"/>
      <w:proofErr w:type="gramStart"/>
      <w:r w:rsidRPr="00D36946">
        <w:rPr>
          <w:color w:val="00B050"/>
        </w:rPr>
        <w:t>levoglucosan</w:t>
      </w:r>
      <w:proofErr w:type="spellEnd"/>
      <w:r w:rsidRPr="00D36946">
        <w:rPr>
          <w:color w:val="00B050"/>
        </w:rPr>
        <w:t>)(</w:t>
      </w:r>
      <w:proofErr w:type="gramEnd"/>
      <w:r w:rsidRPr="00D36946">
        <w:rPr>
          <w:color w:val="00B050"/>
        </w:rPr>
        <w:t>Calvo et al. 2013), and this fact may have contributed to the non-identification of this source for the PM levels in the study area. Considering the known impact of wood burning to the OP levels of aerosols, future studies in the study area should include the evaluation of tracers of this source to assess whether its contribution to the OP levels is significant or not.</w:t>
      </w:r>
      <w:r>
        <w:rPr>
          <w:color w:val="00B050"/>
        </w:rPr>
        <w:t>”</w:t>
      </w:r>
    </w:p>
    <w:p w14:paraId="30DF12A5" w14:textId="2BC7DE23" w:rsidR="00E60C0D" w:rsidRDefault="00E60C0D" w:rsidP="00602E93">
      <w:pPr>
        <w:jc w:val="both"/>
        <w:rPr>
          <w:color w:val="00B050"/>
        </w:rPr>
      </w:pPr>
      <w:r>
        <w:rPr>
          <w:color w:val="00B050"/>
        </w:rPr>
        <w:t>(Page 17, lines 326 – 336)</w:t>
      </w:r>
    </w:p>
    <w:p w14:paraId="1D61DC55" w14:textId="77777777" w:rsidR="0048749E" w:rsidRDefault="0048749E" w:rsidP="00602E93">
      <w:pPr>
        <w:jc w:val="both"/>
        <w:rPr>
          <w:color w:val="00B050"/>
        </w:rPr>
      </w:pPr>
      <w:r w:rsidRPr="0048749E">
        <w:rPr>
          <w:color w:val="00B050"/>
        </w:rPr>
        <w:t>Almeida</w:t>
      </w:r>
      <w:r w:rsidR="004E009C" w:rsidRPr="004E009C">
        <w:rPr>
          <w:color w:val="00B050"/>
        </w:rPr>
        <w:t xml:space="preserve"> </w:t>
      </w:r>
      <w:r w:rsidR="004E009C" w:rsidRPr="0048749E">
        <w:rPr>
          <w:color w:val="00B050"/>
        </w:rPr>
        <w:t>S.M.</w:t>
      </w:r>
      <w:r w:rsidRPr="0048749E">
        <w:rPr>
          <w:color w:val="00B050"/>
        </w:rPr>
        <w:t>, Pio</w:t>
      </w:r>
      <w:r w:rsidR="004E009C" w:rsidRPr="004E009C">
        <w:rPr>
          <w:color w:val="00B050"/>
        </w:rPr>
        <w:t xml:space="preserve"> </w:t>
      </w:r>
      <w:r w:rsidR="004E009C" w:rsidRPr="0048749E">
        <w:rPr>
          <w:color w:val="00B050"/>
        </w:rPr>
        <w:t>C.A.</w:t>
      </w:r>
      <w:r w:rsidRPr="0048749E">
        <w:rPr>
          <w:color w:val="00B050"/>
        </w:rPr>
        <w:t>, Freitas</w:t>
      </w:r>
      <w:r w:rsidR="004E009C" w:rsidRPr="004E009C">
        <w:rPr>
          <w:color w:val="00B050"/>
        </w:rPr>
        <w:t xml:space="preserve"> </w:t>
      </w:r>
      <w:r w:rsidR="004E009C" w:rsidRPr="0048749E">
        <w:rPr>
          <w:color w:val="00B050"/>
        </w:rPr>
        <w:t>M.C.</w:t>
      </w:r>
      <w:r w:rsidRPr="0048749E">
        <w:rPr>
          <w:color w:val="00B050"/>
        </w:rPr>
        <w:t>, Reis</w:t>
      </w:r>
      <w:r w:rsidR="004E009C" w:rsidRPr="004E009C">
        <w:rPr>
          <w:color w:val="00B050"/>
        </w:rPr>
        <w:t xml:space="preserve"> </w:t>
      </w:r>
      <w:r w:rsidR="004E009C" w:rsidRPr="0048749E">
        <w:rPr>
          <w:color w:val="00B050"/>
        </w:rPr>
        <w:t>M.A.</w:t>
      </w:r>
      <w:r w:rsidRPr="0048749E">
        <w:rPr>
          <w:color w:val="00B050"/>
        </w:rPr>
        <w:t xml:space="preserve">, </w:t>
      </w:r>
      <w:proofErr w:type="spellStart"/>
      <w:r w:rsidRPr="0048749E">
        <w:rPr>
          <w:color w:val="00B050"/>
        </w:rPr>
        <w:t>Trancoso</w:t>
      </w:r>
      <w:proofErr w:type="spellEnd"/>
      <w:r w:rsidRPr="0048749E">
        <w:rPr>
          <w:color w:val="00B050"/>
        </w:rPr>
        <w:t xml:space="preserve"> </w:t>
      </w:r>
      <w:r w:rsidR="004E009C" w:rsidRPr="0048749E">
        <w:rPr>
          <w:color w:val="00B050"/>
        </w:rPr>
        <w:t xml:space="preserve">M.A. </w:t>
      </w:r>
      <w:r w:rsidRPr="0048749E">
        <w:rPr>
          <w:color w:val="00B050"/>
        </w:rPr>
        <w:t xml:space="preserve">(2006) Approaching PM2.5 and PM2.5−10 source apportionment by mass balance analysis, principal component analysis and particle size </w:t>
      </w:r>
      <w:r>
        <w:rPr>
          <w:color w:val="00B050"/>
        </w:rPr>
        <w:t>d</w:t>
      </w:r>
      <w:r w:rsidRPr="0048749E">
        <w:rPr>
          <w:color w:val="00B050"/>
        </w:rPr>
        <w:t>istribution</w:t>
      </w:r>
      <w:r>
        <w:rPr>
          <w:color w:val="00B050"/>
        </w:rPr>
        <w:t xml:space="preserve">. </w:t>
      </w:r>
      <w:r w:rsidRPr="0048749E">
        <w:rPr>
          <w:color w:val="00B050"/>
        </w:rPr>
        <w:t>Science of The Total Environment</w:t>
      </w:r>
      <w:r>
        <w:rPr>
          <w:color w:val="00B050"/>
        </w:rPr>
        <w:t xml:space="preserve"> </w:t>
      </w:r>
      <w:r w:rsidRPr="0048749E">
        <w:rPr>
          <w:color w:val="00B050"/>
        </w:rPr>
        <w:t>368</w:t>
      </w:r>
      <w:r>
        <w:rPr>
          <w:color w:val="00B050"/>
        </w:rPr>
        <w:t xml:space="preserve"> (</w:t>
      </w:r>
      <w:r w:rsidRPr="0048749E">
        <w:rPr>
          <w:color w:val="00B050"/>
        </w:rPr>
        <w:t>2–3</w:t>
      </w:r>
      <w:r>
        <w:rPr>
          <w:color w:val="00B050"/>
        </w:rPr>
        <w:t>)</w:t>
      </w:r>
      <w:r w:rsidRPr="0048749E">
        <w:rPr>
          <w:color w:val="00B050"/>
        </w:rPr>
        <w:t>,</w:t>
      </w:r>
      <w:r>
        <w:rPr>
          <w:color w:val="00B050"/>
        </w:rPr>
        <w:t xml:space="preserve"> </w:t>
      </w:r>
      <w:r w:rsidRPr="0048749E">
        <w:rPr>
          <w:color w:val="00B050"/>
        </w:rPr>
        <w:t>663-674,</w:t>
      </w:r>
      <w:r>
        <w:rPr>
          <w:color w:val="00B050"/>
        </w:rPr>
        <w:t xml:space="preserve"> </w:t>
      </w:r>
      <w:hyperlink r:id="rId6" w:history="1">
        <w:r w:rsidR="004E009C" w:rsidRPr="0004364C">
          <w:rPr>
            <w:rStyle w:val="Hyperlink"/>
          </w:rPr>
          <w:t>https://doi.org/10.1016/j.scitotenv.2006.03.031</w:t>
        </w:r>
      </w:hyperlink>
      <w:r w:rsidRPr="0048749E">
        <w:rPr>
          <w:color w:val="00B050"/>
        </w:rPr>
        <w:t>.</w:t>
      </w:r>
    </w:p>
    <w:p w14:paraId="4E4E5995" w14:textId="77777777" w:rsidR="00820F19" w:rsidRDefault="00820F19" w:rsidP="00602E93">
      <w:pPr>
        <w:jc w:val="both"/>
        <w:rPr>
          <w:color w:val="00B050"/>
        </w:rPr>
      </w:pPr>
      <w:r w:rsidRPr="00790EDC">
        <w:rPr>
          <w:color w:val="00B050"/>
        </w:rPr>
        <w:t>Canha</w:t>
      </w:r>
      <w:r w:rsidR="007B0A09" w:rsidRPr="00790EDC">
        <w:rPr>
          <w:color w:val="00B050"/>
        </w:rPr>
        <w:t xml:space="preserve"> N.</w:t>
      </w:r>
      <w:r w:rsidRPr="00790EDC">
        <w:rPr>
          <w:color w:val="00B050"/>
        </w:rPr>
        <w:t>, Almeida</w:t>
      </w:r>
      <w:r w:rsidR="00790EDC" w:rsidRPr="00790EDC">
        <w:rPr>
          <w:color w:val="00B050"/>
        </w:rPr>
        <w:t xml:space="preserve"> S.M.</w:t>
      </w:r>
      <w:r w:rsidRPr="00790EDC">
        <w:rPr>
          <w:color w:val="00B050"/>
        </w:rPr>
        <w:t>, Freitas</w:t>
      </w:r>
      <w:r w:rsidR="00790EDC" w:rsidRPr="00790EDC">
        <w:rPr>
          <w:color w:val="00B050"/>
        </w:rPr>
        <w:t xml:space="preserve"> M.C.</w:t>
      </w:r>
      <w:r w:rsidRPr="00790EDC">
        <w:rPr>
          <w:color w:val="00B050"/>
        </w:rPr>
        <w:t xml:space="preserve">, </w:t>
      </w:r>
      <w:proofErr w:type="spellStart"/>
      <w:r w:rsidRPr="00790EDC">
        <w:rPr>
          <w:color w:val="00B050"/>
        </w:rPr>
        <w:t>Wolterbeek</w:t>
      </w:r>
      <w:proofErr w:type="spellEnd"/>
      <w:r w:rsidR="00790EDC" w:rsidRPr="00790EDC">
        <w:rPr>
          <w:color w:val="00B050"/>
        </w:rPr>
        <w:t xml:space="preserve"> H.T.</w:t>
      </w:r>
      <w:r w:rsidRPr="00790EDC">
        <w:rPr>
          <w:color w:val="00B050"/>
        </w:rPr>
        <w:t>, Cardoso</w:t>
      </w:r>
      <w:r w:rsidR="00790EDC" w:rsidRPr="00790EDC">
        <w:rPr>
          <w:color w:val="00B050"/>
        </w:rPr>
        <w:t xml:space="preserve"> J.</w:t>
      </w:r>
      <w:r w:rsidRPr="00790EDC">
        <w:rPr>
          <w:color w:val="00B050"/>
        </w:rPr>
        <w:t>, Pio</w:t>
      </w:r>
      <w:r w:rsidR="00790EDC" w:rsidRPr="00790EDC">
        <w:rPr>
          <w:color w:val="00B050"/>
        </w:rPr>
        <w:t xml:space="preserve"> C.A.</w:t>
      </w:r>
      <w:r w:rsidRPr="00790EDC">
        <w:rPr>
          <w:color w:val="00B050"/>
        </w:rPr>
        <w:t xml:space="preserve">, </w:t>
      </w:r>
      <w:proofErr w:type="spellStart"/>
      <w:r w:rsidRPr="00790EDC">
        <w:rPr>
          <w:color w:val="00B050"/>
        </w:rPr>
        <w:t>Caseiro</w:t>
      </w:r>
      <w:proofErr w:type="spellEnd"/>
      <w:r w:rsidR="00790EDC" w:rsidRPr="00790EDC">
        <w:rPr>
          <w:color w:val="00B050"/>
        </w:rPr>
        <w:t xml:space="preserve"> A. (2014) </w:t>
      </w:r>
      <w:r w:rsidRPr="00820F19">
        <w:rPr>
          <w:color w:val="00B050"/>
        </w:rPr>
        <w:t>Impact of wood burning on indoor PM2.5 in a primary school in rural Portugal</w:t>
      </w:r>
      <w:r w:rsidR="00790EDC">
        <w:rPr>
          <w:color w:val="00B050"/>
        </w:rPr>
        <w:t xml:space="preserve">. </w:t>
      </w:r>
      <w:r w:rsidRPr="00820F19">
        <w:rPr>
          <w:color w:val="00B050"/>
        </w:rPr>
        <w:t>Atmospheric Environment</w:t>
      </w:r>
      <w:r w:rsidR="00790EDC">
        <w:rPr>
          <w:color w:val="00B050"/>
        </w:rPr>
        <w:t xml:space="preserve"> </w:t>
      </w:r>
      <w:r w:rsidRPr="00820F19">
        <w:rPr>
          <w:color w:val="00B050"/>
        </w:rPr>
        <w:t>94,</w:t>
      </w:r>
      <w:r w:rsidR="00790EDC">
        <w:rPr>
          <w:color w:val="00B050"/>
        </w:rPr>
        <w:t xml:space="preserve"> </w:t>
      </w:r>
      <w:r w:rsidRPr="00820F19">
        <w:rPr>
          <w:color w:val="00B050"/>
        </w:rPr>
        <w:t>663-670,</w:t>
      </w:r>
      <w:r w:rsidR="00790EDC">
        <w:rPr>
          <w:color w:val="00B050"/>
        </w:rPr>
        <w:t xml:space="preserve"> </w:t>
      </w:r>
      <w:hyperlink r:id="rId7" w:history="1">
        <w:r w:rsidR="00790EDC" w:rsidRPr="0004364C">
          <w:rPr>
            <w:rStyle w:val="Hyperlink"/>
          </w:rPr>
          <w:t>https://doi.org/10.1016/j.atmosenv.2014.05.080</w:t>
        </w:r>
      </w:hyperlink>
      <w:r w:rsidRPr="00820F19">
        <w:rPr>
          <w:color w:val="00B050"/>
        </w:rPr>
        <w:t>.</w:t>
      </w:r>
    </w:p>
    <w:p w14:paraId="2ECF8584" w14:textId="77777777" w:rsidR="00F953DD" w:rsidRPr="00C27FDF" w:rsidRDefault="0048749E" w:rsidP="00602E93">
      <w:pPr>
        <w:jc w:val="both"/>
        <w:rPr>
          <w:color w:val="00B050"/>
        </w:rPr>
      </w:pPr>
      <w:r w:rsidRPr="0048749E">
        <w:rPr>
          <w:color w:val="00B050"/>
        </w:rPr>
        <w:t>Farinha</w:t>
      </w:r>
      <w:r w:rsidR="004E009C" w:rsidRPr="004E009C">
        <w:rPr>
          <w:color w:val="00B050"/>
        </w:rPr>
        <w:t xml:space="preserve"> </w:t>
      </w:r>
      <w:r w:rsidR="004E009C" w:rsidRPr="0048749E">
        <w:rPr>
          <w:color w:val="00B050"/>
        </w:rPr>
        <w:t>M.M.</w:t>
      </w:r>
      <w:r w:rsidRPr="0048749E">
        <w:rPr>
          <w:color w:val="00B050"/>
        </w:rPr>
        <w:t>, Almeida</w:t>
      </w:r>
      <w:r w:rsidR="004E009C" w:rsidRPr="004E009C">
        <w:rPr>
          <w:color w:val="00B050"/>
        </w:rPr>
        <w:t xml:space="preserve"> </w:t>
      </w:r>
      <w:r w:rsidR="004E009C" w:rsidRPr="0048749E">
        <w:rPr>
          <w:color w:val="00B050"/>
        </w:rPr>
        <w:t>S.M.</w:t>
      </w:r>
      <w:r w:rsidRPr="0048749E">
        <w:rPr>
          <w:color w:val="00B050"/>
        </w:rPr>
        <w:t>, Freitas</w:t>
      </w:r>
      <w:r w:rsidR="004E009C" w:rsidRPr="004E009C">
        <w:rPr>
          <w:color w:val="00B050"/>
        </w:rPr>
        <w:t xml:space="preserve"> </w:t>
      </w:r>
      <w:r w:rsidR="004E009C" w:rsidRPr="0048749E">
        <w:rPr>
          <w:color w:val="00B050"/>
        </w:rPr>
        <w:t>M.C.</w:t>
      </w:r>
      <w:r w:rsidRPr="0048749E">
        <w:rPr>
          <w:color w:val="00B050"/>
        </w:rPr>
        <w:t xml:space="preserve">, </w:t>
      </w:r>
      <w:proofErr w:type="spellStart"/>
      <w:r w:rsidRPr="0048749E">
        <w:rPr>
          <w:color w:val="00B050"/>
        </w:rPr>
        <w:t>Verburg</w:t>
      </w:r>
      <w:proofErr w:type="spellEnd"/>
      <w:r w:rsidR="004E009C" w:rsidRPr="004E009C">
        <w:rPr>
          <w:color w:val="00B050"/>
        </w:rPr>
        <w:t xml:space="preserve"> </w:t>
      </w:r>
      <w:r w:rsidR="004E009C" w:rsidRPr="0048749E">
        <w:rPr>
          <w:color w:val="00B050"/>
        </w:rPr>
        <w:t>T.G.</w:t>
      </w:r>
      <w:r w:rsidRPr="0048749E">
        <w:rPr>
          <w:color w:val="00B050"/>
        </w:rPr>
        <w:t xml:space="preserve">, </w:t>
      </w:r>
      <w:proofErr w:type="spellStart"/>
      <w:r w:rsidRPr="0048749E">
        <w:rPr>
          <w:color w:val="00B050"/>
        </w:rPr>
        <w:t>Wolterbeek</w:t>
      </w:r>
      <w:proofErr w:type="spellEnd"/>
      <w:r w:rsidR="004E009C" w:rsidRPr="004E009C">
        <w:rPr>
          <w:color w:val="00B050"/>
        </w:rPr>
        <w:t xml:space="preserve"> </w:t>
      </w:r>
      <w:proofErr w:type="spellStart"/>
      <w:r w:rsidR="004E009C" w:rsidRPr="0048749E">
        <w:rPr>
          <w:color w:val="00B050"/>
        </w:rPr>
        <w:t>H.Th</w:t>
      </w:r>
      <w:proofErr w:type="spellEnd"/>
      <w:r w:rsidR="004E009C" w:rsidRPr="0048749E">
        <w:rPr>
          <w:color w:val="00B050"/>
        </w:rPr>
        <w:t>.</w:t>
      </w:r>
      <w:r w:rsidRPr="0048749E">
        <w:rPr>
          <w:color w:val="00B050"/>
        </w:rPr>
        <w:t>, (2009) Local and regional sources of air pollutants at Northern Lisbon area, Portugal</w:t>
      </w:r>
      <w:r>
        <w:rPr>
          <w:color w:val="00B050"/>
        </w:rPr>
        <w:t xml:space="preserve">. </w:t>
      </w:r>
      <w:r w:rsidRPr="00C27FDF">
        <w:rPr>
          <w:color w:val="00B050"/>
        </w:rPr>
        <w:t>Applied Radiation and Isotopes 67</w:t>
      </w:r>
      <w:r w:rsidR="004E009C" w:rsidRPr="00C27FDF">
        <w:rPr>
          <w:color w:val="00B050"/>
        </w:rPr>
        <w:t xml:space="preserve"> (</w:t>
      </w:r>
      <w:r w:rsidRPr="00C27FDF">
        <w:rPr>
          <w:color w:val="00B050"/>
        </w:rPr>
        <w:t>12</w:t>
      </w:r>
      <w:r w:rsidR="004E009C" w:rsidRPr="00C27FDF">
        <w:rPr>
          <w:color w:val="00B050"/>
        </w:rPr>
        <w:t>)</w:t>
      </w:r>
      <w:r w:rsidRPr="00C27FDF">
        <w:rPr>
          <w:color w:val="00B050"/>
        </w:rPr>
        <w:t>,</w:t>
      </w:r>
      <w:r w:rsidR="004E009C" w:rsidRPr="00C27FDF">
        <w:rPr>
          <w:color w:val="00B050"/>
        </w:rPr>
        <w:t xml:space="preserve"> </w:t>
      </w:r>
      <w:r w:rsidRPr="00C27FDF">
        <w:rPr>
          <w:color w:val="00B050"/>
        </w:rPr>
        <w:t>2137-2141,</w:t>
      </w:r>
      <w:r w:rsidR="004E009C" w:rsidRPr="00C27FDF">
        <w:rPr>
          <w:color w:val="00B050"/>
        </w:rPr>
        <w:t xml:space="preserve"> </w:t>
      </w:r>
      <w:hyperlink r:id="rId8" w:history="1">
        <w:r w:rsidR="004E009C" w:rsidRPr="00C27FDF">
          <w:rPr>
            <w:rStyle w:val="Hyperlink"/>
          </w:rPr>
          <w:t>https://doi.org/10.1016/j.apradiso.2009.04.019</w:t>
        </w:r>
      </w:hyperlink>
      <w:r w:rsidRPr="00C27FDF">
        <w:rPr>
          <w:color w:val="00B050"/>
        </w:rPr>
        <w:t>.</w:t>
      </w:r>
    </w:p>
    <w:p w14:paraId="6A41F15E" w14:textId="77777777" w:rsidR="004E009C" w:rsidRDefault="004E009C" w:rsidP="00602E93">
      <w:pPr>
        <w:jc w:val="both"/>
        <w:rPr>
          <w:color w:val="00B050"/>
        </w:rPr>
      </w:pPr>
      <w:r w:rsidRPr="004E009C">
        <w:rPr>
          <w:color w:val="00B050"/>
        </w:rPr>
        <w:t xml:space="preserve">Almeida S.M., Faria F., Martins V., Canha N., Diapouli E., </w:t>
      </w:r>
      <w:proofErr w:type="spellStart"/>
      <w:r w:rsidRPr="004E009C">
        <w:rPr>
          <w:color w:val="00B050"/>
        </w:rPr>
        <w:t>Eleftheriadis</w:t>
      </w:r>
      <w:proofErr w:type="spellEnd"/>
      <w:r>
        <w:rPr>
          <w:color w:val="00B050"/>
        </w:rPr>
        <w:t xml:space="preserve"> K.</w:t>
      </w:r>
      <w:r w:rsidRPr="004E009C">
        <w:rPr>
          <w:color w:val="00B050"/>
        </w:rPr>
        <w:t xml:space="preserve">, </w:t>
      </w:r>
      <w:proofErr w:type="spellStart"/>
      <w:r w:rsidRPr="004E009C">
        <w:rPr>
          <w:color w:val="00B050"/>
        </w:rPr>
        <w:t>Manousakas</w:t>
      </w:r>
      <w:proofErr w:type="spellEnd"/>
      <w:r w:rsidRPr="004E009C">
        <w:rPr>
          <w:color w:val="00B050"/>
        </w:rPr>
        <w:t xml:space="preserve"> </w:t>
      </w:r>
      <w:r>
        <w:rPr>
          <w:color w:val="00B050"/>
        </w:rPr>
        <w:t xml:space="preserve">M.I. </w:t>
      </w:r>
      <w:r w:rsidRPr="004E009C">
        <w:rPr>
          <w:color w:val="00B050"/>
        </w:rPr>
        <w:t xml:space="preserve">(2022) Source apportionment of children daily exposure to particulate matter. </w:t>
      </w:r>
      <w:r w:rsidRPr="00C27FDF">
        <w:rPr>
          <w:color w:val="00B050"/>
        </w:rPr>
        <w:t xml:space="preserve">Science of The Total Environment 835, 155349. </w:t>
      </w:r>
      <w:hyperlink r:id="rId9" w:history="1">
        <w:r w:rsidRPr="0004364C">
          <w:rPr>
            <w:rStyle w:val="Hyperlink"/>
          </w:rPr>
          <w:t>https://doi.org/10.1016/j.scitotenv.2022.155349</w:t>
        </w:r>
      </w:hyperlink>
      <w:r w:rsidRPr="004E009C">
        <w:rPr>
          <w:color w:val="00B050"/>
        </w:rPr>
        <w:t>.</w:t>
      </w:r>
    </w:p>
    <w:p w14:paraId="7ED589DF" w14:textId="77777777" w:rsidR="004E009C" w:rsidRDefault="004E009C" w:rsidP="00602E93">
      <w:pPr>
        <w:jc w:val="both"/>
        <w:rPr>
          <w:color w:val="00B050"/>
        </w:rPr>
      </w:pPr>
      <w:r w:rsidRPr="004E009C">
        <w:rPr>
          <w:color w:val="00B050"/>
        </w:rPr>
        <w:t>Gamelas C</w:t>
      </w:r>
      <w:r>
        <w:rPr>
          <w:color w:val="00B050"/>
        </w:rPr>
        <w:t>.</w:t>
      </w:r>
      <w:r w:rsidRPr="004E009C">
        <w:rPr>
          <w:color w:val="00B050"/>
        </w:rPr>
        <w:t>A</w:t>
      </w:r>
      <w:r>
        <w:rPr>
          <w:color w:val="00B050"/>
        </w:rPr>
        <w:t>.</w:t>
      </w:r>
      <w:r w:rsidRPr="004E009C">
        <w:rPr>
          <w:color w:val="00B050"/>
        </w:rPr>
        <w:t>, Canha N</w:t>
      </w:r>
      <w:r>
        <w:rPr>
          <w:color w:val="00B050"/>
        </w:rPr>
        <w:t>.</w:t>
      </w:r>
      <w:r w:rsidRPr="004E009C">
        <w:rPr>
          <w:color w:val="00B050"/>
        </w:rPr>
        <w:t>, Vicente A</w:t>
      </w:r>
      <w:r>
        <w:rPr>
          <w:color w:val="00B050"/>
        </w:rPr>
        <w:t>.</w:t>
      </w:r>
      <w:r w:rsidRPr="004E009C">
        <w:rPr>
          <w:color w:val="00B050"/>
        </w:rPr>
        <w:t>, et al (2023) Source apportionment of PM2.5 before and after COVID-19 lockdown in an urban-industrial area of the Lisbon metropolitan area, Portugal. Urban Clim</w:t>
      </w:r>
      <w:r>
        <w:rPr>
          <w:color w:val="00B050"/>
        </w:rPr>
        <w:t>ate</w:t>
      </w:r>
      <w:r w:rsidRPr="004E009C">
        <w:rPr>
          <w:color w:val="00B050"/>
        </w:rPr>
        <w:t xml:space="preserve"> 49</w:t>
      </w:r>
      <w:r>
        <w:rPr>
          <w:color w:val="00B050"/>
        </w:rPr>
        <w:t xml:space="preserve">, </w:t>
      </w:r>
      <w:r w:rsidRPr="004E009C">
        <w:rPr>
          <w:color w:val="00B050"/>
        </w:rPr>
        <w:t>101446. https://doi.org/10.1016/j.uclim.2023.101446</w:t>
      </w:r>
    </w:p>
    <w:p w14:paraId="61173156" w14:textId="77777777" w:rsidR="004E009C" w:rsidRPr="004E009C" w:rsidRDefault="004E009C" w:rsidP="004E009C">
      <w:pPr>
        <w:rPr>
          <w:color w:val="00B050"/>
        </w:rPr>
      </w:pPr>
    </w:p>
    <w:p w14:paraId="51CC9DDD" w14:textId="77777777" w:rsidR="00A47BD4" w:rsidRDefault="00F953DD" w:rsidP="00602E93">
      <w:pPr>
        <w:jc w:val="both"/>
      </w:pPr>
      <w:r>
        <w:t xml:space="preserve">[Reviewer] </w:t>
      </w:r>
      <w:r w:rsidR="00A47BD4">
        <w:t>- Table 1. Write the concentration of sample Q46 with one decimal place. Why are PM2.5 concentrations given in ug m-3 and source contributions in ng m-3. Please provide all the concentrations in ug m-3.</w:t>
      </w:r>
    </w:p>
    <w:p w14:paraId="31D0F729" w14:textId="77777777" w:rsidR="00450D09" w:rsidRPr="00F953DD" w:rsidRDefault="00F953DD" w:rsidP="00602E93">
      <w:pPr>
        <w:jc w:val="both"/>
        <w:rPr>
          <w:color w:val="00B050"/>
        </w:rPr>
      </w:pPr>
      <w:r w:rsidRPr="00F953DD">
        <w:rPr>
          <w:color w:val="00B050"/>
        </w:rPr>
        <w:t xml:space="preserve">[Authors] </w:t>
      </w:r>
      <w:r>
        <w:rPr>
          <w:color w:val="00B050"/>
        </w:rPr>
        <w:t xml:space="preserve">The concentration of sample Q46 was corrected. </w:t>
      </w:r>
      <w:r w:rsidR="00450D09">
        <w:rPr>
          <w:color w:val="00B050"/>
        </w:rPr>
        <w:t xml:space="preserve">The initial idea was to provide the source contributions in ng m-3 because, for some sources, the contribution of specific chemical elements was very low and, in order to allow the reader to understand the different contributions, we decided to </w:t>
      </w:r>
      <w:r w:rsidR="00561042">
        <w:rPr>
          <w:color w:val="00B050"/>
        </w:rPr>
        <w:t>use</w:t>
      </w:r>
      <w:r w:rsidR="00450D09">
        <w:rPr>
          <w:color w:val="00B050"/>
        </w:rPr>
        <w:t xml:space="preserve"> in this unit. Either way, we followed the reviewer’s suggestion and provided now the concentrations in ug m-3.</w:t>
      </w:r>
    </w:p>
    <w:p w14:paraId="38A6AB7F" w14:textId="77777777" w:rsidR="00A47BD4" w:rsidRDefault="00F953DD" w:rsidP="00602E93">
      <w:pPr>
        <w:jc w:val="both"/>
      </w:pPr>
      <w:r>
        <w:t xml:space="preserve">[Reviewer] </w:t>
      </w:r>
      <w:r w:rsidR="00A47BD4">
        <w:t>- Section 2.4. More information on the MLR analysis should be provided, otherwise it is difficult to understand the results presented in Table 4. For example, the readers may not know the meaning of the β coefficients. See for instance Weber et al. (2018).</w:t>
      </w:r>
    </w:p>
    <w:p w14:paraId="6D0E0B8A" w14:textId="77777777" w:rsidR="00F953DD" w:rsidRDefault="00F953DD" w:rsidP="00602E93">
      <w:pPr>
        <w:jc w:val="both"/>
        <w:rPr>
          <w:color w:val="00B050"/>
        </w:rPr>
      </w:pPr>
      <w:r w:rsidRPr="00F953DD">
        <w:rPr>
          <w:color w:val="00B050"/>
        </w:rPr>
        <w:t xml:space="preserve">[Authors] </w:t>
      </w:r>
      <w:r w:rsidR="00561EB9">
        <w:rPr>
          <w:color w:val="00B050"/>
        </w:rPr>
        <w:t>Additional information about MLR analysis was added in the section “2.4 Statistical analysis”</w:t>
      </w:r>
      <w:r w:rsidR="00EB0973">
        <w:rPr>
          <w:color w:val="00B050"/>
        </w:rPr>
        <w:t xml:space="preserve"> to provide details about the MLP parameters</w:t>
      </w:r>
      <w:r w:rsidR="00561EB9">
        <w:rPr>
          <w:color w:val="00B050"/>
        </w:rPr>
        <w:t>, namely</w:t>
      </w:r>
      <w:r w:rsidR="00601F35">
        <w:rPr>
          <w:color w:val="00B050"/>
        </w:rPr>
        <w:t>:</w:t>
      </w:r>
    </w:p>
    <w:p w14:paraId="4EDD9642" w14:textId="77777777" w:rsidR="00561EB9" w:rsidRDefault="00561EB9" w:rsidP="00F953DD">
      <w:pPr>
        <w:rPr>
          <w:color w:val="00B050"/>
        </w:rPr>
      </w:pPr>
    </w:p>
    <w:p w14:paraId="25DA35D3" w14:textId="77777777" w:rsidR="00561EB9" w:rsidRPr="00561EB9" w:rsidRDefault="00561EB9" w:rsidP="00561EB9">
      <w:pPr>
        <w:spacing w:line="360" w:lineRule="auto"/>
        <w:jc w:val="both"/>
        <w:rPr>
          <w:rFonts w:ascii="Times New Roman" w:hAnsi="Times New Roman" w:cs="Times New Roman"/>
          <w:color w:val="00B050"/>
          <w:sz w:val="24"/>
        </w:rPr>
      </w:pPr>
      <w:r w:rsidRPr="00561EB9">
        <w:rPr>
          <w:rFonts w:ascii="Times New Roman" w:hAnsi="Times New Roman" w:cs="Times New Roman"/>
          <w:color w:val="00B050"/>
          <w:sz w:val="24"/>
        </w:rPr>
        <w:t>“For this, OP was assumed to be linearly linked to PM</w:t>
      </w:r>
      <w:r w:rsidRPr="00561EB9">
        <w:rPr>
          <w:rFonts w:ascii="Times New Roman" w:hAnsi="Times New Roman" w:cs="Times New Roman"/>
          <w:color w:val="00B050"/>
          <w:sz w:val="24"/>
          <w:vertAlign w:val="subscript"/>
        </w:rPr>
        <w:t xml:space="preserve">2.5 </w:t>
      </w:r>
      <w:r w:rsidRPr="00561EB9">
        <w:rPr>
          <w:rFonts w:ascii="Times New Roman" w:hAnsi="Times New Roman" w:cs="Times New Roman"/>
          <w:color w:val="00B050"/>
          <w:sz w:val="24"/>
        </w:rPr>
        <w:t xml:space="preserve">due to the different sources, according to the formula </w:t>
      </w:r>
      <w:r w:rsidRPr="00561EB9">
        <w:rPr>
          <w:rFonts w:ascii="Times New Roman" w:hAnsi="Times New Roman" w:cs="Times New Roman"/>
          <w:color w:val="00B050"/>
          <w:sz w:val="24"/>
        </w:rPr>
        <w:fldChar w:fldCharType="begin" w:fldLock="1"/>
      </w:r>
      <w:r w:rsidRPr="00561EB9">
        <w:rPr>
          <w:rFonts w:ascii="Times New Roman" w:hAnsi="Times New Roman" w:cs="Times New Roman"/>
          <w:color w:val="00B050"/>
          <w:sz w:val="24"/>
        </w:rPr>
        <w:instrText>ADDIN CSL_CITATION {"citationItems":[{"id":"ITEM-1","itemData":{"DOI":"10.5194/acp-18-9617-2018","ISSN":"16807324","abstract":"Inhaled aerosolized particulate matter (PM) induces cellular oxidative stress in vivo, leading to adverse health outcomes. The oxidative potential (OP) of PM appears to be a more relevant proxy of the health impact of the aerosol rather than the total mass concentration. However, the relative contributions of the aerosol sources to the OP are still poorly known. In order to better quantify the impact of different PM sources, we sampled aerosols in a French city for one year (2014, 115 samples). A coupled analysis with detailed chemical speciation (more than 100 species, including organic and carbonaceous compounds, ions, metals and aethalometer measurements) and two OP assays (ascorbic acid, AA, and dithiothreitiol, DTT) in a simulated lung fluid (SLF) were performed in these samples. We present in this study a statistical framework using a coupled approach with positive matrix factorization (PMF) and multiple linear regression to attribute a redox-activity to PM sources. Our results highlight the importance of the biomass burning and vehicular sources to explain the observed OP for both assays. In general, we see a different contribution of the sources when considering the OP AA, OP DTT or the mass of the PM10. Moreover, significant differences are observed between the DTT and AA tests which emphasized chemical specificities of the two tests and the need of a standardized approach for the future studies on epidemiology or toxicology of the PM.","author":[{"dropping-particle":"","family":"Weber","given":"Samuël","non-dropping-particle":"","parse-names":false,"suffix":""},{"dropping-particle":"","family":"Uzu","given":"Gaëlle","non-dropping-particle":"","parse-names":false,"suffix":""},{"dropping-particle":"","family":"Calas","given":"Aude","non-dropping-particle":"","parse-names":false,"suffix":""},{"dropping-particle":"","family":"Chevrier","given":"Florie","non-dropping-particle":"","parse-names":false,"suffix":""},{"dropping-particle":"","family":"Besombes","given":"Jean Luc","non-dropping-particle":"","parse-names":false,"suffix":""},{"dropping-particle":"","family":"Charron","given":"Aurélie","non-dropping-particle":"","parse-names":false,"suffix":""},{"dropping-particle":"","family":"Salameh","given":"Dalia","non-dropping-particle":"","parse-names":false,"suffix":""},{"dropping-particle":"","family":"Ježek","given":"Irena","non-dropping-particle":"","parse-names":false,"suffix":""},{"dropping-particle":"","family":"Moĉnik","given":"Griŝa","non-dropping-particle":"","parse-names":false,"suffix":""},{"dropping-particle":"","family":"Jaffrezo","given":"Jean Luc","non-dropping-particle":"","parse-names":false,"suffix":""}],"container-title":"Atmospheric Chemistry and Physics","id":"ITEM-1","issue":"13","issued":{"date-parts":[["2018","7","9"]]},"page":"9617-9629","title":"An apportionment method for the oxidative potential of atmospheric particulate matter sources: Application to a one-year study in Chamonix, France","type":"article-journal","volume":"18"},"uris":["http://www.mendeley.com/documents/?uuid=a3bd2931-72f7-392f-9159-39b1f1c81aa6"]}],"mendeley":{"formattedCitation":"(Weber et al. 2018)","plainTextFormattedCitation":"(Weber et al. 2018)"},"properties":{"noteIndex":0},"schema":"https://github.com/citation-style-language/schema/raw/master/csl-citation.json"}</w:instrText>
      </w:r>
      <w:r w:rsidRPr="00561EB9">
        <w:rPr>
          <w:rFonts w:ascii="Times New Roman" w:hAnsi="Times New Roman" w:cs="Times New Roman"/>
          <w:color w:val="00B050"/>
          <w:sz w:val="24"/>
        </w:rPr>
        <w:fldChar w:fldCharType="separate"/>
      </w:r>
      <w:r w:rsidRPr="00561EB9">
        <w:rPr>
          <w:rFonts w:ascii="Times New Roman" w:hAnsi="Times New Roman" w:cs="Times New Roman"/>
          <w:noProof/>
          <w:color w:val="00B050"/>
          <w:sz w:val="24"/>
        </w:rPr>
        <w:t>(Weber et al. 2018)</w:t>
      </w:r>
      <w:r w:rsidRPr="00561EB9">
        <w:rPr>
          <w:rFonts w:ascii="Times New Roman" w:hAnsi="Times New Roman" w:cs="Times New Roman"/>
          <w:color w:val="00B050"/>
          <w:sz w:val="24"/>
        </w:rPr>
        <w:fldChar w:fldCharType="end"/>
      </w:r>
      <w:r w:rsidRPr="00561EB9">
        <w:rPr>
          <w:rFonts w:ascii="Times New Roman" w:hAnsi="Times New Roman" w:cs="Times New Roman"/>
          <w:color w:val="00B050"/>
          <w:sz w:val="24"/>
        </w:rPr>
        <w:t>:</w:t>
      </w:r>
    </w:p>
    <w:p w14:paraId="3F4F9CF2" w14:textId="77777777" w:rsidR="00561EB9" w:rsidRPr="00561EB9" w:rsidRDefault="00BA41AD" w:rsidP="00561EB9">
      <w:pPr>
        <w:spacing w:line="360" w:lineRule="auto"/>
        <w:jc w:val="center"/>
        <w:rPr>
          <w:rFonts w:ascii="Times New Roman" w:eastAsiaTheme="minorEastAsia" w:hAnsi="Times New Roman" w:cs="Times New Roman"/>
          <w:color w:val="00B050"/>
          <w:sz w:val="24"/>
        </w:rPr>
      </w:pPr>
      <m:oMath>
        <m:sSubSup>
          <m:sSubSupPr>
            <m:ctrlPr>
              <w:rPr>
                <w:rFonts w:ascii="Cambria Math" w:hAnsi="Cambria Math" w:cs="Times New Roman"/>
                <w:i/>
                <w:iCs/>
                <w:color w:val="00B050"/>
                <w:sz w:val="24"/>
                <w:szCs w:val="18"/>
              </w:rPr>
            </m:ctrlPr>
          </m:sSubSupPr>
          <m:e>
            <m:r>
              <w:rPr>
                <w:rFonts w:ascii="Cambria Math" w:hAnsi="Cambria Math" w:cs="Times New Roman"/>
                <w:color w:val="00B050"/>
                <w:sz w:val="24"/>
              </w:rPr>
              <m:t>OP</m:t>
            </m:r>
          </m:e>
          <m:sub>
            <m:r>
              <m:rPr>
                <m:sty m:val="p"/>
              </m:rPr>
              <w:rPr>
                <w:rFonts w:ascii="Cambria Math" w:hAnsi="Cambria Math" w:cs="Times New Roman"/>
                <w:color w:val="00B050"/>
                <w:sz w:val="24"/>
              </w:rPr>
              <m:t>V</m:t>
            </m:r>
          </m:sub>
          <m:sup>
            <m:r>
              <w:rPr>
                <w:rFonts w:ascii="Cambria Math" w:hAnsi="Cambria Math" w:cs="Times New Roman"/>
                <w:color w:val="00B050"/>
                <w:sz w:val="24"/>
              </w:rPr>
              <m:t>DTT</m:t>
            </m:r>
          </m:sup>
        </m:sSubSup>
      </m:oMath>
      <w:r w:rsidR="00561EB9" w:rsidRPr="00561EB9">
        <w:rPr>
          <w:rFonts w:ascii="Times New Roman" w:eastAsiaTheme="minorEastAsia" w:hAnsi="Times New Roman" w:cs="Times New Roman"/>
          <w:iCs/>
          <w:color w:val="00B050"/>
          <w:sz w:val="24"/>
          <w:szCs w:val="18"/>
        </w:rPr>
        <w:t xml:space="preserve"> </w:t>
      </w:r>
      <w:r w:rsidR="00561EB9" w:rsidRPr="00561EB9">
        <w:rPr>
          <w:rFonts w:ascii="Times New Roman" w:hAnsi="Times New Roman" w:cs="Times New Roman"/>
          <w:color w:val="00B050"/>
          <w:sz w:val="24"/>
        </w:rPr>
        <w:t xml:space="preserve">= </w:t>
      </w:r>
      <m:oMath>
        <m:sSub>
          <m:sSubPr>
            <m:ctrlPr>
              <w:rPr>
                <w:rFonts w:ascii="Cambria Math" w:hAnsi="Cambria Math" w:cs="Times New Roman"/>
                <w:i/>
                <w:color w:val="00B050"/>
                <w:sz w:val="24"/>
              </w:rPr>
            </m:ctrlPr>
          </m:sSubPr>
          <m:e>
            <m:r>
              <w:rPr>
                <w:rFonts w:ascii="Cambria Math" w:hAnsi="Cambria Math" w:cs="Times New Roman"/>
                <w:color w:val="00B050"/>
                <w:sz w:val="24"/>
              </w:rPr>
              <m:t>m</m:t>
            </m:r>
          </m:e>
          <m:sub>
            <m:r>
              <w:rPr>
                <w:rFonts w:ascii="Cambria Math" w:hAnsi="Cambria Math" w:cs="Times New Roman"/>
                <w:color w:val="00B050"/>
                <w:sz w:val="24"/>
              </w:rPr>
              <m:t>PM</m:t>
            </m:r>
          </m:sub>
        </m:sSub>
        <m:r>
          <w:rPr>
            <w:rFonts w:ascii="Cambria Math" w:hAnsi="Cambria Math" w:cs="Times New Roman"/>
            <w:color w:val="00B050"/>
            <w:sz w:val="24"/>
          </w:rPr>
          <m:t>×β+ε</m:t>
        </m:r>
      </m:oMath>
    </w:p>
    <w:p w14:paraId="6C44B9B7" w14:textId="5478A6FB" w:rsidR="00561EB9" w:rsidRDefault="00561EB9" w:rsidP="00EB0973">
      <w:pPr>
        <w:spacing w:line="360" w:lineRule="auto"/>
        <w:jc w:val="both"/>
        <w:rPr>
          <w:rFonts w:ascii="Times New Roman" w:eastAsiaTheme="minorEastAsia" w:hAnsi="Times New Roman" w:cs="Times New Roman"/>
          <w:iCs/>
          <w:color w:val="00B050"/>
          <w:sz w:val="24"/>
          <w:szCs w:val="18"/>
        </w:rPr>
      </w:pPr>
      <w:r w:rsidRPr="00561EB9">
        <w:rPr>
          <w:rFonts w:ascii="Times New Roman" w:hAnsi="Times New Roman" w:cs="Times New Roman"/>
          <w:color w:val="00B050"/>
          <w:sz w:val="24"/>
        </w:rPr>
        <w:t xml:space="preserve">Where </w:t>
      </w:r>
      <m:oMath>
        <m:sSubSup>
          <m:sSubSupPr>
            <m:ctrlPr>
              <w:rPr>
                <w:rFonts w:ascii="Cambria Math" w:hAnsi="Cambria Math" w:cs="Times New Roman"/>
                <w:i/>
                <w:iCs/>
                <w:color w:val="00B050"/>
                <w:sz w:val="24"/>
                <w:szCs w:val="18"/>
              </w:rPr>
            </m:ctrlPr>
          </m:sSubSupPr>
          <m:e>
            <m:r>
              <w:rPr>
                <w:rFonts w:ascii="Cambria Math" w:hAnsi="Cambria Math" w:cs="Times New Roman"/>
                <w:color w:val="00B050"/>
                <w:sz w:val="24"/>
              </w:rPr>
              <m:t>OP</m:t>
            </m:r>
          </m:e>
          <m:sub>
            <m:r>
              <m:rPr>
                <m:sty m:val="p"/>
              </m:rPr>
              <w:rPr>
                <w:rFonts w:ascii="Cambria Math" w:hAnsi="Cambria Math" w:cs="Times New Roman"/>
                <w:color w:val="00B050"/>
                <w:sz w:val="24"/>
              </w:rPr>
              <m:t>V</m:t>
            </m:r>
          </m:sub>
          <m:sup>
            <m:r>
              <w:rPr>
                <w:rFonts w:ascii="Cambria Math" w:hAnsi="Cambria Math" w:cs="Times New Roman"/>
                <w:color w:val="00B050"/>
                <w:sz w:val="24"/>
              </w:rPr>
              <m:t>DTT</m:t>
            </m:r>
          </m:sup>
        </m:sSubSup>
      </m:oMath>
      <w:r w:rsidRPr="00561EB9">
        <w:rPr>
          <w:rFonts w:ascii="Times New Roman" w:eastAsiaTheme="minorEastAsia" w:hAnsi="Times New Roman" w:cs="Times New Roman"/>
          <w:iCs/>
          <w:color w:val="00B050"/>
          <w:sz w:val="24"/>
          <w:szCs w:val="18"/>
        </w:rPr>
        <w:t xml:space="preserve"> is the dependent variable, ie, a matrix (</w:t>
      </w:r>
      <m:oMath>
        <m:r>
          <w:rPr>
            <w:rFonts w:ascii="Cambria Math" w:eastAsiaTheme="minorEastAsia" w:hAnsi="Cambria Math" w:cs="Times New Roman"/>
            <w:color w:val="00B050"/>
            <w:sz w:val="24"/>
            <w:szCs w:val="18"/>
          </w:rPr>
          <m:t>n</m:t>
        </m:r>
        <m:r>
          <w:rPr>
            <w:rFonts w:ascii="Cambria Math" w:hAnsi="Cambria Math" w:cs="Times New Roman"/>
            <w:color w:val="00B050"/>
            <w:sz w:val="24"/>
          </w:rPr>
          <m:t>×1</m:t>
        </m:r>
      </m:oMath>
      <w:r w:rsidRPr="00561EB9">
        <w:rPr>
          <w:rFonts w:ascii="Times New Roman" w:eastAsiaTheme="minorEastAsia" w:hAnsi="Times New Roman" w:cs="Times New Roman"/>
          <w:iCs/>
          <w:color w:val="00B050"/>
          <w:sz w:val="24"/>
          <w:szCs w:val="18"/>
        </w:rPr>
        <w:t xml:space="preserve">) in </w:t>
      </w:r>
      <w:r w:rsidR="00E60C0D">
        <w:rPr>
          <w:rFonts w:ascii="Times New Roman" w:hAnsi="Times New Roman" w:cs="Times New Roman"/>
          <w:color w:val="00B050"/>
          <w:sz w:val="24"/>
        </w:rPr>
        <w:t>n</w:t>
      </w:r>
      <w:r w:rsidRPr="00561EB9">
        <w:rPr>
          <w:rFonts w:ascii="Times New Roman" w:hAnsi="Times New Roman" w:cs="Times New Roman"/>
          <w:color w:val="00B050"/>
          <w:sz w:val="24"/>
        </w:rPr>
        <w:t>mol min</w:t>
      </w:r>
      <w:r w:rsidRPr="00561EB9">
        <w:rPr>
          <w:rFonts w:ascii="Times New Roman" w:hAnsi="Times New Roman" w:cs="Times New Roman"/>
          <w:color w:val="00B050"/>
          <w:sz w:val="24"/>
          <w:vertAlign w:val="superscript"/>
        </w:rPr>
        <w:t>-1</w:t>
      </w:r>
      <w:r w:rsidRPr="00561EB9">
        <w:rPr>
          <w:rFonts w:ascii="Times New Roman" w:hAnsi="Times New Roman" w:cs="Times New Roman"/>
          <w:color w:val="00B050"/>
          <w:sz w:val="24"/>
        </w:rPr>
        <w:t xml:space="preserve"> m</w:t>
      </w:r>
      <w:r w:rsidRPr="00561EB9">
        <w:rPr>
          <w:rFonts w:ascii="Times New Roman" w:hAnsi="Times New Roman" w:cs="Times New Roman"/>
          <w:color w:val="00B050"/>
          <w:sz w:val="24"/>
          <w:vertAlign w:val="superscript"/>
        </w:rPr>
        <w:t>-3</w:t>
      </w:r>
      <w:r w:rsidRPr="00561EB9">
        <w:rPr>
          <w:rFonts w:ascii="Times New Roman" w:hAnsi="Times New Roman" w:cs="Times New Roman"/>
          <w:color w:val="00B050"/>
          <w:sz w:val="24"/>
        </w:rPr>
        <w:t xml:space="preserve">, </w:t>
      </w:r>
      <m:oMath>
        <m:sSub>
          <m:sSubPr>
            <m:ctrlPr>
              <w:rPr>
                <w:rFonts w:ascii="Cambria Math" w:hAnsi="Cambria Math" w:cs="Times New Roman"/>
                <w:i/>
                <w:color w:val="00B050"/>
                <w:sz w:val="24"/>
              </w:rPr>
            </m:ctrlPr>
          </m:sSubPr>
          <m:e>
            <m:r>
              <w:rPr>
                <w:rFonts w:ascii="Cambria Math" w:hAnsi="Cambria Math" w:cs="Times New Roman"/>
                <w:color w:val="00B050"/>
                <w:sz w:val="24"/>
              </w:rPr>
              <m:t>m</m:t>
            </m:r>
          </m:e>
          <m:sub>
            <m:r>
              <w:rPr>
                <w:rFonts w:ascii="Cambria Math" w:hAnsi="Cambria Math" w:cs="Times New Roman"/>
                <w:color w:val="00B050"/>
                <w:sz w:val="24"/>
              </w:rPr>
              <m:t>PM</m:t>
            </m:r>
          </m:sub>
        </m:sSub>
      </m:oMath>
      <w:r w:rsidRPr="00561EB9">
        <w:rPr>
          <w:rFonts w:ascii="Times New Roman" w:eastAsiaTheme="minorEastAsia" w:hAnsi="Times New Roman" w:cs="Times New Roman"/>
          <w:color w:val="00B050"/>
          <w:sz w:val="24"/>
        </w:rPr>
        <w:t xml:space="preserve"> is the </w:t>
      </w:r>
      <w:r w:rsidRPr="00561EB9">
        <w:rPr>
          <w:rFonts w:ascii="Times New Roman" w:eastAsiaTheme="minorEastAsia" w:hAnsi="Times New Roman" w:cs="Times New Roman"/>
          <w:iCs/>
          <w:color w:val="00B050"/>
          <w:sz w:val="24"/>
          <w:szCs w:val="18"/>
        </w:rPr>
        <w:t>(</w:t>
      </w:r>
      <m:oMath>
        <m:r>
          <w:rPr>
            <w:rFonts w:ascii="Cambria Math" w:eastAsiaTheme="minorEastAsia" w:hAnsi="Cambria Math" w:cs="Times New Roman"/>
            <w:color w:val="00B050"/>
            <w:sz w:val="24"/>
            <w:szCs w:val="18"/>
          </w:rPr>
          <m:t>n</m:t>
        </m:r>
        <m:r>
          <w:rPr>
            <w:rFonts w:ascii="Cambria Math" w:hAnsi="Cambria Math" w:cs="Times New Roman"/>
            <w:color w:val="00B050"/>
            <w:sz w:val="24"/>
          </w:rPr>
          <m:t>×p</m:t>
        </m:r>
      </m:oMath>
      <w:r w:rsidRPr="00561EB9">
        <w:rPr>
          <w:rFonts w:ascii="Times New Roman" w:eastAsiaTheme="minorEastAsia" w:hAnsi="Times New Roman" w:cs="Times New Roman"/>
          <w:iCs/>
          <w:color w:val="00B050"/>
          <w:sz w:val="24"/>
          <w:szCs w:val="18"/>
        </w:rPr>
        <w:t xml:space="preserve">) matrix with the PM contributions attributed to each source by the PMF study in </w:t>
      </w:r>
      <w:r w:rsidRPr="00561EB9">
        <w:rPr>
          <w:rFonts w:ascii="Times New Roman" w:hAnsi="Times New Roman" w:cs="Times New Roman"/>
          <w:color w:val="00B050"/>
          <w:sz w:val="24"/>
        </w:rPr>
        <w:t>µg m</w:t>
      </w:r>
      <w:r w:rsidRPr="00561EB9">
        <w:rPr>
          <w:rFonts w:ascii="Times New Roman" w:hAnsi="Times New Roman" w:cs="Times New Roman"/>
          <w:color w:val="00B050"/>
          <w:sz w:val="24"/>
          <w:vertAlign w:val="superscript"/>
        </w:rPr>
        <w:t>-3</w:t>
      </w:r>
      <w:r w:rsidRPr="00561EB9">
        <w:rPr>
          <w:rFonts w:ascii="Times New Roman" w:hAnsi="Times New Roman" w:cs="Times New Roman"/>
          <w:color w:val="00B050"/>
          <w:sz w:val="24"/>
        </w:rPr>
        <w:t xml:space="preserve">, </w:t>
      </w:r>
      <m:oMath>
        <m:r>
          <w:rPr>
            <w:rFonts w:ascii="Cambria Math" w:hAnsi="Cambria Math" w:cs="Times New Roman"/>
            <w:color w:val="00B050"/>
            <w:sz w:val="24"/>
          </w:rPr>
          <m:t>ε</m:t>
        </m:r>
      </m:oMath>
      <w:r w:rsidRPr="00561EB9">
        <w:rPr>
          <w:rFonts w:ascii="Times New Roman" w:eastAsiaTheme="minorEastAsia" w:hAnsi="Times New Roman" w:cs="Times New Roman"/>
          <w:color w:val="00B050"/>
          <w:sz w:val="24"/>
        </w:rPr>
        <w:t xml:space="preserve"> is </w:t>
      </w:r>
      <w:r w:rsidRPr="00561EB9">
        <w:rPr>
          <w:rFonts w:ascii="Times New Roman" w:eastAsiaTheme="minorEastAsia" w:hAnsi="Times New Roman" w:cs="Times New Roman"/>
          <w:iCs/>
          <w:color w:val="00B050"/>
          <w:sz w:val="24"/>
          <w:szCs w:val="18"/>
        </w:rPr>
        <w:t>(</w:t>
      </w:r>
      <m:oMath>
        <m:r>
          <w:rPr>
            <w:rFonts w:ascii="Cambria Math" w:eastAsiaTheme="minorEastAsia" w:hAnsi="Cambria Math" w:cs="Times New Roman"/>
            <w:color w:val="00B050"/>
            <w:sz w:val="24"/>
            <w:szCs w:val="18"/>
          </w:rPr>
          <m:t>n</m:t>
        </m:r>
        <m:r>
          <w:rPr>
            <w:rFonts w:ascii="Cambria Math" w:hAnsi="Cambria Math" w:cs="Times New Roman"/>
            <w:color w:val="00B050"/>
            <w:sz w:val="24"/>
          </w:rPr>
          <m:t>×1</m:t>
        </m:r>
      </m:oMath>
      <w:r w:rsidRPr="00561EB9">
        <w:rPr>
          <w:rFonts w:ascii="Times New Roman" w:eastAsiaTheme="minorEastAsia" w:hAnsi="Times New Roman" w:cs="Times New Roman"/>
          <w:iCs/>
          <w:color w:val="00B050"/>
          <w:sz w:val="24"/>
          <w:szCs w:val="18"/>
        </w:rPr>
        <w:t xml:space="preserve">) uncertainty matrix in </w:t>
      </w:r>
      <w:r w:rsidR="00E60C0D">
        <w:rPr>
          <w:rFonts w:ascii="Times New Roman" w:hAnsi="Times New Roman" w:cs="Times New Roman"/>
          <w:color w:val="00B050"/>
          <w:sz w:val="24"/>
        </w:rPr>
        <w:t>n</w:t>
      </w:r>
      <w:r w:rsidRPr="00561EB9">
        <w:rPr>
          <w:rFonts w:ascii="Times New Roman" w:hAnsi="Times New Roman" w:cs="Times New Roman"/>
          <w:color w:val="00B050"/>
          <w:sz w:val="24"/>
        </w:rPr>
        <w:t>mol min</w:t>
      </w:r>
      <w:r w:rsidRPr="00561EB9">
        <w:rPr>
          <w:rFonts w:ascii="Times New Roman" w:hAnsi="Times New Roman" w:cs="Times New Roman"/>
          <w:color w:val="00B050"/>
          <w:sz w:val="24"/>
          <w:vertAlign w:val="superscript"/>
        </w:rPr>
        <w:t>-1</w:t>
      </w:r>
      <w:r w:rsidRPr="00561EB9">
        <w:rPr>
          <w:rFonts w:ascii="Times New Roman" w:hAnsi="Times New Roman" w:cs="Times New Roman"/>
          <w:color w:val="00B050"/>
          <w:sz w:val="24"/>
        </w:rPr>
        <w:t xml:space="preserve"> m</w:t>
      </w:r>
      <w:r w:rsidRPr="00561EB9">
        <w:rPr>
          <w:rFonts w:ascii="Times New Roman" w:hAnsi="Times New Roman" w:cs="Times New Roman"/>
          <w:color w:val="00B050"/>
          <w:sz w:val="24"/>
          <w:vertAlign w:val="superscript"/>
        </w:rPr>
        <w:t>-3</w:t>
      </w:r>
      <w:r w:rsidRPr="00561EB9">
        <w:rPr>
          <w:rFonts w:ascii="Times New Roman" w:hAnsi="Times New Roman" w:cs="Times New Roman"/>
          <w:color w:val="00B050"/>
          <w:sz w:val="24"/>
        </w:rPr>
        <w:t xml:space="preserve">, </w:t>
      </w:r>
      <m:oMath>
        <m:r>
          <w:rPr>
            <w:rFonts w:ascii="Cambria Math" w:eastAsiaTheme="minorEastAsia" w:hAnsi="Cambria Math" w:cs="Times New Roman"/>
            <w:color w:val="00B050"/>
            <w:sz w:val="24"/>
            <w:szCs w:val="18"/>
          </w:rPr>
          <m:t>n</m:t>
        </m:r>
      </m:oMath>
      <w:r w:rsidRPr="00561EB9">
        <w:rPr>
          <w:rFonts w:ascii="Times New Roman" w:hAnsi="Times New Roman" w:cs="Times New Roman"/>
          <w:color w:val="00B050"/>
          <w:sz w:val="24"/>
        </w:rPr>
        <w:t xml:space="preserve"> is the number of samples and </w:t>
      </w:r>
      <m:oMath>
        <m:r>
          <w:rPr>
            <w:rFonts w:ascii="Cambria Math" w:hAnsi="Cambria Math" w:cs="Times New Roman"/>
            <w:color w:val="00B050"/>
            <w:sz w:val="24"/>
          </w:rPr>
          <m:t>p</m:t>
        </m:r>
      </m:oMath>
      <w:r w:rsidRPr="00561EB9">
        <w:rPr>
          <w:rFonts w:ascii="Times New Roman" w:eastAsiaTheme="minorEastAsia" w:hAnsi="Times New Roman" w:cs="Times New Roman"/>
          <w:color w:val="00B050"/>
          <w:sz w:val="24"/>
        </w:rPr>
        <w:t xml:space="preserve"> is the number of sources. The estimator </w:t>
      </w:r>
      <m:oMath>
        <m:r>
          <w:rPr>
            <w:rFonts w:ascii="Cambria Math" w:hAnsi="Cambria Math" w:cs="Times New Roman"/>
            <w:color w:val="00B050"/>
            <w:sz w:val="24"/>
          </w:rPr>
          <m:t>β</m:t>
        </m:r>
      </m:oMath>
      <w:r w:rsidRPr="00561EB9">
        <w:rPr>
          <w:rFonts w:ascii="Times New Roman" w:eastAsiaTheme="minorEastAsia" w:hAnsi="Times New Roman" w:cs="Times New Roman"/>
          <w:color w:val="00B050"/>
          <w:sz w:val="24"/>
        </w:rPr>
        <w:t xml:space="preserve"> matrix </w:t>
      </w:r>
      <w:r w:rsidRPr="00561EB9">
        <w:rPr>
          <w:rFonts w:ascii="Times New Roman" w:eastAsiaTheme="minorEastAsia" w:hAnsi="Times New Roman" w:cs="Times New Roman"/>
          <w:iCs/>
          <w:color w:val="00B050"/>
          <w:sz w:val="24"/>
          <w:szCs w:val="18"/>
        </w:rPr>
        <w:t>(</w:t>
      </w:r>
      <m:oMath>
        <m:r>
          <w:rPr>
            <w:rFonts w:ascii="Cambria Math" w:hAnsi="Cambria Math" w:cs="Times New Roman"/>
            <w:color w:val="00B050"/>
            <w:sz w:val="24"/>
          </w:rPr>
          <m:t>p×1</m:t>
        </m:r>
      </m:oMath>
      <w:r w:rsidRPr="00561EB9">
        <w:rPr>
          <w:rFonts w:ascii="Times New Roman" w:eastAsiaTheme="minorEastAsia" w:hAnsi="Times New Roman" w:cs="Times New Roman"/>
          <w:iCs/>
          <w:color w:val="00B050"/>
          <w:sz w:val="24"/>
          <w:szCs w:val="18"/>
        </w:rPr>
        <w:t xml:space="preserve">) represents the intrinsic OP of the sources (i.e., the OP per mass unit of PM attributed to a given source, expressed in </w:t>
      </w:r>
      <w:r w:rsidR="00E60C0D">
        <w:rPr>
          <w:rFonts w:ascii="Times New Roman" w:hAnsi="Times New Roman" w:cs="Times New Roman"/>
          <w:color w:val="00B050"/>
          <w:sz w:val="24"/>
        </w:rPr>
        <w:t>n</w:t>
      </w:r>
      <w:r w:rsidR="00E60C0D" w:rsidRPr="00561EB9">
        <w:rPr>
          <w:rFonts w:ascii="Times New Roman" w:hAnsi="Times New Roman" w:cs="Times New Roman"/>
          <w:color w:val="00B050"/>
          <w:sz w:val="24"/>
        </w:rPr>
        <w:t xml:space="preserve">mol </w:t>
      </w:r>
      <w:r w:rsidRPr="00561EB9">
        <w:rPr>
          <w:rFonts w:ascii="Times New Roman" w:hAnsi="Times New Roman" w:cs="Times New Roman"/>
          <w:color w:val="00B050"/>
          <w:sz w:val="24"/>
        </w:rPr>
        <w:t>min</w:t>
      </w:r>
      <w:r w:rsidRPr="00561EB9">
        <w:rPr>
          <w:rFonts w:ascii="Times New Roman" w:hAnsi="Times New Roman" w:cs="Times New Roman"/>
          <w:color w:val="00B050"/>
          <w:sz w:val="24"/>
          <w:vertAlign w:val="superscript"/>
        </w:rPr>
        <w:t>-1</w:t>
      </w:r>
      <w:r w:rsidRPr="00561EB9">
        <w:rPr>
          <w:rFonts w:ascii="Times New Roman" w:hAnsi="Times New Roman" w:cs="Times New Roman"/>
          <w:color w:val="00B050"/>
          <w:sz w:val="24"/>
        </w:rPr>
        <w:t xml:space="preserve"> µg</w:t>
      </w:r>
      <w:r w:rsidRPr="00561EB9">
        <w:rPr>
          <w:rFonts w:ascii="Times New Roman" w:hAnsi="Times New Roman" w:cs="Times New Roman"/>
          <w:color w:val="00B050"/>
          <w:sz w:val="24"/>
          <w:vertAlign w:val="superscript"/>
        </w:rPr>
        <w:t>-1</w:t>
      </w:r>
      <w:r w:rsidRPr="00561EB9">
        <w:rPr>
          <w:rFonts w:ascii="Times New Roman" w:eastAsiaTheme="minorEastAsia" w:hAnsi="Times New Roman" w:cs="Times New Roman"/>
          <w:iCs/>
          <w:color w:val="00B050"/>
          <w:sz w:val="24"/>
          <w:szCs w:val="18"/>
        </w:rPr>
        <w:t xml:space="preserve">) and the intercept, expressed in </w:t>
      </w:r>
      <w:r w:rsidR="00E60C0D">
        <w:rPr>
          <w:rFonts w:ascii="Times New Roman" w:hAnsi="Times New Roman" w:cs="Times New Roman"/>
          <w:color w:val="00B050"/>
          <w:sz w:val="24"/>
        </w:rPr>
        <w:t>n</w:t>
      </w:r>
      <w:r w:rsidR="00E60C0D" w:rsidRPr="00561EB9">
        <w:rPr>
          <w:rFonts w:ascii="Times New Roman" w:hAnsi="Times New Roman" w:cs="Times New Roman"/>
          <w:color w:val="00B050"/>
          <w:sz w:val="24"/>
        </w:rPr>
        <w:t xml:space="preserve">mol </w:t>
      </w:r>
      <w:r w:rsidRPr="00561EB9">
        <w:rPr>
          <w:rFonts w:ascii="Times New Roman" w:hAnsi="Times New Roman" w:cs="Times New Roman"/>
          <w:color w:val="00B050"/>
          <w:sz w:val="24"/>
        </w:rPr>
        <w:t>min</w:t>
      </w:r>
      <w:r w:rsidRPr="00561EB9">
        <w:rPr>
          <w:rFonts w:ascii="Times New Roman" w:hAnsi="Times New Roman" w:cs="Times New Roman"/>
          <w:color w:val="00B050"/>
          <w:sz w:val="24"/>
          <w:vertAlign w:val="superscript"/>
        </w:rPr>
        <w:t>-1</w:t>
      </w:r>
      <w:r w:rsidRPr="00561EB9">
        <w:rPr>
          <w:rFonts w:ascii="Times New Roman" w:hAnsi="Times New Roman" w:cs="Times New Roman"/>
          <w:color w:val="00B050"/>
          <w:sz w:val="24"/>
        </w:rPr>
        <w:t xml:space="preserve"> m</w:t>
      </w:r>
      <w:r w:rsidRPr="00561EB9">
        <w:rPr>
          <w:rFonts w:ascii="Times New Roman" w:hAnsi="Times New Roman" w:cs="Times New Roman"/>
          <w:color w:val="00B050"/>
          <w:sz w:val="24"/>
          <w:vertAlign w:val="superscript"/>
        </w:rPr>
        <w:t>-3</w:t>
      </w:r>
      <w:r w:rsidRPr="00561EB9">
        <w:rPr>
          <w:rFonts w:ascii="Times New Roman" w:eastAsiaTheme="minorEastAsia" w:hAnsi="Times New Roman" w:cs="Times New Roman"/>
          <w:iCs/>
          <w:color w:val="00B050"/>
          <w:sz w:val="24"/>
          <w:szCs w:val="18"/>
        </w:rPr>
        <w:t>.”</w:t>
      </w:r>
    </w:p>
    <w:p w14:paraId="33AABAD5" w14:textId="70435902" w:rsidR="00E60C0D" w:rsidRPr="00EB0973" w:rsidRDefault="00E60C0D" w:rsidP="00EB0973">
      <w:pPr>
        <w:spacing w:line="360" w:lineRule="auto"/>
        <w:jc w:val="both"/>
        <w:rPr>
          <w:rFonts w:ascii="Times New Roman" w:hAnsi="Times New Roman" w:cs="Times New Roman"/>
          <w:color w:val="00B050"/>
          <w:sz w:val="24"/>
        </w:rPr>
      </w:pPr>
      <w:r>
        <w:rPr>
          <w:rFonts w:ascii="Times New Roman" w:hAnsi="Times New Roman" w:cs="Times New Roman"/>
          <w:color w:val="00B050"/>
          <w:sz w:val="24"/>
        </w:rPr>
        <w:t>(Page 7, lines 149 – 157)</w:t>
      </w:r>
    </w:p>
    <w:p w14:paraId="23959E77" w14:textId="77777777" w:rsidR="00F953DD" w:rsidRDefault="00F953DD" w:rsidP="00A47BD4"/>
    <w:p w14:paraId="3DECEDCF" w14:textId="77777777" w:rsidR="00A47BD4" w:rsidRPr="00602E93" w:rsidRDefault="00F953DD" w:rsidP="00602E93">
      <w:pPr>
        <w:jc w:val="both"/>
        <w:rPr>
          <w:rFonts w:cstheme="minorHAnsi"/>
        </w:rPr>
      </w:pPr>
      <w:r w:rsidRPr="00602E93">
        <w:rPr>
          <w:rFonts w:cstheme="minorHAnsi"/>
        </w:rPr>
        <w:t xml:space="preserve">[Reviewer] </w:t>
      </w:r>
      <w:r w:rsidR="00A47BD4" w:rsidRPr="00602E93">
        <w:rPr>
          <w:rFonts w:cstheme="minorHAnsi"/>
        </w:rPr>
        <w:t>- Figure 1. Any comments on the results shown in Fig. 1? If the results presented in this figure are not going to be interpreted, then I suggest to remove the figure.</w:t>
      </w:r>
    </w:p>
    <w:p w14:paraId="456BE8FA" w14:textId="49DA2212" w:rsidR="00F953DD" w:rsidRPr="00602E93" w:rsidRDefault="00F953DD" w:rsidP="00602E93">
      <w:pPr>
        <w:jc w:val="both"/>
        <w:rPr>
          <w:rFonts w:cstheme="minorHAnsi"/>
          <w:color w:val="00B050"/>
        </w:rPr>
      </w:pPr>
      <w:r w:rsidRPr="00602E93">
        <w:rPr>
          <w:rFonts w:cstheme="minorHAnsi"/>
          <w:color w:val="00B050"/>
        </w:rPr>
        <w:t xml:space="preserve">[Authors] </w:t>
      </w:r>
      <w:r w:rsidR="00EB0973" w:rsidRPr="00602E93">
        <w:rPr>
          <w:rFonts w:cstheme="minorHAnsi"/>
          <w:color w:val="00B050"/>
        </w:rPr>
        <w:t xml:space="preserve">We would like to keep Figure 1 to provide an overview of the great variability of the </w:t>
      </w:r>
      <m:oMath>
        <m:sSubSup>
          <m:sSubSupPr>
            <m:ctrlPr>
              <w:rPr>
                <w:rFonts w:ascii="Cambria Math" w:hAnsi="Cambria Math" w:cstheme="minorHAnsi"/>
                <w:color w:val="00B050"/>
              </w:rPr>
            </m:ctrlPr>
          </m:sSubSupPr>
          <m:e>
            <m:r>
              <w:rPr>
                <w:rFonts w:ascii="Cambria Math" w:hAnsi="Cambria Math" w:cstheme="minorHAnsi"/>
                <w:color w:val="00B050"/>
              </w:rPr>
              <m:t>OP</m:t>
            </m:r>
          </m:e>
          <m:sub>
            <m:r>
              <w:rPr>
                <w:rFonts w:ascii="Cambria Math" w:hAnsi="Cambria Math" w:cstheme="minorHAnsi"/>
                <w:color w:val="00B050"/>
              </w:rPr>
              <m:t>M</m:t>
            </m:r>
          </m:sub>
          <m:sup>
            <m:r>
              <w:rPr>
                <w:rFonts w:ascii="Cambria Math" w:hAnsi="Cambria Math" w:cstheme="minorHAnsi"/>
                <w:color w:val="00B050"/>
              </w:rPr>
              <m:t>DTT</m:t>
            </m:r>
          </m:sup>
        </m:sSubSup>
      </m:oMath>
      <w:r w:rsidR="00EB0973" w:rsidRPr="00602E93">
        <w:rPr>
          <w:rFonts w:eastAsiaTheme="minorEastAsia" w:cstheme="minorHAnsi"/>
          <w:color w:val="00B050"/>
        </w:rPr>
        <w:t xml:space="preserve">results from the selected samples (as described in the “materials and methods” section, </w:t>
      </w:r>
      <w:r w:rsidR="00EB0973" w:rsidRPr="00602E93">
        <w:rPr>
          <w:rFonts w:cstheme="minorHAnsi"/>
          <w:color w:val="00B050"/>
        </w:rPr>
        <w:t>thirty samples were selected considering the highest load for each source, both in mass and %) and their PM2.5 concentration. To highlight this fact to the reader, the following sentence</w:t>
      </w:r>
      <w:r w:rsidR="00B1750A" w:rsidRPr="00602E93">
        <w:rPr>
          <w:rFonts w:cstheme="minorHAnsi"/>
          <w:color w:val="00B050"/>
        </w:rPr>
        <w:t>s were</w:t>
      </w:r>
      <w:r w:rsidR="00EB0973" w:rsidRPr="00602E93">
        <w:rPr>
          <w:rFonts w:cstheme="minorHAnsi"/>
          <w:color w:val="00B050"/>
        </w:rPr>
        <w:t xml:space="preserve"> added:</w:t>
      </w:r>
    </w:p>
    <w:p w14:paraId="642CE3DF" w14:textId="77777777" w:rsidR="00B1750A" w:rsidRPr="00602E93" w:rsidRDefault="00766AF9" w:rsidP="00602E93">
      <w:pPr>
        <w:jc w:val="both"/>
        <w:rPr>
          <w:rFonts w:cstheme="minorHAnsi"/>
          <w:i/>
          <w:color w:val="00B050"/>
        </w:rPr>
      </w:pPr>
      <w:bookmarkStart w:id="0" w:name="_Hlk151994075"/>
      <w:r w:rsidRPr="00602E93">
        <w:rPr>
          <w:rFonts w:cstheme="minorHAnsi"/>
          <w:color w:val="00B050"/>
        </w:rPr>
        <w:t>“</w:t>
      </w:r>
      <w:r w:rsidR="00EB0973" w:rsidRPr="00602E93">
        <w:rPr>
          <w:rFonts w:cstheme="minorHAnsi"/>
          <w:color w:val="00B050"/>
        </w:rPr>
        <w:t xml:space="preserve">Figure 1 also highlights the great variability of </w:t>
      </w:r>
      <m:oMath>
        <m:sSubSup>
          <m:sSubSupPr>
            <m:ctrlPr>
              <w:rPr>
                <w:rFonts w:ascii="Cambria Math" w:hAnsi="Cambria Math" w:cstheme="minorHAnsi"/>
                <w:color w:val="00B050"/>
              </w:rPr>
            </m:ctrlPr>
          </m:sSubSupPr>
          <m:e>
            <m:r>
              <w:rPr>
                <w:rFonts w:ascii="Cambria Math" w:hAnsi="Cambria Math" w:cstheme="minorHAnsi"/>
                <w:color w:val="00B050"/>
              </w:rPr>
              <m:t>OP</m:t>
            </m:r>
          </m:e>
          <m:sub>
            <m:r>
              <w:rPr>
                <w:rFonts w:ascii="Cambria Math" w:hAnsi="Cambria Math" w:cstheme="minorHAnsi"/>
                <w:color w:val="00B050"/>
              </w:rPr>
              <m:t>M</m:t>
            </m:r>
          </m:sub>
          <m:sup>
            <m:r>
              <w:rPr>
                <w:rFonts w:ascii="Cambria Math" w:hAnsi="Cambria Math" w:cstheme="minorHAnsi"/>
                <w:color w:val="00B050"/>
              </w:rPr>
              <m:t>DTT</m:t>
            </m:r>
          </m:sup>
        </m:sSubSup>
      </m:oMath>
      <w:r w:rsidR="00EB0973" w:rsidRPr="00602E93">
        <w:rPr>
          <w:rFonts w:cstheme="minorHAnsi"/>
          <w:i/>
          <w:color w:val="00B050"/>
        </w:rPr>
        <w:t xml:space="preserve"> levels between the analysed samples, and also that </w:t>
      </w:r>
      <w:r w:rsidRPr="00602E93">
        <w:rPr>
          <w:rFonts w:cstheme="minorHAnsi"/>
          <w:i/>
          <w:color w:val="00B050"/>
        </w:rPr>
        <w:t xml:space="preserve">they </w:t>
      </w:r>
      <w:r w:rsidR="00EB0973" w:rsidRPr="00602E93">
        <w:rPr>
          <w:rFonts w:cstheme="minorHAnsi"/>
          <w:i/>
          <w:color w:val="00B050"/>
        </w:rPr>
        <w:t xml:space="preserve">clearly do not follow the trend of PM2.5 concentrations. </w:t>
      </w:r>
      <w:r w:rsidRPr="00602E93">
        <w:rPr>
          <w:rFonts w:cstheme="minorHAnsi"/>
          <w:i/>
          <w:color w:val="00B050"/>
        </w:rPr>
        <w:t>It is noteworthy to highlight that t</w:t>
      </w:r>
      <w:r w:rsidR="00EB0973" w:rsidRPr="00602E93">
        <w:rPr>
          <w:rFonts w:cstheme="minorHAnsi"/>
          <w:i/>
          <w:color w:val="00B050"/>
        </w:rPr>
        <w:t>he selection of samples was based on the most representative samples for each of the sources identified by the PMF study (</w:t>
      </w:r>
      <w:r w:rsidRPr="00602E93">
        <w:rPr>
          <w:rFonts w:cstheme="minorHAnsi"/>
          <w:i/>
          <w:color w:val="00B050"/>
        </w:rPr>
        <w:t xml:space="preserve">due to their higher contribution </w:t>
      </w:r>
      <w:r w:rsidR="00EB0973" w:rsidRPr="00602E93">
        <w:rPr>
          <w:rFonts w:cstheme="minorHAnsi"/>
          <w:i/>
          <w:color w:val="00B050"/>
        </w:rPr>
        <w:t>in mass</w:t>
      </w:r>
      <w:r w:rsidRPr="00602E93">
        <w:rPr>
          <w:rFonts w:cstheme="minorHAnsi"/>
          <w:i/>
          <w:color w:val="00B050"/>
        </w:rPr>
        <w:t xml:space="preserve"> and %</w:t>
      </w:r>
      <w:r w:rsidR="00B1750A" w:rsidRPr="00602E93">
        <w:rPr>
          <w:rFonts w:cstheme="minorHAnsi"/>
          <w:color w:val="00B050"/>
        </w:rPr>
        <w:t xml:space="preserve"> to the PM</w:t>
      </w:r>
      <w:r w:rsidR="00B1750A" w:rsidRPr="00602E93">
        <w:rPr>
          <w:rFonts w:cstheme="minorHAnsi"/>
          <w:color w:val="00B050"/>
          <w:vertAlign w:val="subscript"/>
        </w:rPr>
        <w:t xml:space="preserve">2.5 </w:t>
      </w:r>
      <w:r w:rsidR="00B1750A" w:rsidRPr="00602E93">
        <w:rPr>
          <w:rFonts w:cstheme="minorHAnsi"/>
          <w:color w:val="00B050"/>
        </w:rPr>
        <w:t>levels</w:t>
      </w:r>
      <w:r w:rsidRPr="00602E93">
        <w:rPr>
          <w:rFonts w:cstheme="minorHAnsi"/>
          <w:i/>
          <w:color w:val="00B050"/>
        </w:rPr>
        <w:t>).</w:t>
      </w:r>
    </w:p>
    <w:p w14:paraId="57D5A34C" w14:textId="62BAA812" w:rsidR="00EB0973" w:rsidRPr="00602E93" w:rsidRDefault="00B1750A" w:rsidP="00602E93">
      <w:pPr>
        <w:jc w:val="both"/>
        <w:rPr>
          <w:rFonts w:eastAsiaTheme="minorEastAsia" w:cstheme="minorHAnsi"/>
          <w:i/>
          <w:iCs/>
          <w:color w:val="00B050"/>
        </w:rPr>
      </w:pPr>
      <w:r w:rsidRPr="00602E93">
        <w:rPr>
          <w:rFonts w:cstheme="minorHAnsi"/>
          <w:i/>
          <w:color w:val="00B050"/>
        </w:rPr>
        <w:t>In addition, Figure 1 shows that samples having comparable PM</w:t>
      </w:r>
      <w:r w:rsidRPr="00602E93">
        <w:rPr>
          <w:rFonts w:cstheme="minorHAnsi"/>
          <w:i/>
          <w:color w:val="00B050"/>
          <w:vertAlign w:val="subscript"/>
        </w:rPr>
        <w:t>2.5</w:t>
      </w:r>
      <w:r w:rsidRPr="00602E93">
        <w:rPr>
          <w:rFonts w:cstheme="minorHAnsi"/>
          <w:i/>
          <w:color w:val="00B050"/>
        </w:rPr>
        <w:t xml:space="preserve"> concentrations may have significantly different </w:t>
      </w:r>
      <m:oMath>
        <m:sSubSup>
          <m:sSubSupPr>
            <m:ctrlPr>
              <w:rPr>
                <w:rFonts w:ascii="Cambria Math" w:hAnsi="Cambria Math" w:cstheme="minorHAnsi"/>
                <w:i/>
                <w:iCs/>
                <w:color w:val="00B050"/>
              </w:rPr>
            </m:ctrlPr>
          </m:sSubSupPr>
          <m:e>
            <m:r>
              <w:rPr>
                <w:rFonts w:ascii="Cambria Math" w:hAnsi="Cambria Math" w:cstheme="minorHAnsi"/>
                <w:color w:val="00B050"/>
              </w:rPr>
              <m:t>OP</m:t>
            </m:r>
          </m:e>
          <m:sub>
            <m:r>
              <w:rPr>
                <w:rFonts w:ascii="Cambria Math" w:hAnsi="Cambria Math" w:cstheme="minorHAnsi"/>
                <w:color w:val="00B050"/>
              </w:rPr>
              <m:t>M</m:t>
            </m:r>
          </m:sub>
          <m:sup>
            <m:r>
              <w:rPr>
                <w:rFonts w:ascii="Cambria Math" w:hAnsi="Cambria Math" w:cstheme="minorHAnsi"/>
                <w:color w:val="00B050"/>
              </w:rPr>
              <m:t>DTT</m:t>
            </m:r>
          </m:sup>
        </m:sSubSup>
      </m:oMath>
      <w:r w:rsidRPr="00602E93">
        <w:rPr>
          <w:rFonts w:eastAsiaTheme="minorEastAsia" w:cstheme="minorHAnsi"/>
          <w:i/>
          <w:iCs/>
          <w:color w:val="00B050"/>
        </w:rPr>
        <w:t xml:space="preserve"> and </w:t>
      </w:r>
      <m:oMath>
        <m:sSubSup>
          <m:sSubSupPr>
            <m:ctrlPr>
              <w:rPr>
                <w:rFonts w:ascii="Cambria Math" w:hAnsi="Cambria Math" w:cstheme="minorHAnsi"/>
                <w:i/>
                <w:iCs/>
                <w:color w:val="00B050"/>
              </w:rPr>
            </m:ctrlPr>
          </m:sSubSupPr>
          <m:e>
            <m:r>
              <w:rPr>
                <w:rFonts w:ascii="Cambria Math" w:hAnsi="Cambria Math" w:cstheme="minorHAnsi"/>
                <w:color w:val="00B050"/>
              </w:rPr>
              <m:t>OP</m:t>
            </m:r>
          </m:e>
          <m:sub>
            <m:r>
              <w:rPr>
                <w:rFonts w:ascii="Cambria Math" w:hAnsi="Cambria Math" w:cstheme="minorHAnsi"/>
                <w:color w:val="00B050"/>
              </w:rPr>
              <m:t>V</m:t>
            </m:r>
          </m:sub>
          <m:sup>
            <m:r>
              <w:rPr>
                <w:rFonts w:ascii="Cambria Math" w:hAnsi="Cambria Math" w:cstheme="minorHAnsi"/>
                <w:color w:val="00B050"/>
              </w:rPr>
              <m:t>DTT</m:t>
            </m:r>
          </m:sup>
        </m:sSubSup>
      </m:oMath>
      <w:r w:rsidRPr="00602E93">
        <w:rPr>
          <w:rFonts w:eastAsiaTheme="minorEastAsia" w:cstheme="minorHAnsi"/>
          <w:i/>
          <w:iCs/>
          <w:color w:val="00B050"/>
        </w:rPr>
        <w:t xml:space="preserve"> according to the sources influencing those samples. For example, sample Q97 influenced mainly by sulphate has significantly lower OP compared to samples Q108 mainly influenced by industry source. This is in agreement with previous works </w:t>
      </w:r>
      <w:r w:rsidRPr="00602E93">
        <w:rPr>
          <w:rFonts w:eastAsiaTheme="minorEastAsia" w:cstheme="minorHAnsi"/>
          <w:i/>
          <w:iCs/>
          <w:color w:val="00B050"/>
        </w:rPr>
        <w:fldChar w:fldCharType="begin" w:fldLock="1"/>
      </w:r>
      <w:r w:rsidRPr="00602E93">
        <w:rPr>
          <w:rFonts w:eastAsiaTheme="minorEastAsia" w:cstheme="minorHAnsi"/>
          <w:i/>
          <w:iCs/>
          <w:color w:val="00B050"/>
        </w:rPr>
        <w:instrText>ADDIN CSL_CITATION {"citationItems":[{"id":"ITEM-1","itemData":{"DOI":"10.1007/s11869-023-01332-1","ISSN":"1873-9318","abstract":"The oxidative potential (OP) of PM 10 daily samples collected at a traffic site in southeastern Spain during summer and winter was assessed by two acellular assays: the ascorbic acid (AA) and dithiothreitol (DTT) methods. Although PM 10 levels were similar during both periods, OP values (expressed in nmol min −1 m −3 ) showed a defined seasonal trend. The AA activity was higher in summer than in winter, whereas the DTT reactivity exhibited an opposite seasonal pattern. Both assays were sensitive to different PM 10 components, as shown by the results of the linear correlation analysis. Moreover, the relationship between OP values and PM 10 chemical species was not the same during summer and winter, indicating that particle toxicity is associated with different sources during the warm and cold seasons. When OP values were expressed on a mass basis (nmol min −1 µg −1 ), lower correlation coefficients with PM 10 chemical species were generally obtained compared to volume-normalized activities. These outcomes suggest that only some specific components have a significant intrinsic oxidative potential.","author":[{"dropping-particle":"","family":"Clemente","given":"Á.","non-dropping-particle":"","parse-names":false,"suffix":""},{"dropping-particle":"","family":"Gil-Moltó","given":"J.","non-dropping-particle":"","parse-names":false,"suffix":""},{"dropping-particle":"","family":"Yubero","given":"E.","non-dropping-particle":"","parse-names":false,"suffix":""},{"dropping-particle":"","family":"Juárez","given":"N.","non-dropping-particle":"","parse-names":false,"suffix":""},{"dropping-particle":"","family":"Nicolás","given":"J. F.","non-dropping-particle":"","parse-names":false,"suffix":""},{"dropping-particle":"","family":"Crespo","given":"J.","non-dropping-particle":"","parse-names":false,"suffix":""},{"dropping-particle":"","family":"Galindo","given":"N.","non-dropping-particle":"","parse-names":false,"suffix":""}],"container-title":"Air Quality, Atmosphere &amp; Health","id":"ITEM-1","issue":"6","issued":{"date-parts":[["2023","6","13"]]},"page":"1165-1172","title":"Sensitivity of PM10 oxidative potential to aerosol chemical composition at a Mediterranean urban site: ascorbic acid versus dithiothreitol measurements","type":"article-journal","volume":"16"},"uris":["http://www.mendeley.com/documents/?uuid=cc139987-98f6-4f87-8d9e-b631300156e3"]},{"id":"ITEM-2","itemData":{"DOI":"10.1038/s41586-020-2902-8","ISSN":"0028-0836","PMID":"33208962","abstract":"Particulate matter is a component of ambient air pollution that has been linked to millions of annual premature deaths globally1–3. Assessments of the chronic and acute effects of particulate matter on human health tend to be based on mass concentration, with particle size and composition also thought to play a part4. Oxidative potential has been suggested to be one of the many possible drivers of the acute health effects of particulate matter, but the link remains uncertain5–8. Studies investigating the particulate-matter components that manifest an oxidative activity have yielded conflicting results7. In consequence, there is still much to be learned about the sources of particulate matter that may control the oxidative potential concentration7. Here we use field observations and air-quality modelling to quantify the major primary and secondary sources of particulate matter and of oxidative potential in Europe. We find that secondary inorganic components, crustal material and secondary biogenic organic aerosols control the mass concentration of particulate matter. By contrast, oxidative potential concentration is associated mostly with anthropogenic sources, in particular with fine-mode secondary organic aerosols largely from residential biomass burning and coarse-mode metals from vehicular non-exhaust emissions. Our results suggest that mitigation strategies aimed at reducing the mass concentrations of particulate matter alone may not reduce the oxidative potential concentration. If the oxidative potential can be linked to major health impacts, it may be more effective to control specific sources of particulate matter rather than overall particulate mass.","author":[{"dropping-particle":"","family":"Daellenbach","given":"Kaspar R.","non-dropping-particle":"","parse-names":false,"suffix":""},{"dropping-particle":"","family":"Uzu","given":"Gaëlle","non-dropping-particle":"","parse-names":false,"suffix":""},{"dropping-particle":"","family":"Jiang","given":"Jianhui","non-dropping-particle":"","parse-names":false,"suffix":""},{"dropping-particle":"","family":"Cassagnes","given":"Laure-Estelle","non-dropping-particle":"","parse-names":false,"suffix":""},{"dropping-particle":"","family":"Leni","given":"Zaira","non-dropping-particle":"","parse-names":false,"suffix":""},{"dropping-particle":"","family":"Vlachou","given":"Athanasia","non-dropping-particle":"","parse-names":false,"suffix":""},{"dropping-particle":"","family":"Stefenelli","given":"Giulia","non-dropping-particle":"","parse-names":false,"suffix":""},{"dropping-particle":"","family":"Canonaco","given":"Francesco","non-dropping-particle":"","parse-names":false,"suffix":""},{"dropping-particle":"","family":"Weber","given":"Samuël","non-dropping-particle":"","parse-names":false,"suffix":""},{"dropping-particle":"","family":"Segers","given":"Arjo","non-dropping-particle":"","parse-names":false,"suffix":""},{"dropping-particle":"","family":"Kuenen","given":"Jeroen J.P. P.","non-dropping-particle":"","parse-names":false,"suffix":""},{"dropping-particle":"","family":"Schaap","given":"Martijn","non-dropping-particle":"","parse-names":false,"suffix":""},{"dropping-particle":"","family":"Favez","given":"Olivier","non-dropping-particle":"","parse-names":false,"suffix":""},{"dropping-particle":"","family":"Albinet","given":"Alexandre","non-dropping-particle":"","parse-names":false,"suffix":""},{"dropping-particle":"","family":"Aksoyoglu","given":"Sebnem","non-dropping-particle":"","parse-names":false,"suffix":""},{"dropping-particle":"","family":"Dommen","given":"Josef","non-dropping-particle":"","parse-names":false,"suffix":""},{"dropping-particle":"","family":"Baltensperger","given":"Urs","non-dropping-particle":"","parse-names":false,"suffix":""},{"dropping-particle":"","family":"Geiser","given":"Marianne","non-dropping-particle":"","parse-names":false,"suffix":""},{"dropping-particle":"","family":"Haddad","given":"Imad","non-dropping-particle":"El","parse-names":false,"suffix":""},{"dropping-particle":"","family":"Jaffrezo","given":"Jean-Luc","non-dropping-particle":"","parse-names":false,"suffix":""},{"dropping-particle":"","family":"Prévôt","given":"André S.H. H.","non-dropping-particle":"","parse-names":false,"suffix":""}],"container-title":"Nature","id":"ITEM-2","issue":"7834","issued":{"date-parts":[["2020","11","19"]]},"page":"414-419","publisher":"Nature Research","title":"Sources of particulate-matter air pollution and its oxidative potential in Europe","type":"article-journal","volume":"587"},"uris":["http://www.mendeley.com/documents/?uuid=b06bbc3e-b7cc-4dfa-9131-8df9d89fedbd"]},{"id":"ITEM-3","itemData":{"DOI":"10.3390/atmos11090917","ISSN":"2073-4433","abstract":"The mass concentration of atmospheric particulate matter (PM) has been systematically used in epidemiological studies as an indicator of exposure to air pollutants, connecting PM concentrations with a wide variety of human health effects. However, these effects can be hardly explained by using one single parameter, especially because PM is formed by a complex mixture of chemicals. Current research has shown that many of these adverse health effects can be derived from the oxidative stress caused by the deposition of PM in the lungs. The oxidative potential (OP) of the PM, related to the presence of transition metals and organic compounds that can induce the production of reactive oxygen and nitrogen species (ROS/RNS), could be a parameter to evaluate these effects. Therefore, estimating the OP of atmospheric PM would allow us to evaluate and integrate the toxic potential of PM into a unique parameter, which is related to emission sources, size distribution and/or chemical composition. However, the association between PM and particle-induced toxicity is still largely unknown. In this commentary article, we analyze how this new paradigm could help to deal with some unanswered questions related to the impact of atmospheric PM over human health.","author":[{"dropping-particle":"","family":"Molina","given":"Carolina","non-dropping-particle":"","parse-names":false,"suffix":""},{"dropping-particle":"","family":"Toro A.","given":"Richard","non-dropping-particle":"","parse-names":false,"suffix":""},{"dropping-particle":"","family":"Manzano","given":"Carlos","non-dropping-particle":"","parse-names":false,"suffix":""},{"dropping-particle":"","family":"Canepari","given":"Silvia","non-dropping-particle":"","parse-names":false,"suffix":""},{"dropping-particle":"","family":"Massimi","given":"Lorenzo","non-dropping-particle":"","parse-names":false,"suffix":""},{"dropping-particle":"","family":"Leiva-Guzmán","given":"Manuel.","non-dropping-particle":"","parse-names":false,"suffix":""}],"container-title":"Atmosphere","id":"ITEM-3","issue":"9","issued":{"date-parts":[["2020","8","28"]]},"page":"917","title":"Airborne Aerosols and Human Health: Leapfrogging from Mass Concentration to Oxidative Potential","type":"article-journal","volume":"11"},"uris":["http://www.mendeley.com/documents/?uuid=09cdf4d0-fd1c-4706-880b-3acbca11631f"]}],"mendeley":{"formattedCitation":"(Molina et al. 2020; Daellenbach et al. 2020; Clemente et al. 2023)","plainTextFormattedCitation":"(Molina et al. 2020; Daellenbach et al. 2020; Clemente et al. 2023)","previouslyFormattedCitation":"(Daellenbach et al. 2020; Clemente et al. 2023)"},"properties":{"noteIndex":0},"schema":"https://github.com/citation-style-language/schema/raw/master/csl-citation.json"}</w:instrText>
      </w:r>
      <w:r w:rsidRPr="00602E93">
        <w:rPr>
          <w:rFonts w:eastAsiaTheme="minorEastAsia" w:cstheme="minorHAnsi"/>
          <w:i/>
          <w:iCs/>
          <w:color w:val="00B050"/>
        </w:rPr>
        <w:fldChar w:fldCharType="separate"/>
      </w:r>
      <w:r w:rsidRPr="00602E93">
        <w:rPr>
          <w:rFonts w:eastAsiaTheme="minorEastAsia" w:cstheme="minorHAnsi"/>
          <w:i/>
          <w:iCs/>
          <w:noProof/>
          <w:color w:val="00B050"/>
        </w:rPr>
        <w:t>(Molina et al. 2020; Daellenbach et al. 2020; Clemente et al. 2023)</w:t>
      </w:r>
      <w:r w:rsidRPr="00602E93">
        <w:rPr>
          <w:rFonts w:eastAsiaTheme="minorEastAsia" w:cstheme="minorHAnsi"/>
          <w:i/>
          <w:iCs/>
          <w:color w:val="00B050"/>
        </w:rPr>
        <w:fldChar w:fldCharType="end"/>
      </w:r>
      <w:r w:rsidRPr="00602E93">
        <w:rPr>
          <w:rFonts w:eastAsiaTheme="minorEastAsia" w:cstheme="minorHAnsi"/>
          <w:i/>
          <w:iCs/>
          <w:color w:val="00B050"/>
        </w:rPr>
        <w:t xml:space="preserve"> that suggested that a linear relationship between OP and PM concentrations is not always observed. This is the reason why OP could be a metric for toxicity complementary to mass concentration of PM.”</w:t>
      </w:r>
    </w:p>
    <w:p w14:paraId="2DCEAE9B" w14:textId="02C55655" w:rsidR="00E60C0D" w:rsidRPr="00602E93" w:rsidRDefault="00E60C0D" w:rsidP="00602E93">
      <w:pPr>
        <w:jc w:val="both"/>
        <w:rPr>
          <w:rFonts w:cstheme="minorHAnsi"/>
          <w:i/>
          <w:color w:val="00B050"/>
        </w:rPr>
      </w:pPr>
      <w:r w:rsidRPr="00602E93">
        <w:rPr>
          <w:rFonts w:cstheme="minorHAnsi"/>
          <w:i/>
          <w:color w:val="00B050"/>
        </w:rPr>
        <w:t>(Page 7, line 167 to Page 8, line 178)</w:t>
      </w:r>
    </w:p>
    <w:bookmarkEnd w:id="0"/>
    <w:p w14:paraId="581CB226" w14:textId="77777777" w:rsidR="00B1750A" w:rsidRDefault="00B1750A" w:rsidP="00602E93">
      <w:pPr>
        <w:jc w:val="both"/>
      </w:pPr>
    </w:p>
    <w:p w14:paraId="5C63EB0A" w14:textId="179C0947" w:rsidR="00A47BD4" w:rsidRDefault="00F953DD" w:rsidP="00602E93">
      <w:pPr>
        <w:jc w:val="both"/>
      </w:pPr>
      <w:r w:rsidRPr="00FE5F2C">
        <w:t xml:space="preserve">[Reviewer] </w:t>
      </w:r>
      <w:r w:rsidR="00A47BD4" w:rsidRPr="00FE5F2C">
        <w:t xml:space="preserve">- Lines 158-181.The results on the OPV values are poorly </w:t>
      </w:r>
      <w:proofErr w:type="spellStart"/>
      <w:r w:rsidR="00A47BD4" w:rsidRPr="00FE5F2C">
        <w:t>analysed</w:t>
      </w:r>
      <w:proofErr w:type="spellEnd"/>
      <w:r w:rsidR="00A47BD4" w:rsidRPr="00FE5F2C">
        <w:t xml:space="preserve">. OPV values show huge inter-site variations, from 0.2 nmol min-1 m-3 to around 7 nmol min-1 m-3 (see Table 2). Any reason why? </w:t>
      </w:r>
      <w:r w:rsidR="00A47BD4" w:rsidRPr="00FE5F2C">
        <w:lastRenderedPageBreak/>
        <w:t xml:space="preserve">In my opinion it is not enough to say that the values obtained in this work are similar to those in Dunkerque and </w:t>
      </w:r>
      <w:proofErr w:type="spellStart"/>
      <w:r w:rsidR="00A47BD4" w:rsidRPr="00FE5F2C">
        <w:t>Sarno</w:t>
      </w:r>
      <w:proofErr w:type="spellEnd"/>
      <w:r w:rsidR="00A47BD4" w:rsidRPr="00FE5F2C">
        <w:t xml:space="preserve"> but lower than those measured in China. Some previous works (Clemente et al. 2023; </w:t>
      </w:r>
      <w:proofErr w:type="spellStart"/>
      <w:r w:rsidR="00A47BD4" w:rsidRPr="00FE5F2C">
        <w:t>Daellenbach</w:t>
      </w:r>
      <w:proofErr w:type="spellEnd"/>
      <w:r w:rsidR="00A47BD4" w:rsidRPr="00FE5F2C">
        <w:t xml:space="preserve"> et al. 2020; Molina et al. 2020) have suggested that a linear relationship between OP and PM concentrations is not always observed. This is the reason why the OP is starting to be considered a better metric of PM toxicity than just PM concentrations.</w:t>
      </w:r>
    </w:p>
    <w:p w14:paraId="003CBBB3" w14:textId="77777777" w:rsidR="00A47BD4" w:rsidRDefault="00A47BD4" w:rsidP="00602E93">
      <w:pPr>
        <w:jc w:val="both"/>
      </w:pPr>
      <w:r w:rsidRPr="00C27FDF">
        <w:rPr>
          <w:lang w:val="pt-PT"/>
        </w:rPr>
        <w:t>Clemente A., Gil-</w:t>
      </w:r>
      <w:proofErr w:type="spellStart"/>
      <w:r w:rsidRPr="00C27FDF">
        <w:rPr>
          <w:lang w:val="pt-PT"/>
        </w:rPr>
        <w:t>Moltó</w:t>
      </w:r>
      <w:proofErr w:type="spellEnd"/>
      <w:r w:rsidRPr="00C27FDF">
        <w:rPr>
          <w:lang w:val="pt-PT"/>
        </w:rPr>
        <w:t xml:space="preserve"> J., </w:t>
      </w:r>
      <w:proofErr w:type="spellStart"/>
      <w:r w:rsidRPr="00C27FDF">
        <w:rPr>
          <w:lang w:val="pt-PT"/>
        </w:rPr>
        <w:t>Yubero</w:t>
      </w:r>
      <w:proofErr w:type="spellEnd"/>
      <w:r w:rsidRPr="00C27FDF">
        <w:rPr>
          <w:lang w:val="pt-PT"/>
        </w:rPr>
        <w:t xml:space="preserve"> </w:t>
      </w:r>
      <w:r w:rsidRPr="00A47BD4">
        <w:rPr>
          <w:lang w:val="pt-PT"/>
        </w:rPr>
        <w:t xml:space="preserve">E., Juárez N., </w:t>
      </w:r>
      <w:proofErr w:type="spellStart"/>
      <w:r w:rsidRPr="00A47BD4">
        <w:rPr>
          <w:lang w:val="pt-PT"/>
        </w:rPr>
        <w:t>Nicolás</w:t>
      </w:r>
      <w:proofErr w:type="spellEnd"/>
      <w:r w:rsidRPr="00A47BD4">
        <w:rPr>
          <w:lang w:val="pt-PT"/>
        </w:rPr>
        <w:t xml:space="preserve"> JF, Crespo J., Galindo N. (2023). </w:t>
      </w:r>
      <w:r>
        <w:t>Sensitivity of PM10 oxidative potential to aerosol chemical composition at a Mediterranean urban site: ascorbic acid versus dithiothreitol measurements. Air Qual Atmos Health 16, 1165-1172.</w:t>
      </w:r>
    </w:p>
    <w:p w14:paraId="34F96612" w14:textId="77777777" w:rsidR="00A47BD4" w:rsidRDefault="00A47BD4" w:rsidP="00602E93">
      <w:pPr>
        <w:jc w:val="both"/>
      </w:pPr>
      <w:proofErr w:type="spellStart"/>
      <w:r>
        <w:t>Daellenbach</w:t>
      </w:r>
      <w:proofErr w:type="spellEnd"/>
      <w:r>
        <w:t xml:space="preserve"> et al. (2020). Sources of particulate-matter air pollution and its oxidative potential in Europe. Nature 587, 414-149.</w:t>
      </w:r>
    </w:p>
    <w:p w14:paraId="5ECD822D" w14:textId="77777777" w:rsidR="00A47BD4" w:rsidRDefault="00A47BD4" w:rsidP="00602E93">
      <w:pPr>
        <w:jc w:val="both"/>
      </w:pPr>
      <w:r>
        <w:t xml:space="preserve">Molina C, Toro R, Manzano CA, </w:t>
      </w:r>
      <w:proofErr w:type="spellStart"/>
      <w:r>
        <w:t>Canepari</w:t>
      </w:r>
      <w:proofErr w:type="spellEnd"/>
      <w:r>
        <w:t xml:space="preserve"> S, </w:t>
      </w:r>
      <w:proofErr w:type="spellStart"/>
      <w:r>
        <w:t>Massimi</w:t>
      </w:r>
      <w:proofErr w:type="spellEnd"/>
      <w:r>
        <w:t xml:space="preserve"> L, </w:t>
      </w:r>
      <w:proofErr w:type="spellStart"/>
      <w:r>
        <w:t>Leiva-Guzmam</w:t>
      </w:r>
      <w:proofErr w:type="spellEnd"/>
      <w:r>
        <w:t xml:space="preserve"> MA (2020) Airborne aerosols and human health: Leapfrogging from mass concentration to oxidative potential. Atmosphere 11, 917.</w:t>
      </w:r>
    </w:p>
    <w:p w14:paraId="6B3C02A9" w14:textId="189C3A13" w:rsidR="00BB7F7D" w:rsidRPr="009E65C6" w:rsidRDefault="00F953DD" w:rsidP="00602E93">
      <w:pPr>
        <w:jc w:val="both"/>
        <w:rPr>
          <w:color w:val="00B050"/>
        </w:rPr>
      </w:pPr>
      <w:r w:rsidRPr="00F953DD">
        <w:rPr>
          <w:color w:val="00B050"/>
        </w:rPr>
        <w:t xml:space="preserve">[Authors] </w:t>
      </w:r>
      <w:r w:rsidR="004949A4">
        <w:rPr>
          <w:color w:val="00B050"/>
        </w:rPr>
        <w:t xml:space="preserve">We agree that OP </w:t>
      </w:r>
      <w:r w:rsidR="001514EA">
        <w:rPr>
          <w:color w:val="00B050"/>
        </w:rPr>
        <w:t xml:space="preserve">has a large variability among different sites and this is why Table 2 has been provided. Part of the variability could also be due to the protocol used, especially for extractions, as we discussed in the paper. However, </w:t>
      </w:r>
      <w:r w:rsidR="00BB7F7D">
        <w:rPr>
          <w:color w:val="00B050"/>
        </w:rPr>
        <w:t>even limiting to cases with similar protocols, there is a large</w:t>
      </w:r>
      <w:r w:rsidR="001514EA">
        <w:rPr>
          <w:color w:val="00B050"/>
        </w:rPr>
        <w:t xml:space="preserve"> spatial </w:t>
      </w:r>
      <w:r w:rsidR="00BB7F7D">
        <w:rPr>
          <w:color w:val="00B050"/>
        </w:rPr>
        <w:t xml:space="preserve">and seasonal </w:t>
      </w:r>
      <w:r w:rsidR="001514EA">
        <w:rPr>
          <w:color w:val="00B050"/>
        </w:rPr>
        <w:t xml:space="preserve">variability likely associated not only to PM2.5 mass concentrations but to the differences in </w:t>
      </w:r>
      <w:r w:rsidR="00BB7F7D">
        <w:rPr>
          <w:color w:val="00B050"/>
        </w:rPr>
        <w:t xml:space="preserve">chemical composition due to the sources acting on the different sites. It is therefore useful to mention that the values found here are comparable with average values observed in Europe and USA but significantly lower than those observed in China and India, likely as a consequence of both a higher PM2.5 concentration in these countries and to the difference on sources contributing to observed concentrations. </w:t>
      </w:r>
    </w:p>
    <w:p w14:paraId="0CB57E27" w14:textId="7C783D3C" w:rsidR="00167D79" w:rsidRPr="00722CDF" w:rsidRDefault="00167D79" w:rsidP="00602E93">
      <w:pPr>
        <w:jc w:val="both"/>
        <w:rPr>
          <w:rFonts w:cstheme="minorHAnsi"/>
          <w:color w:val="00B050"/>
        </w:rPr>
      </w:pPr>
      <w:r w:rsidRPr="00722CDF">
        <w:rPr>
          <w:rFonts w:cstheme="minorHAnsi"/>
          <w:color w:val="00B050"/>
        </w:rPr>
        <w:t>The following sentences were added to the text:</w:t>
      </w:r>
    </w:p>
    <w:p w14:paraId="5D27007D" w14:textId="1EDFBEAD" w:rsidR="00167D79" w:rsidRDefault="00167D79" w:rsidP="00602E93">
      <w:pPr>
        <w:spacing w:line="276" w:lineRule="auto"/>
        <w:jc w:val="both"/>
        <w:rPr>
          <w:rFonts w:cstheme="minorHAnsi"/>
          <w:color w:val="00B050"/>
        </w:rPr>
      </w:pPr>
      <w:r w:rsidRPr="00722CDF">
        <w:rPr>
          <w:rFonts w:eastAsiaTheme="minorEastAsia" w:cstheme="minorHAnsi"/>
          <w:iCs/>
          <w:color w:val="00B050"/>
        </w:rPr>
        <w:t>“Even</w:t>
      </w:r>
      <w:r w:rsidRPr="00722CDF">
        <w:rPr>
          <w:rFonts w:cstheme="minorHAnsi"/>
          <w:color w:val="00B050"/>
        </w:rPr>
        <w:t xml:space="preserve"> limiting to cases with similar protocols, there is still a large spatial and seasonal variability, likely associated not only to PM</w:t>
      </w:r>
      <w:r w:rsidRPr="00722CDF">
        <w:rPr>
          <w:rFonts w:cstheme="minorHAnsi"/>
          <w:color w:val="00B050"/>
          <w:vertAlign w:val="subscript"/>
        </w:rPr>
        <w:t>2.5</w:t>
      </w:r>
      <w:r w:rsidRPr="00722CDF">
        <w:rPr>
          <w:rFonts w:cstheme="minorHAnsi"/>
          <w:color w:val="00B050"/>
        </w:rPr>
        <w:t xml:space="preserve"> mass concentrations but to the differences in chemical composition due to the sources acting on the different sites. It is therefore useful to mention that the values found here are comparable with average values observed in Europe and USA but significantly lower than those observed in China and India, likely as a consequence of both a higher PM</w:t>
      </w:r>
      <w:r w:rsidRPr="00722CDF">
        <w:rPr>
          <w:rFonts w:cstheme="minorHAnsi"/>
          <w:color w:val="00B050"/>
          <w:vertAlign w:val="subscript"/>
        </w:rPr>
        <w:t xml:space="preserve">2.5 </w:t>
      </w:r>
      <w:r w:rsidRPr="00722CDF">
        <w:rPr>
          <w:rFonts w:cstheme="minorHAnsi"/>
          <w:color w:val="00B050"/>
        </w:rPr>
        <w:t>concentration in these countries and to the difference on sources contributing to observed concentrations.”</w:t>
      </w:r>
    </w:p>
    <w:p w14:paraId="08A2B35D" w14:textId="7FDE5B37" w:rsidR="00DA45F2" w:rsidRDefault="00DA45F2" w:rsidP="00602E93">
      <w:pPr>
        <w:spacing w:line="276" w:lineRule="auto"/>
        <w:jc w:val="both"/>
        <w:rPr>
          <w:rFonts w:cstheme="minorHAnsi"/>
          <w:color w:val="00B050"/>
        </w:rPr>
      </w:pPr>
      <w:r>
        <w:rPr>
          <w:rFonts w:cstheme="minorHAnsi"/>
          <w:color w:val="00B050"/>
        </w:rPr>
        <w:t>(Page 9, lines 209-215)</w:t>
      </w:r>
    </w:p>
    <w:p w14:paraId="5EADE913" w14:textId="77777777" w:rsidR="00FE5F2C" w:rsidRPr="00722CDF" w:rsidRDefault="00FE5F2C" w:rsidP="00602E93">
      <w:pPr>
        <w:jc w:val="both"/>
        <w:rPr>
          <w:color w:val="00B050"/>
        </w:rPr>
      </w:pPr>
      <w:r w:rsidRPr="009E65C6">
        <w:rPr>
          <w:color w:val="00B050"/>
        </w:rPr>
        <w:t>Moreover, we added the three references indicated by the reviewer (which are valuable works) in the sentences included in answer</w:t>
      </w:r>
      <w:r>
        <w:rPr>
          <w:color w:val="00B050"/>
        </w:rPr>
        <w:t xml:space="preserve"> to</w:t>
      </w:r>
      <w:r w:rsidRPr="009E65C6">
        <w:rPr>
          <w:color w:val="00B050"/>
        </w:rPr>
        <w:t xml:space="preserve"> the previous comment of the reviewer, highlighting that a linear </w:t>
      </w:r>
      <w:r w:rsidRPr="00722CDF">
        <w:rPr>
          <w:color w:val="00B050"/>
        </w:rPr>
        <w:t xml:space="preserve">relationship between OP and PM concentrations is not always observed. </w:t>
      </w:r>
    </w:p>
    <w:p w14:paraId="7038C9A2" w14:textId="77777777" w:rsidR="00A47BD4" w:rsidRDefault="00B9536D" w:rsidP="00602E93">
      <w:pPr>
        <w:jc w:val="both"/>
      </w:pPr>
      <w:r>
        <w:t xml:space="preserve"> </w:t>
      </w:r>
      <w:r w:rsidR="00F953DD">
        <w:t xml:space="preserve">[Reviewer] </w:t>
      </w:r>
      <w:r w:rsidR="00A47BD4">
        <w:t>- Line 158. Since OP values in Table 2 are given in nmol min-1 m-3 it is better to express the value obtained in this study in the same units.</w:t>
      </w:r>
      <w:bookmarkStart w:id="1" w:name="_GoBack"/>
      <w:bookmarkEnd w:id="1"/>
    </w:p>
    <w:p w14:paraId="4D9C4FE0" w14:textId="5E61B5CC" w:rsidR="00F953DD" w:rsidRPr="00F953DD" w:rsidRDefault="00F953DD" w:rsidP="00602E93">
      <w:pPr>
        <w:jc w:val="both"/>
        <w:rPr>
          <w:color w:val="00B050"/>
        </w:rPr>
      </w:pPr>
      <w:r w:rsidRPr="00F953DD">
        <w:rPr>
          <w:color w:val="00B050"/>
        </w:rPr>
        <w:t xml:space="preserve">[Authors] </w:t>
      </w:r>
      <w:r w:rsidR="00B9536D">
        <w:rPr>
          <w:color w:val="00B050"/>
        </w:rPr>
        <w:t>It was corrected accordingly.</w:t>
      </w:r>
      <w:r w:rsidR="00FE5F2C">
        <w:rPr>
          <w:color w:val="00B050"/>
        </w:rPr>
        <w:t xml:space="preserve"> Moreover, we also corrected Figure 2, expressing OP values in nmol min-1 m-3.</w:t>
      </w:r>
    </w:p>
    <w:p w14:paraId="00B12051" w14:textId="77777777" w:rsidR="00A47BD4" w:rsidRDefault="00F953DD" w:rsidP="00602E93">
      <w:pPr>
        <w:jc w:val="both"/>
      </w:pPr>
      <w:r w:rsidRPr="00167D79">
        <w:t xml:space="preserve">[Reviewer] </w:t>
      </w:r>
      <w:r w:rsidR="00A47BD4" w:rsidRPr="00167D79">
        <w:t>- Figure 2. The correlation between OP and PM2.5 seems to be conditioned by high PM2.5 concentrations. What are the results if the three highest values are eliminated from the plot?</w:t>
      </w:r>
    </w:p>
    <w:p w14:paraId="26317208" w14:textId="77777777" w:rsidR="00F953DD" w:rsidRPr="00F953DD" w:rsidRDefault="00F953DD" w:rsidP="00F953DD">
      <w:pPr>
        <w:rPr>
          <w:color w:val="00B050"/>
        </w:rPr>
      </w:pPr>
      <w:r w:rsidRPr="00F953DD">
        <w:rPr>
          <w:color w:val="00B050"/>
        </w:rPr>
        <w:lastRenderedPageBreak/>
        <w:t xml:space="preserve">[Authors] </w:t>
      </w:r>
      <w:r w:rsidR="000D7DCD">
        <w:rPr>
          <w:color w:val="00B050"/>
        </w:rPr>
        <w:t>Yes, the reviewer is correct regarding the high influence of the three samples with high levels of PM2.5. Without these three samples, the R2 of the correlation is only 0.24. Either way, these samples are real and from the studied dataset and, that is why, we believe that it is important to keep them. However, we added the following sentence to highlight this issue for the reader:</w:t>
      </w:r>
    </w:p>
    <w:p w14:paraId="51F075FF" w14:textId="105E55F4" w:rsidR="00F953DD" w:rsidRDefault="002541F9" w:rsidP="00A47BD4">
      <w:pPr>
        <w:rPr>
          <w:color w:val="00B050"/>
        </w:rPr>
      </w:pPr>
      <w:r w:rsidRPr="002541F9">
        <w:rPr>
          <w:color w:val="00B050"/>
        </w:rPr>
        <w:t>“However, in the particular case of the present study, the high linear correlation found is highly dependent of the 3 samples with higher PM2.5 levels. Without those samples, the R2 decreases to a value of 0.24.”</w:t>
      </w:r>
    </w:p>
    <w:p w14:paraId="0E14269E" w14:textId="78AE9781" w:rsidR="00DA45F2" w:rsidRPr="002541F9" w:rsidRDefault="00DA45F2" w:rsidP="00A47BD4">
      <w:pPr>
        <w:rPr>
          <w:color w:val="00B050"/>
        </w:rPr>
      </w:pPr>
      <w:r>
        <w:rPr>
          <w:color w:val="00B050"/>
        </w:rPr>
        <w:t>(Page 12, lines 231 – 233)</w:t>
      </w:r>
    </w:p>
    <w:p w14:paraId="10EB9BDB" w14:textId="77777777" w:rsidR="00A47BD4" w:rsidRPr="00A232F1" w:rsidRDefault="00F953DD" w:rsidP="00A47BD4">
      <w:r w:rsidRPr="00A232F1">
        <w:t xml:space="preserve">[Reviewer] </w:t>
      </w:r>
      <w:r w:rsidR="00A47BD4" w:rsidRPr="00A232F1">
        <w:t>- Lines 231-257. The authors just enumerate the outcomes of other studies so I miss an interpretation of the obtained results, even if comparisons with previous studies are included. For instance, the authors do not include any comment on the intrinsic OP of the sources. The intrinsic OP of a source may be high; however, if the contribution of that source to PM levels is low, then the overall contribution (in percentage) to the measured OP may also be low. In fact, differences in volume-normalized and mass-normalized DTT activities among different sites have been observed depending on PM concentration and composition (Farahani et al. 2022).</w:t>
      </w:r>
    </w:p>
    <w:p w14:paraId="39C6E50B" w14:textId="77777777" w:rsidR="00A47BD4" w:rsidRDefault="00A47BD4" w:rsidP="00A47BD4">
      <w:r w:rsidRPr="00A232F1">
        <w:t xml:space="preserve">Farahani VJ, </w:t>
      </w:r>
      <w:proofErr w:type="spellStart"/>
      <w:r w:rsidRPr="00A232F1">
        <w:t>Altuwayjiri</w:t>
      </w:r>
      <w:proofErr w:type="spellEnd"/>
      <w:r w:rsidRPr="00A232F1">
        <w:t xml:space="preserve"> A, </w:t>
      </w:r>
      <w:proofErr w:type="spellStart"/>
      <w:r w:rsidRPr="00A232F1">
        <w:t>Pirhadi</w:t>
      </w:r>
      <w:proofErr w:type="spellEnd"/>
      <w:r w:rsidRPr="00A232F1">
        <w:t xml:space="preserve"> M, Verma V, Ruprecht AA, Diapouli E, </w:t>
      </w:r>
      <w:proofErr w:type="spellStart"/>
      <w:r w:rsidRPr="00A232F1">
        <w:t>Eleftheriadis</w:t>
      </w:r>
      <w:proofErr w:type="spellEnd"/>
      <w:r w:rsidRPr="00A232F1">
        <w:t xml:space="preserve"> K, </w:t>
      </w:r>
      <w:proofErr w:type="spellStart"/>
      <w:r w:rsidRPr="00A232F1">
        <w:t>Sioutas</w:t>
      </w:r>
      <w:proofErr w:type="spellEnd"/>
      <w:r w:rsidRPr="00A232F1">
        <w:t xml:space="preserve"> C (2022) The oxidative potential of particulate matter (PM) in different regions around the world and its relation to air pollution sources. Environ Sci: Atmos 2:076-1086.</w:t>
      </w:r>
    </w:p>
    <w:p w14:paraId="3D94426E" w14:textId="0568069B" w:rsidR="00A232F1" w:rsidRPr="00A232F1" w:rsidRDefault="00F953DD" w:rsidP="00602E93">
      <w:pPr>
        <w:jc w:val="both"/>
        <w:rPr>
          <w:rFonts w:cstheme="minorHAnsi"/>
          <w:color w:val="00B050"/>
        </w:rPr>
      </w:pPr>
      <w:r w:rsidRPr="00A232F1">
        <w:rPr>
          <w:rFonts w:cstheme="minorHAnsi"/>
          <w:color w:val="00B050"/>
        </w:rPr>
        <w:t>[</w:t>
      </w:r>
      <w:proofErr w:type="gramStart"/>
      <w:r w:rsidRPr="00A232F1">
        <w:rPr>
          <w:rFonts w:cstheme="minorHAnsi"/>
          <w:color w:val="00B050"/>
        </w:rPr>
        <w:t>Authors]</w:t>
      </w:r>
      <w:r w:rsidR="006D5E9C" w:rsidRPr="00A232F1">
        <w:rPr>
          <w:rFonts w:cstheme="minorHAnsi"/>
          <w:color w:val="00B050"/>
        </w:rPr>
        <w:t xml:space="preserve"> </w:t>
      </w:r>
      <w:r w:rsidR="00092226" w:rsidRPr="00A232F1">
        <w:rPr>
          <w:rFonts w:cstheme="minorHAnsi"/>
          <w:color w:val="00B050"/>
        </w:rPr>
        <w:t xml:space="preserve"> Additional</w:t>
      </w:r>
      <w:proofErr w:type="gramEnd"/>
      <w:r w:rsidR="00092226" w:rsidRPr="00A232F1">
        <w:rPr>
          <w:rFonts w:cstheme="minorHAnsi"/>
          <w:color w:val="00B050"/>
        </w:rPr>
        <w:t xml:space="preserve"> analysis was conducted in order to supply the relative contributions to PM2.5 and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targeting to provide a more meaningful analysis. Figure 4 was added and discussion about it was included. The following sentences were </w:t>
      </w:r>
      <w:proofErr w:type="spellStart"/>
      <w:proofErr w:type="gramStart"/>
      <w:r w:rsidR="00A232F1" w:rsidRPr="00A232F1">
        <w:rPr>
          <w:rFonts w:eastAsiaTheme="minorEastAsia" w:cstheme="minorHAnsi"/>
          <w:iCs/>
          <w:color w:val="00B050"/>
        </w:rPr>
        <w:t>added:</w:t>
      </w:r>
      <w:r w:rsidR="00A232F1">
        <w:rPr>
          <w:rFonts w:eastAsiaTheme="minorEastAsia" w:cstheme="minorHAnsi"/>
          <w:iCs/>
          <w:color w:val="00B050"/>
        </w:rPr>
        <w:t>“</w:t>
      </w:r>
      <w:bookmarkStart w:id="2" w:name="_Hlk157343810"/>
      <w:proofErr w:type="gramEnd"/>
      <w:r w:rsidR="00A232F1" w:rsidRPr="00A232F1">
        <w:rPr>
          <w:rFonts w:cstheme="minorHAnsi"/>
          <w:color w:val="00B050"/>
        </w:rPr>
        <w:fldChar w:fldCharType="begin"/>
      </w:r>
      <w:r w:rsidR="00A232F1" w:rsidRPr="00A232F1">
        <w:rPr>
          <w:rFonts w:cstheme="minorHAnsi"/>
          <w:color w:val="00B050"/>
        </w:rPr>
        <w:instrText xml:space="preserve"> REF _Ref157342602 \h  \* MERGEFORMAT </w:instrText>
      </w:r>
      <w:r w:rsidR="00A232F1" w:rsidRPr="00A232F1">
        <w:rPr>
          <w:rFonts w:cstheme="minorHAnsi"/>
          <w:color w:val="00B050"/>
        </w:rPr>
      </w:r>
      <w:r w:rsidR="00A232F1" w:rsidRPr="00A232F1">
        <w:rPr>
          <w:rFonts w:cstheme="minorHAnsi"/>
          <w:color w:val="00B050"/>
        </w:rPr>
        <w:fldChar w:fldCharType="separate"/>
      </w:r>
      <w:r w:rsidR="00A232F1" w:rsidRPr="00A232F1">
        <w:rPr>
          <w:rFonts w:cstheme="minorHAnsi"/>
          <w:color w:val="00B050"/>
        </w:rPr>
        <w:t>Figure</w:t>
      </w:r>
      <w:proofErr w:type="spellEnd"/>
      <w:r w:rsidR="00A232F1" w:rsidRPr="00A232F1">
        <w:rPr>
          <w:rFonts w:cstheme="minorHAnsi"/>
          <w:color w:val="00B050"/>
        </w:rPr>
        <w:t xml:space="preserve"> </w:t>
      </w:r>
      <w:r w:rsidR="00A232F1" w:rsidRPr="00A232F1">
        <w:rPr>
          <w:rFonts w:cstheme="minorHAnsi"/>
          <w:noProof/>
          <w:color w:val="00B050"/>
        </w:rPr>
        <w:t>4</w:t>
      </w:r>
      <w:r w:rsidR="00A232F1" w:rsidRPr="00A232F1">
        <w:rPr>
          <w:rFonts w:cstheme="minorHAnsi"/>
          <w:color w:val="00B050"/>
        </w:rPr>
        <w:fldChar w:fldCharType="end"/>
      </w:r>
      <w:r w:rsidR="00A232F1" w:rsidRPr="00A232F1">
        <w:rPr>
          <w:rFonts w:cstheme="minorHAnsi"/>
          <w:color w:val="00B050"/>
        </w:rPr>
        <w:t xml:space="preserve"> presents the relative contributions of the different sources to the PM</w:t>
      </w:r>
      <w:r w:rsidR="00A232F1" w:rsidRPr="00A232F1">
        <w:rPr>
          <w:rFonts w:cstheme="minorHAnsi"/>
          <w:color w:val="00B050"/>
          <w:vertAlign w:val="subscript"/>
        </w:rPr>
        <w:t>2.5</w:t>
      </w:r>
      <w:r w:rsidR="00A232F1" w:rsidRPr="00A232F1">
        <w:rPr>
          <w:rFonts w:cstheme="minorHAnsi"/>
          <w:color w:val="00B050"/>
        </w:rPr>
        <w:t xml:space="preserve"> and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For the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only the three identified sources used for the MRL methodology were considered. A high standard deviation in both cases is found since there is a high variability on the type of selected samples (which had influence of different sources). In average, fuel-oil combustion contributed 15.6% to the PM</w:t>
      </w:r>
      <w:r w:rsidR="00A232F1" w:rsidRPr="00A232F1">
        <w:rPr>
          <w:rFonts w:eastAsiaTheme="minorEastAsia" w:cstheme="minorHAnsi"/>
          <w:iCs/>
          <w:color w:val="00B050"/>
          <w:vertAlign w:val="subscript"/>
        </w:rPr>
        <w:t>2.5</w:t>
      </w:r>
      <w:r w:rsidR="00A232F1" w:rsidRPr="00A232F1">
        <w:rPr>
          <w:rFonts w:eastAsiaTheme="minorEastAsia" w:cstheme="minorHAnsi"/>
          <w:iCs/>
          <w:color w:val="00B050"/>
        </w:rPr>
        <w:t xml:space="preserve"> levels and 41.9% to the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while vehicle exhaust showed a relative contribution of 27.0% to PM</w:t>
      </w:r>
      <w:r w:rsidR="00A232F1" w:rsidRPr="00A232F1">
        <w:rPr>
          <w:rFonts w:eastAsiaTheme="minorEastAsia" w:cstheme="minorHAnsi"/>
          <w:iCs/>
          <w:color w:val="00B050"/>
          <w:vertAlign w:val="subscript"/>
        </w:rPr>
        <w:t>2.5</w:t>
      </w:r>
      <w:r w:rsidR="00A232F1" w:rsidRPr="00A232F1">
        <w:rPr>
          <w:rFonts w:eastAsiaTheme="minorEastAsia" w:cstheme="minorHAnsi"/>
          <w:iCs/>
          <w:color w:val="00B050"/>
        </w:rPr>
        <w:t xml:space="preserve"> levels and 30.4% to the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The industry source had a relative contribution of 19.3% to PM</w:t>
      </w:r>
      <w:r w:rsidR="00A232F1" w:rsidRPr="00A232F1">
        <w:rPr>
          <w:rFonts w:eastAsiaTheme="minorEastAsia" w:cstheme="minorHAnsi"/>
          <w:iCs/>
          <w:color w:val="00B050"/>
          <w:vertAlign w:val="subscript"/>
        </w:rPr>
        <w:t>2.5</w:t>
      </w:r>
      <w:r w:rsidR="00A232F1" w:rsidRPr="00A232F1">
        <w:rPr>
          <w:rFonts w:eastAsiaTheme="minorEastAsia" w:cstheme="minorHAnsi"/>
          <w:iCs/>
          <w:color w:val="00B050"/>
        </w:rPr>
        <w:t xml:space="preserve"> levels and 25.7% to the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Overall, the contribution of sources to the PM</w:t>
      </w:r>
      <w:r w:rsidR="00A232F1" w:rsidRPr="00A232F1">
        <w:rPr>
          <w:rFonts w:eastAsiaTheme="minorEastAsia" w:cstheme="minorHAnsi"/>
          <w:iCs/>
          <w:color w:val="00B050"/>
          <w:vertAlign w:val="subscript"/>
        </w:rPr>
        <w:t xml:space="preserve">2.5 </w:t>
      </w:r>
      <w:r w:rsidR="00A232F1" w:rsidRPr="00A232F1">
        <w:rPr>
          <w:rFonts w:eastAsiaTheme="minorEastAsia" w:cstheme="minorHAnsi"/>
          <w:iCs/>
          <w:color w:val="00B050"/>
        </w:rPr>
        <w:t xml:space="preserve">levels were, in decreasing order, vehicle exhaust (27.0%), secondary sulphate (24.2%), sea (23.1%), industry (19.3%), fuel-oil combustion (15.6%), soil (8.7%) and vehicle non-exhaust (5.1%). Regarding the </w:t>
      </w:r>
      <m:oMath>
        <m:sSubSup>
          <m:sSubSupPr>
            <m:ctrlPr>
              <w:rPr>
                <w:rFonts w:ascii="Cambria Math" w:hAnsi="Cambria Math" w:cstheme="minorHAnsi"/>
                <w:iCs/>
                <w:color w:val="00B050"/>
              </w:rPr>
            </m:ctrlPr>
          </m:sSubSupPr>
          <m:e>
            <m:r>
              <m:rPr>
                <m:sty m:val="p"/>
              </m:rPr>
              <w:rPr>
                <w:rFonts w:ascii="Cambria Math" w:hAnsi="Cambria Math" w:cstheme="minorHAnsi"/>
                <w:color w:val="00B050"/>
              </w:rPr>
              <m:t>OP</m:t>
            </m:r>
          </m:e>
          <m:sub>
            <m:r>
              <m:rPr>
                <m:sty m:val="p"/>
              </m:rPr>
              <w:rPr>
                <w:rFonts w:ascii="Cambria Math" w:hAnsi="Cambria Math" w:cstheme="minorHAnsi"/>
                <w:color w:val="00B050"/>
              </w:rPr>
              <m:t>V</m:t>
            </m:r>
          </m:sub>
          <m:sup>
            <m:r>
              <m:rPr>
                <m:sty m:val="p"/>
              </m:rPr>
              <w:rPr>
                <w:rFonts w:ascii="Cambria Math" w:hAnsi="Cambria Math" w:cstheme="minorHAnsi"/>
                <w:color w:val="00B050"/>
              </w:rPr>
              <m:t>DTT</m:t>
            </m:r>
          </m:sup>
        </m:sSubSup>
      </m:oMath>
      <w:r w:rsidR="00A232F1" w:rsidRPr="00A232F1">
        <w:rPr>
          <w:rFonts w:eastAsiaTheme="minorEastAsia" w:cstheme="minorHAnsi"/>
          <w:iCs/>
          <w:color w:val="00B050"/>
        </w:rPr>
        <w:t xml:space="preserve"> levels of the PM</w:t>
      </w:r>
      <w:r w:rsidR="00A232F1" w:rsidRPr="00A232F1">
        <w:rPr>
          <w:rFonts w:eastAsiaTheme="minorEastAsia" w:cstheme="minorHAnsi"/>
          <w:iCs/>
          <w:color w:val="00B050"/>
          <w:vertAlign w:val="subscript"/>
        </w:rPr>
        <w:t xml:space="preserve">2.5 </w:t>
      </w:r>
      <w:r w:rsidR="00A232F1" w:rsidRPr="00A232F1">
        <w:rPr>
          <w:rFonts w:eastAsiaTheme="minorEastAsia" w:cstheme="minorHAnsi"/>
          <w:iCs/>
          <w:color w:val="00B050"/>
        </w:rPr>
        <w:t>sampled in the studied urban-industrial area, the highest contribution was from fuel-oil combustion (41.9 ± 37.3 %), followed by vehicle exhaust (30.4 ± 34.7 %) and, then, by industry (25.7 ± 30.0%).</w:t>
      </w:r>
      <w:r w:rsidR="00A232F1">
        <w:rPr>
          <w:rFonts w:eastAsiaTheme="minorEastAsia" w:cstheme="minorHAnsi"/>
          <w:iCs/>
          <w:color w:val="00B050"/>
        </w:rPr>
        <w:t>”</w:t>
      </w:r>
    </w:p>
    <w:bookmarkEnd w:id="2"/>
    <w:p w14:paraId="7BC55065" w14:textId="77777777" w:rsidR="00A232F1" w:rsidRPr="00A232F1" w:rsidRDefault="00A232F1" w:rsidP="00A232F1">
      <w:pPr>
        <w:rPr>
          <w:rFonts w:cstheme="minorHAnsi"/>
          <w:color w:val="00B050"/>
        </w:rPr>
      </w:pPr>
      <w:r w:rsidRPr="00A232F1">
        <w:rPr>
          <w:rFonts w:cstheme="minorHAnsi"/>
          <w:noProof/>
          <w:color w:val="00B050"/>
        </w:rPr>
        <w:lastRenderedPageBreak/>
        <w:drawing>
          <wp:inline distT="0" distB="0" distL="0" distR="0" wp14:anchorId="2CD0DD1C" wp14:editId="63BF33F7">
            <wp:extent cx="5943600" cy="254883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48837"/>
                    </a:xfrm>
                    <a:prstGeom prst="rect">
                      <a:avLst/>
                    </a:prstGeom>
                    <a:noFill/>
                    <a:ln>
                      <a:noFill/>
                    </a:ln>
                  </pic:spPr>
                </pic:pic>
              </a:graphicData>
            </a:graphic>
          </wp:inline>
        </w:drawing>
      </w:r>
    </w:p>
    <w:p w14:paraId="5BAA3C1C" w14:textId="77777777" w:rsidR="00A232F1" w:rsidRPr="00A232F1" w:rsidRDefault="00A232F1" w:rsidP="00A232F1">
      <w:pPr>
        <w:pStyle w:val="Caption"/>
        <w:jc w:val="center"/>
        <w:rPr>
          <w:rFonts w:cstheme="minorHAnsi"/>
          <w:i w:val="0"/>
          <w:color w:val="00B050"/>
          <w:sz w:val="22"/>
          <w:szCs w:val="22"/>
        </w:rPr>
      </w:pPr>
      <w:bookmarkStart w:id="3" w:name="_Ref157342602"/>
      <w:r w:rsidRPr="00A232F1">
        <w:rPr>
          <w:rFonts w:cstheme="minorHAnsi"/>
          <w:i w:val="0"/>
          <w:color w:val="00B050"/>
          <w:sz w:val="22"/>
          <w:szCs w:val="22"/>
        </w:rPr>
        <w:t xml:space="preserve">Figure </w:t>
      </w:r>
      <w:r w:rsidRPr="00A232F1">
        <w:rPr>
          <w:rFonts w:cstheme="minorHAnsi"/>
          <w:i w:val="0"/>
          <w:color w:val="00B050"/>
          <w:sz w:val="22"/>
          <w:szCs w:val="22"/>
        </w:rPr>
        <w:fldChar w:fldCharType="begin"/>
      </w:r>
      <w:r w:rsidRPr="00A232F1">
        <w:rPr>
          <w:rFonts w:cstheme="minorHAnsi"/>
          <w:i w:val="0"/>
          <w:color w:val="00B050"/>
          <w:sz w:val="22"/>
          <w:szCs w:val="22"/>
        </w:rPr>
        <w:instrText xml:space="preserve"> SEQ Figure \* ARABIC </w:instrText>
      </w:r>
      <w:r w:rsidRPr="00A232F1">
        <w:rPr>
          <w:rFonts w:cstheme="minorHAnsi"/>
          <w:i w:val="0"/>
          <w:color w:val="00B050"/>
          <w:sz w:val="22"/>
          <w:szCs w:val="22"/>
        </w:rPr>
        <w:fldChar w:fldCharType="separate"/>
      </w:r>
      <w:r w:rsidRPr="00A232F1">
        <w:rPr>
          <w:rFonts w:cstheme="minorHAnsi"/>
          <w:i w:val="0"/>
          <w:noProof/>
          <w:color w:val="00B050"/>
          <w:sz w:val="22"/>
          <w:szCs w:val="22"/>
        </w:rPr>
        <w:t>4</w:t>
      </w:r>
      <w:r w:rsidRPr="00A232F1">
        <w:rPr>
          <w:rFonts w:cstheme="minorHAnsi"/>
          <w:i w:val="0"/>
          <w:color w:val="00B050"/>
          <w:sz w:val="22"/>
          <w:szCs w:val="22"/>
        </w:rPr>
        <w:fldChar w:fldCharType="end"/>
      </w:r>
      <w:bookmarkEnd w:id="3"/>
      <w:r w:rsidRPr="00A232F1">
        <w:rPr>
          <w:rFonts w:cstheme="minorHAnsi"/>
          <w:i w:val="0"/>
          <w:color w:val="00B050"/>
          <w:sz w:val="22"/>
          <w:szCs w:val="22"/>
        </w:rPr>
        <w:t>. Relative contributions of the different sources to PM</w:t>
      </w:r>
      <w:r w:rsidRPr="00A232F1">
        <w:rPr>
          <w:rFonts w:cstheme="minorHAnsi"/>
          <w:i w:val="0"/>
          <w:color w:val="00B050"/>
          <w:sz w:val="22"/>
          <w:szCs w:val="22"/>
          <w:vertAlign w:val="subscript"/>
        </w:rPr>
        <w:t>2.5</w:t>
      </w:r>
      <w:r w:rsidRPr="00A232F1">
        <w:rPr>
          <w:rFonts w:cstheme="minorHAnsi"/>
          <w:i w:val="0"/>
          <w:color w:val="00B050"/>
          <w:sz w:val="22"/>
          <w:szCs w:val="22"/>
        </w:rPr>
        <w:t xml:space="preserve"> levels and to </w:t>
      </w:r>
      <m:oMath>
        <m:sSubSup>
          <m:sSubSupPr>
            <m:ctrlPr>
              <w:rPr>
                <w:rFonts w:ascii="Cambria Math" w:hAnsi="Cambria Math" w:cstheme="minorHAnsi"/>
                <w:i w:val="0"/>
                <w:iCs w:val="0"/>
                <w:color w:val="00B050"/>
                <w:sz w:val="22"/>
                <w:szCs w:val="22"/>
              </w:rPr>
            </m:ctrlPr>
          </m:sSubSupPr>
          <m:e>
            <m:r>
              <w:rPr>
                <w:rFonts w:ascii="Cambria Math" w:hAnsi="Cambria Math" w:cstheme="minorHAnsi"/>
                <w:color w:val="00B050"/>
                <w:sz w:val="22"/>
                <w:szCs w:val="22"/>
              </w:rPr>
              <m:t>OP</m:t>
            </m:r>
          </m:e>
          <m:sub>
            <m:r>
              <w:rPr>
                <w:rFonts w:ascii="Cambria Math" w:hAnsi="Cambria Math" w:cstheme="minorHAnsi"/>
                <w:color w:val="00B050"/>
                <w:sz w:val="22"/>
                <w:szCs w:val="22"/>
              </w:rPr>
              <m:t>V</m:t>
            </m:r>
          </m:sub>
          <m:sup>
            <m:r>
              <w:rPr>
                <w:rFonts w:ascii="Cambria Math" w:hAnsi="Cambria Math" w:cstheme="minorHAnsi"/>
                <w:color w:val="00B050"/>
                <w:sz w:val="22"/>
                <w:szCs w:val="22"/>
              </w:rPr>
              <m:t>DTT</m:t>
            </m:r>
          </m:sup>
        </m:sSubSup>
      </m:oMath>
      <w:r w:rsidRPr="00A232F1">
        <w:rPr>
          <w:rFonts w:eastAsiaTheme="minorEastAsia" w:cstheme="minorHAnsi"/>
          <w:i w:val="0"/>
          <w:iCs w:val="0"/>
          <w:color w:val="00B050"/>
          <w:sz w:val="22"/>
          <w:szCs w:val="22"/>
        </w:rPr>
        <w:t xml:space="preserve"> levels.</w:t>
      </w:r>
    </w:p>
    <w:p w14:paraId="2795E633" w14:textId="304C584B" w:rsidR="00BB7F7D" w:rsidRPr="00602E93" w:rsidRDefault="00DA45F2" w:rsidP="00A47BD4">
      <w:pPr>
        <w:rPr>
          <w:color w:val="00B050"/>
        </w:rPr>
      </w:pPr>
      <w:r w:rsidRPr="00602E93">
        <w:rPr>
          <w:color w:val="00B050"/>
        </w:rPr>
        <w:t>(Page 15, lines 272 – 285)</w:t>
      </w:r>
    </w:p>
    <w:p w14:paraId="68CC85CD" w14:textId="77777777" w:rsidR="00A47BD4" w:rsidRDefault="00F953DD" w:rsidP="00A47BD4">
      <w:r>
        <w:t xml:space="preserve">[Reviewer] </w:t>
      </w:r>
      <w:r w:rsidR="00A47BD4">
        <w:t>Minor comments:</w:t>
      </w:r>
    </w:p>
    <w:p w14:paraId="093601D0" w14:textId="77777777" w:rsidR="00A47BD4" w:rsidRDefault="00A47BD4" w:rsidP="00A47BD4">
      <w:r>
        <w:t>- Keywords. I suggest to change "fine aerosols" to PM2.5, remove "PIXE" and change "source apportionment" to "</w:t>
      </w:r>
      <w:bookmarkStart w:id="4" w:name="_Hlk151916823"/>
      <w:r>
        <w:t>multi linear regression analysis</w:t>
      </w:r>
      <w:bookmarkEnd w:id="4"/>
      <w:r>
        <w:t>"</w:t>
      </w:r>
    </w:p>
    <w:p w14:paraId="77F03118" w14:textId="77777777" w:rsidR="00F953DD" w:rsidRDefault="00F953DD" w:rsidP="00A47BD4">
      <w:r w:rsidRPr="00F953DD">
        <w:rPr>
          <w:color w:val="00B050"/>
        </w:rPr>
        <w:t xml:space="preserve">[Authors] </w:t>
      </w:r>
      <w:r>
        <w:rPr>
          <w:color w:val="00B050"/>
        </w:rPr>
        <w:t>It was corrected accordingly.</w:t>
      </w:r>
    </w:p>
    <w:p w14:paraId="5498702F" w14:textId="77777777" w:rsidR="00A47BD4" w:rsidRDefault="00F953DD" w:rsidP="00A47BD4">
      <w:r>
        <w:t xml:space="preserve">[Reviewer] </w:t>
      </w:r>
      <w:r w:rsidR="00A47BD4">
        <w:t>- Line 37. Remove the word "have" or change "of aerosols" to "that aerosols".</w:t>
      </w:r>
    </w:p>
    <w:p w14:paraId="7714AEAF" w14:textId="77777777" w:rsidR="00F953DD" w:rsidRDefault="00F953DD" w:rsidP="00602E93">
      <w:pPr>
        <w:jc w:val="both"/>
        <w:rPr>
          <w:color w:val="00B050"/>
        </w:rPr>
      </w:pPr>
      <w:r w:rsidRPr="00F953DD">
        <w:rPr>
          <w:color w:val="00B050"/>
        </w:rPr>
        <w:t xml:space="preserve">[Authors] </w:t>
      </w:r>
      <w:r>
        <w:rPr>
          <w:color w:val="00B050"/>
        </w:rPr>
        <w:t>It was corrected accordingly. “of aerosols” was changed to “that aerosols”. The final version is:</w:t>
      </w:r>
    </w:p>
    <w:p w14:paraId="6F7E7A30" w14:textId="77777777" w:rsidR="00F953DD" w:rsidRPr="00F953DD" w:rsidRDefault="00F953DD" w:rsidP="00602E93">
      <w:pPr>
        <w:jc w:val="both"/>
        <w:rPr>
          <w:color w:val="00B050"/>
        </w:rPr>
      </w:pPr>
      <w:r w:rsidRPr="00F953DD">
        <w:rPr>
          <w:color w:val="00B050"/>
        </w:rPr>
        <w:t xml:space="preserve">“The negative impact that aerosols have on human health </w:t>
      </w:r>
      <w:r w:rsidRPr="00F953DD">
        <w:rPr>
          <w:color w:val="00B050"/>
        </w:rPr>
        <w:fldChar w:fldCharType="begin" w:fldLock="1"/>
      </w:r>
      <w:r w:rsidRPr="00F953DD">
        <w:rPr>
          <w:color w:val="00B050"/>
        </w:rPr>
        <w:instrText>ADDIN CSL_CITATION {"citationItems":[{"id":"ITEM-1","itemData":{"DOI":"10.1056/NEJMoa1817364","ISSN":"15334406","abstract":"BACKGROUND The systematic evaluation of the results of time-series studies of air pollution is challenged by differences in model specification and publication bias. METHODS We evaluated the associations of inhalable particulate matter (PM) with an aerodynamic diameter of 10 μm or less (PM10) and fine PM with an aerodynamic diameter of 2.5 μm or less (PM2.5) with daily all-cause, cardiovascular, and respiratory mortality across multiple countries or regions. Daily data on mortality and air pollution were collected from 652 cities in 24 countries or regions. We used overdispersed generalized additive models with random-effects meta-analysis to investigate the associations. Two-pollutant models were fitted to test the robustness of the associations. Concentration–response curves from each city were pooled to allow global estimates to be derived. RESULTS On average, an increase of 10 μg per cubic meter in the 2-day moving average of PM10 concentration, which represents the average over the current and previous day, was associated with increases of 0.44% (95% confidence interval [CI], 0.39 to 0.50) in daily all-cause mortality, 0.36% (95% CI, 0.30 to 0.43) in daily cardiovascular mortality, and 0.47% (95% CI, 0.35 to 0.58) in daily respiratory mortality. The corresponding increases in daily mortality for the same change in PM2.5 concentration were 0.68% (95% CI, 0.59 to 0.77), 0.55% (95% CI, 0.45 to 0.66), and 0.74% (95% CI, 0.53 to 0.95). These associations remained significant after adjustment for gaseous pollutants. Associations were stronger in locations with lower annual mean PM concentrations and higher annual mean temperatures. The pooled concentration–response curves showed a consistent increase in daily mortality with increasing PM concentration, with steeper slopes at lower PM concentrations. CONCLUSIONS Our data show independent associations between short-term exposure to PM10 and PM2.5 and daily all-cause, cardiovascular, and respiratory mortality in more than 600 cities across the globe. These data reinforce the evidence of a link between mortality and PM concentration established in regional and local studies. (Funded by the National Natural Science Foundation of China and others.)","author":[{"dropping-particle":"","family":"Liu","given":"Cong","non-dropping-particle":"","parse-names":false,"suffix":""},{"dropping-particle":"","family":"Chen","given":"Renjie","non-dropping-particle":"","parse-names":false,"suffix":""},{"dropping-particle":"","family":"Sera","given":"Francesco","non-dropping-particle":"","parse-names":false,"suffix":""},{"dropping-particle":"","family":"Vicedo-Cabrera","given":"Ana M.","non-dropping-particle":"","parse-names":false,"suffix":""},{"dropping-particle":"","family":"Guo","given":"Yuming","non-dropping-particle":"","parse-names":false,"suffix":""},{"dropping-particle":"","family":"Tong","given":"Shilu","non-dropping-particle":"","parse-names":false,"suffix":""},{"dropping-particle":"","family":"Coelho","given":"Micheline S.Z.S.","non-dropping-particle":"","parse-names":false,"suffix":""},{"dropping-particle":"","family":"Saldiva","given":"Paulo H.N.","non-dropping-particle":"","parse-names":false,"suffix":""},{"dropping-particle":"","family":"Lavigne","given":"Eric","non-dropping-particle":"","parse-names":false,"suffix":""},{"dropping-particle":"","family":"Matus","given":"Patricia","non-dropping-particle":"","parse-names":false,"suffix":""},{"dropping-particle":"","family":"Ortega","given":"Nicolas Valdes","non-dropping-particle":"","parse-names":false,"suffix":""},{"dropping-particle":"","family":"Garcia","given":"Samuel Osorio","non-dropping-particle":"","parse-names":false,"suffix":""},{"dropping-particle":"","family":"Pascal","given":"Mathilde","non-dropping-particle":"","parse-names":false,"suffix":""},{"dropping-particle":"","family":"Stafoggia","given":"Massimo","non-dropping-particle":"","parse-names":false,"suffix":""},{"dropping-particle":"","family":"Scortichini","given":"Matteo","non-dropping-particle":"","parse-names":false,"suffix":""},{"dropping-particle":"","family":"Hashizume","given":"Masahiro","non-dropping-particle":"","parse-names":false,"suffix":""},{"dropping-particle":"","family":"Honda","given":"Yasushi","non-dropping-particle":"","parse-names":false,"suffix":""},{"dropping-particle":"","family":"Hurtado-Díaz","given":"Magali","non-dropping-particle":"","parse-names":false,"suffix":""},{"dropping-particle":"","family":"Cruz","given":"Julio","non-dropping-particle":"","parse-names":false,"suffix":""},{"dropping-particle":"","family":"Nunes","given":"Baltazar","non-dropping-particle":"","parse-names":false,"suffix":""},{"dropping-particle":"","family":"Teixeira","given":"João P.","non-dropping-particle":"","parse-names":false,"suffix":""},{"dropping-particle":"","family":"Kim","given":"Ho","non-dropping-particle":"","parse-names":false,"suffix":""},{"dropping-particle":"","family":"Tobias","given":"Aurelio","non-dropping-particle":"","parse-names":false,"suffix":""},{"dropping-particle":"","family":"Íñiguez","given":"Carmen","non-dropping-particle":"","parse-names":false,"suffix":""},{"dropping-particle":"","family":"Forsberg","given":"Bertil","non-dropping-particle":"","parse-names":false,"suffix":""},{"dropping-particle":"","family":"Åström","given":"Christofer","non-dropping-particle":"","parse-names":false,"suffix":""},{"dropping-particle":"","family":"Ragettli","given":"Martina S.","non-dropping-particle":"","parse-names":false,"suffix":""},{"dropping-particle":"","family":"Guo","given":"Yue Leon","non-dropping-particle":"","parse-names":false,"suffix":""},{"dropping-particle":"","family":"Chen","given":"Bing Yu","non-dropping-particle":"","parse-names":false,"suffix":""},{"dropping-particle":"","family":"Bell","given":"Michelle L.","non-dropping-particle":"","parse-names":false,"suffix":""},{"dropping-particle":"","family":"Wright","given":"Caradee Y.","non-dropping-particle":"","parse-names":false,"suffix":""},{"dropping-particle":"","family":"Scovronick","given":"Noah","non-dropping-particle":"","parse-names":false,"suffix":""},{"dropping-particle":"","family":"Garland","given":"Rebecca M.","non-dropping-particle":"","parse-names":false,"suffix":""},{"dropping-particle":"","family":"Milojevic","given":"Ai","non-dropping-particle":"","parse-names":false,"suffix":""},{"dropping-particle":"","family":"Kyselý","given":"Jan","non-dropping-particle":"","parse-names":false,"suffix":""},{"dropping-particle":"","family":"Urban","given":"Aleš","non-dropping-particle":"","parse-names":false,"suffix":""},{"dropping-particle":"","family":"Orru","given":"Hans","non-dropping-particle":"","parse-names":false,"suffix":""},{"dropping-particle":"","family":"Indermitte","given":"Ene","non-dropping-particle":"","parse-names":false,"suffix":""},{"dropping-particle":"","family":"Jaakkola","given":"Jouni J.K.","non-dropping-particle":"","parse-names":false,"suffix":""},{"dropping-particle":"","family":"Ryti","given":"Niilo R.I.","non-dropping-particle":"","parse-names":false,"suffix":""},{"dropping-particle":"","family":"Katsouyanni","given":"Klea","non-dropping-particle":"","parse-names":false,"suffix":""},{"dropping-particle":"","family":"Analitis","given":"Antonis","non-dropping-particle":"","parse-names":false,"suffix":""},{"dropping-particle":"","family":"Zanobetti","given":"Antonella","non-dropping-particle":"","parse-names":false,"suffix":""},{"dropping-particle":"","family":"Schwartz","given":"Joel","non-dropping-particle":"","parse-names":false,"suffix":""},{"dropping-particle":"","family":"Chen","given":"Jianmin","non-dropping-particle":"","parse-names":false,"suffix":""},{"dropping-particle":"","family":"Wu","given":"Tangchun","non-dropping-particle":"","parse-names":false,"suffix":""},{"dropping-particle":"","family":"Cohen","given":"Aaron","non-dropping-particle":"","parse-names":false,"suffix":""},{"dropping-particle":"","family":"Gasparrini","given":"Antonio","non-dropping-particle":"","parse-names":false,"suffix":""},{"dropping-particle":"","family":"Kan","given":"Haidong","non-dropping-particle":"","parse-names":false,"suffix":""}],"container-title":"New England Journal of Medicine","id":"ITEM-1","issue":"8","issued":{"date-parts":[["2019","8","22"]]},"page":"705-715","title":"Ambient particulate air pollution and daily mortality in 652 cities","type":"article-journal","volume":"381"},"uris":["http://www.mendeley.com/documents/?uuid=2e1e16e7-f774-3eb4-806a-04a8ec76b17d"]}],"mendeley":{"formattedCitation":"(Liu et al. 2019)","plainTextFormattedCitation":"(Liu et al. 2019)","previouslyFormattedCitation":"(Liu et al. 2019)"},"properties":{"noteIndex":0},"schema":"https://github.com/citation-style-language/schema/raw/master/csl-citation.json"}</w:instrText>
      </w:r>
      <w:r w:rsidRPr="00F953DD">
        <w:rPr>
          <w:color w:val="00B050"/>
        </w:rPr>
        <w:fldChar w:fldCharType="separate"/>
      </w:r>
      <w:r w:rsidRPr="00F953DD">
        <w:rPr>
          <w:color w:val="00B050"/>
        </w:rPr>
        <w:t>(Liu et al. 2019)</w:t>
      </w:r>
      <w:r w:rsidRPr="00F953DD">
        <w:rPr>
          <w:color w:val="00B050"/>
        </w:rPr>
        <w:fldChar w:fldCharType="end"/>
      </w:r>
      <w:r w:rsidRPr="00F953DD">
        <w:rPr>
          <w:color w:val="00B050"/>
        </w:rPr>
        <w:t xml:space="preserve">, climate and the environment </w:t>
      </w:r>
      <w:r w:rsidRPr="00F953DD">
        <w:rPr>
          <w:color w:val="00B050"/>
        </w:rPr>
        <w:fldChar w:fldCharType="begin" w:fldLock="1"/>
      </w:r>
      <w:r w:rsidRPr="00F953DD">
        <w:rPr>
          <w:color w:val="00B050"/>
        </w:rPr>
        <w:instrText>ADDIN CSL_CITATION {"citationItems":[{"id":"ITEM-1","itemData":{"DOI":"10.1126/science.1064034","ISSN":"0036-8075","abstract":"Human activities are releasing tiny particles (aerosols) into the atmosphere. These human-made aerosols enhance scattering and absorption of solar radiation. They also produce brighter clouds that are less efficient at releasing precipitation. These in turn lead to large reductions in the amount of solar irradiance reaching Earth's surface, a corresponding increase in solar heating of the atmosphere, changes in the atmospheric temperature structure, suppression of rainfall, and less efficient removal of pollutants. These aerosol effects can lead to a weaker hydrological cycle, which connects directly to availability and quality of fresh water, a major environmental issue of the 21st century.","author":[{"dropping-particle":"","family":"Ramanathan","given":"V.","non-dropping-particle":"","parse-names":false,"suffix":""},{"dropping-particle":"","family":"Crutzen","given":"P. J.","non-dropping-particle":"","parse-names":false,"suffix":""},{"dropping-particle":"","family":"Kiehl","given":"J. T.","non-dropping-particle":"","parse-names":false,"suffix":""},{"dropping-particle":"","family":"Rosenfeld","given":"D.","non-dropping-particle":"","parse-names":false,"suffix":""}],"container-title":"Science","id":"ITEM-1","issue":"5549","issued":{"date-parts":[["2001","12","7"]]},"page":"2119-2124","title":"Aerosols, Climate, and the Hydrological Cycle","type":"article-journal","volume":"294"},"uris":["http://www.mendeley.com/documents/?uuid=96c910c1-049d-4adf-a821-abae3df4d4b0"]}],"mendeley":{"formattedCitation":"(Ramanathan et al. 2001)","plainTextFormattedCitation":"(Ramanathan et al. 2001)","previouslyFormattedCitation":"(Ramanathan et al. 2001)"},"properties":{"noteIndex":0},"schema":"https://github.com/citation-style-language/schema/raw/master/csl-citation.json"}</w:instrText>
      </w:r>
      <w:r w:rsidRPr="00F953DD">
        <w:rPr>
          <w:color w:val="00B050"/>
        </w:rPr>
        <w:fldChar w:fldCharType="separate"/>
      </w:r>
      <w:r w:rsidRPr="00F953DD">
        <w:rPr>
          <w:color w:val="00B050"/>
        </w:rPr>
        <w:t>(Ramanathan et al. 2001)</w:t>
      </w:r>
      <w:r w:rsidRPr="00F953DD">
        <w:rPr>
          <w:color w:val="00B050"/>
        </w:rPr>
        <w:fldChar w:fldCharType="end"/>
      </w:r>
      <w:r w:rsidRPr="00F953DD">
        <w:rPr>
          <w:color w:val="00B050"/>
        </w:rPr>
        <w:t xml:space="preserve"> is now well established.”</w:t>
      </w:r>
    </w:p>
    <w:p w14:paraId="62228523" w14:textId="77777777" w:rsidR="00F953DD" w:rsidRDefault="00F953DD" w:rsidP="00A47BD4"/>
    <w:sectPr w:rsidR="00F953D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AADD8" w14:textId="77777777" w:rsidR="00BA41AD" w:rsidRDefault="00BA41AD">
      <w:pPr>
        <w:spacing w:after="0" w:line="240" w:lineRule="auto"/>
      </w:pPr>
      <w:r>
        <w:separator/>
      </w:r>
    </w:p>
  </w:endnote>
  <w:endnote w:type="continuationSeparator" w:id="0">
    <w:p w14:paraId="7EFF0936" w14:textId="77777777" w:rsidR="00BA41AD" w:rsidRDefault="00BA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3328610"/>
      <w:docPartObj>
        <w:docPartGallery w:val="Page Numbers (Bottom of Page)"/>
        <w:docPartUnique/>
      </w:docPartObj>
    </w:sdtPr>
    <w:sdtEndPr>
      <w:rPr>
        <w:rFonts w:ascii="Times New Roman" w:hAnsi="Times New Roman" w:cs="Times New Roman"/>
        <w:noProof/>
        <w:sz w:val="24"/>
      </w:rPr>
    </w:sdtEndPr>
    <w:sdtContent>
      <w:p w14:paraId="50A3EA53" w14:textId="77777777" w:rsidR="00F67380" w:rsidRPr="008E111E" w:rsidRDefault="00A232F1">
        <w:pPr>
          <w:pStyle w:val="Footer"/>
          <w:jc w:val="right"/>
          <w:rPr>
            <w:rFonts w:ascii="Times New Roman" w:hAnsi="Times New Roman" w:cs="Times New Roman"/>
            <w:sz w:val="24"/>
          </w:rPr>
        </w:pPr>
        <w:r w:rsidRPr="008E111E">
          <w:rPr>
            <w:rFonts w:ascii="Times New Roman" w:hAnsi="Times New Roman" w:cs="Times New Roman"/>
            <w:sz w:val="24"/>
          </w:rPr>
          <w:fldChar w:fldCharType="begin"/>
        </w:r>
        <w:r w:rsidRPr="008E111E">
          <w:rPr>
            <w:rFonts w:ascii="Times New Roman" w:hAnsi="Times New Roman" w:cs="Times New Roman"/>
            <w:sz w:val="24"/>
          </w:rPr>
          <w:instrText xml:space="preserve"> PAGE   \* MERGEFORMAT </w:instrText>
        </w:r>
        <w:r w:rsidRPr="008E111E">
          <w:rPr>
            <w:rFonts w:ascii="Times New Roman" w:hAnsi="Times New Roman" w:cs="Times New Roman"/>
            <w:sz w:val="24"/>
          </w:rPr>
          <w:fldChar w:fldCharType="separate"/>
        </w:r>
        <w:r w:rsidRPr="008E111E">
          <w:rPr>
            <w:rFonts w:ascii="Times New Roman" w:hAnsi="Times New Roman" w:cs="Times New Roman"/>
            <w:noProof/>
            <w:sz w:val="24"/>
          </w:rPr>
          <w:t>2</w:t>
        </w:r>
        <w:r w:rsidRPr="008E111E">
          <w:rPr>
            <w:rFonts w:ascii="Times New Roman" w:hAnsi="Times New Roman" w:cs="Times New Roman"/>
            <w:noProof/>
            <w:sz w:val="24"/>
          </w:rPr>
          <w:fldChar w:fldCharType="end"/>
        </w:r>
      </w:p>
    </w:sdtContent>
  </w:sdt>
  <w:p w14:paraId="3B615AAE" w14:textId="77777777" w:rsidR="00F67380" w:rsidRDefault="00BA4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F39D3" w14:textId="77777777" w:rsidR="00BA41AD" w:rsidRDefault="00BA41AD">
      <w:pPr>
        <w:spacing w:after="0" w:line="240" w:lineRule="auto"/>
      </w:pPr>
      <w:r>
        <w:separator/>
      </w:r>
    </w:p>
  </w:footnote>
  <w:footnote w:type="continuationSeparator" w:id="0">
    <w:p w14:paraId="03FECD3A" w14:textId="77777777" w:rsidR="00BA41AD" w:rsidRDefault="00BA41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D4"/>
    <w:rsid w:val="00092226"/>
    <w:rsid w:val="000D7DCD"/>
    <w:rsid w:val="001514EA"/>
    <w:rsid w:val="001612A9"/>
    <w:rsid w:val="00167D79"/>
    <w:rsid w:val="001E021F"/>
    <w:rsid w:val="002541F9"/>
    <w:rsid w:val="002C6527"/>
    <w:rsid w:val="00421496"/>
    <w:rsid w:val="00450D09"/>
    <w:rsid w:val="0048749E"/>
    <w:rsid w:val="004949A4"/>
    <w:rsid w:val="004A0573"/>
    <w:rsid w:val="004E009C"/>
    <w:rsid w:val="004E41B4"/>
    <w:rsid w:val="00561042"/>
    <w:rsid w:val="00561EB9"/>
    <w:rsid w:val="00601F35"/>
    <w:rsid w:val="00602E93"/>
    <w:rsid w:val="006308A4"/>
    <w:rsid w:val="006D5E9C"/>
    <w:rsid w:val="00722CDF"/>
    <w:rsid w:val="00766AF9"/>
    <w:rsid w:val="00790EDC"/>
    <w:rsid w:val="00794E40"/>
    <w:rsid w:val="007B0A09"/>
    <w:rsid w:val="00820F19"/>
    <w:rsid w:val="008E4E3E"/>
    <w:rsid w:val="0091693E"/>
    <w:rsid w:val="009E65C6"/>
    <w:rsid w:val="00A232F1"/>
    <w:rsid w:val="00A47BD4"/>
    <w:rsid w:val="00A96AEA"/>
    <w:rsid w:val="00B1750A"/>
    <w:rsid w:val="00B9536D"/>
    <w:rsid w:val="00BA41AD"/>
    <w:rsid w:val="00BB7F7D"/>
    <w:rsid w:val="00BC4524"/>
    <w:rsid w:val="00C15F76"/>
    <w:rsid w:val="00C27FDF"/>
    <w:rsid w:val="00CA786C"/>
    <w:rsid w:val="00D36946"/>
    <w:rsid w:val="00D45FC3"/>
    <w:rsid w:val="00DA45F2"/>
    <w:rsid w:val="00DB6F18"/>
    <w:rsid w:val="00E34BC4"/>
    <w:rsid w:val="00E60C0D"/>
    <w:rsid w:val="00EB0973"/>
    <w:rsid w:val="00F953DD"/>
    <w:rsid w:val="00FE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A9BC1"/>
  <w15:chartTrackingRefBased/>
  <w15:docId w15:val="{C82BA3AB-95BA-463A-B05C-2A5EDC41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009C"/>
    <w:rPr>
      <w:color w:val="0563C1" w:themeColor="hyperlink"/>
      <w:u w:val="single"/>
    </w:rPr>
  </w:style>
  <w:style w:type="character" w:styleId="UnresolvedMention">
    <w:name w:val="Unresolved Mention"/>
    <w:basedOn w:val="DefaultParagraphFont"/>
    <w:uiPriority w:val="99"/>
    <w:semiHidden/>
    <w:unhideWhenUsed/>
    <w:rsid w:val="004E009C"/>
    <w:rPr>
      <w:color w:val="605E5C"/>
      <w:shd w:val="clear" w:color="auto" w:fill="E1DFDD"/>
    </w:rPr>
  </w:style>
  <w:style w:type="paragraph" w:styleId="Revision">
    <w:name w:val="Revision"/>
    <w:hidden/>
    <w:uiPriority w:val="99"/>
    <w:semiHidden/>
    <w:rsid w:val="004A0573"/>
    <w:pPr>
      <w:spacing w:after="0" w:line="240" w:lineRule="auto"/>
    </w:pPr>
  </w:style>
  <w:style w:type="paragraph" w:styleId="BalloonText">
    <w:name w:val="Balloon Text"/>
    <w:basedOn w:val="Normal"/>
    <w:link w:val="BalloonTextChar"/>
    <w:uiPriority w:val="99"/>
    <w:semiHidden/>
    <w:unhideWhenUsed/>
    <w:rsid w:val="002C65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527"/>
    <w:rPr>
      <w:rFonts w:ascii="Segoe UI" w:hAnsi="Segoe UI" w:cs="Segoe UI"/>
      <w:sz w:val="18"/>
      <w:szCs w:val="18"/>
    </w:rPr>
  </w:style>
  <w:style w:type="paragraph" w:styleId="Footer">
    <w:name w:val="footer"/>
    <w:basedOn w:val="Normal"/>
    <w:link w:val="FooterChar"/>
    <w:uiPriority w:val="99"/>
    <w:unhideWhenUsed/>
    <w:rsid w:val="0016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D79"/>
  </w:style>
  <w:style w:type="character" w:styleId="LineNumber">
    <w:name w:val="line number"/>
    <w:basedOn w:val="DefaultParagraphFont"/>
    <w:uiPriority w:val="99"/>
    <w:semiHidden/>
    <w:unhideWhenUsed/>
    <w:rsid w:val="00167D79"/>
  </w:style>
  <w:style w:type="paragraph" w:styleId="Caption">
    <w:name w:val="caption"/>
    <w:basedOn w:val="Normal"/>
    <w:next w:val="Normal"/>
    <w:uiPriority w:val="35"/>
    <w:unhideWhenUsed/>
    <w:qFormat/>
    <w:rsid w:val="00A232F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apradiso.2009.04.01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016/j.atmosenv.2014.05.0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scitotenv.2006.03.03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1.emf"/><Relationship Id="rId4" Type="http://schemas.openxmlformats.org/officeDocument/2006/relationships/footnotes" Target="footnotes.xml"/><Relationship Id="rId9" Type="http://schemas.openxmlformats.org/officeDocument/2006/relationships/hyperlink" Target="https://doi.org/10.1016/j.scitotenv.2022.155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6101</Words>
  <Characters>34776</Characters>
  <Application>Microsoft Office Word</Application>
  <DocSecurity>0</DocSecurity>
  <Lines>289</Lines>
  <Paragraphs>81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Canha</dc:creator>
  <cp:keywords/>
  <dc:description/>
  <cp:lastModifiedBy>Nuno Canha</cp:lastModifiedBy>
  <cp:revision>3</cp:revision>
  <dcterms:created xsi:type="dcterms:W3CDTF">2024-01-31T12:40:00Z</dcterms:created>
  <dcterms:modified xsi:type="dcterms:W3CDTF">2024-01-31T12:42:00Z</dcterms:modified>
</cp:coreProperties>
</file>